
<file path=[Content_Types].xml><?xml version="1.0" encoding="utf-8"?>
<Types xmlns="http://schemas.openxmlformats.org/package/2006/content-types">
  <Override PartName="/word/charts/chart10.xml" ContentType="application/vnd.openxmlformats-officedocument.drawingml.chart+xml"/>
  <Override PartName="/word/drawings/drawing69.xml" ContentType="application/vnd.openxmlformats-officedocument.drawingml.chartshapes+xml"/>
  <Override PartName="/word/theme/themeOverride5.xml" ContentType="application/vnd.openxmlformats-officedocument.themeOverride+xml"/>
  <Override PartName="/word/drawings/drawing138.xml" ContentType="application/vnd.openxmlformats-officedocument.drawingml.chartshapes+xml"/>
  <Override PartName="/word/drawings/drawing58.xml" ContentType="application/vnd.openxmlformats-officedocument.drawingml.chartshapes+xml"/>
  <Override PartName="/word/drawings/drawing116.xml" ContentType="application/vnd.openxmlformats-officedocument.drawingml.chartshapes+xml"/>
  <Override PartName="/word/drawings/drawing127.xml" ContentType="application/vnd.openxmlformats-officedocument.drawingml.chartshapes+xml"/>
  <Override PartName="/word/charts/chart149.xml" ContentType="application/vnd.openxmlformats-officedocument.drawingml.chart+xml"/>
  <Override PartName="/word/drawings/drawing47.xml" ContentType="application/vnd.openxmlformats-officedocument.drawingml.chartshapes+xml"/>
  <Override PartName="/word/charts/chart59.xml" ContentType="application/vnd.openxmlformats-officedocument.drawingml.chart+xml"/>
  <Override PartName="/word/drawings/drawing94.xml" ContentType="application/vnd.openxmlformats-officedocument.drawingml.chartshapes+xml"/>
  <Override PartName="/word/drawings/drawing105.xml" ContentType="application/vnd.openxmlformats-officedocument.drawingml.chartshapes+xml"/>
  <Override PartName="/word/charts/chart138.xml" ContentType="application/vnd.openxmlformats-officedocument.drawingml.chart+xml"/>
  <Override PartName="/word/drawings/drawing152.xml" ContentType="application/vnd.openxmlformats-officedocument.drawingml.chartshape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drawings/drawing25.xml" ContentType="application/vnd.openxmlformats-officedocument.drawingml.chartshapes+xml"/>
  <Override PartName="/word/drawings/drawing36.xml" ContentType="application/vnd.openxmlformats-officedocument.drawingml.chartshapes+xml"/>
  <Override PartName="/word/charts/chart48.xml" ContentType="application/vnd.openxmlformats-officedocument.drawingml.chart+xml"/>
  <Override PartName="/word/drawings/drawing72.xml" ContentType="application/vnd.openxmlformats-officedocument.drawingml.chartshapes+xml"/>
  <Override PartName="/word/drawings/drawing83.xml" ContentType="application/vnd.openxmlformats-officedocument.drawingml.chartshapes+xml"/>
  <Override PartName="/word/charts/chart95.xml" ContentType="application/vnd.openxmlformats-officedocument.drawingml.chart+xml"/>
  <Override PartName="/word/charts/chart127.xml" ContentType="application/vnd.openxmlformats-officedocument.drawingml.chart+xml"/>
  <Override PartName="/word/drawings/drawing141.xml" ContentType="application/vnd.openxmlformats-officedocument.drawingml.chartshapes+xml"/>
  <Override PartName="/word/stylesWithEffects.xml" ContentType="application/vnd.ms-word.stylesWithEffects+xml"/>
  <Override PartName="/word/drawings/drawing2.xml" ContentType="application/vnd.openxmlformats-officedocument.drawingml.chartshapes+xml"/>
  <Override PartName="/word/drawings/drawing14.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drawings/drawing61.xml" ContentType="application/vnd.openxmlformats-officedocument.drawingml.chartshapes+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drawings/drawing130.xml" ContentType="application/vnd.openxmlformats-officedocument.drawingml.chartshapes+xml"/>
  <Override PartName="/word/charts/chart152.xml" ContentType="application/vnd.openxmlformats-officedocument.drawingml.chart+xml"/>
  <Override PartName="/word/charts/chart15.xml" ContentType="application/vnd.openxmlformats-officedocument.drawingml.chart+xml"/>
  <Override PartName="/word/drawings/drawing50.xml" ContentType="application/vnd.openxmlformats-officedocument.drawingml.chartshapes+xml"/>
  <Override PartName="/word/charts/chart62.xml" ContentType="application/vnd.openxmlformats-officedocument.drawingml.chart+xml"/>
  <Override PartName="/word/charts/chart141.xml" ContentType="application/vnd.openxmlformats-officedocument.drawingml.chart+xml"/>
  <Override PartName="/word/charts/chart51.xml" ContentType="application/vnd.openxmlformats-officedocument.drawingml.chart+xml"/>
  <Override PartName="/word/charts/chart130.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drawings/drawing88.xml" ContentType="application/vnd.openxmlformats-officedocument.drawingml.chartshapes+xml"/>
  <Override PartName="/word/drawings/drawing99.xml" ContentType="application/vnd.openxmlformats-officedocument.drawingml.chartshapes+xml"/>
  <Default Extension="png" ContentType="image/png"/>
  <Override PartName="/word/theme/themeOverride2.xml" ContentType="application/vnd.openxmlformats-officedocument.themeOverride+xml"/>
  <Override PartName="/word/drawings/drawing77.xml" ContentType="application/vnd.openxmlformats-officedocument.drawingml.chartshapes+xml"/>
  <Override PartName="/word/charts/chart89.xml" ContentType="application/vnd.openxmlformats-officedocument.drawingml.chart+xml"/>
  <Override PartName="/word/drawings/drawing135.xml" ContentType="application/vnd.openxmlformats-officedocument.drawingml.chartshapes+xml"/>
  <Override PartName="/word/drawings/drawing146.xml" ContentType="application/vnd.openxmlformats-officedocument.drawingml.chartshapes+xml"/>
  <Override PartName="/word/drawings/drawing7.xml" ContentType="application/vnd.openxmlformats-officedocument.drawingml.chartshapes+xml"/>
  <Override PartName="/word/drawings/drawing19.xml" ContentType="application/vnd.openxmlformats-officedocument.drawingml.chartshapes+xml"/>
  <Override PartName="/word/drawings/drawing66.xml" ContentType="application/vnd.openxmlformats-officedocument.drawingml.chartshapes+xml"/>
  <Override PartName="/word/charts/chart78.xml" ContentType="application/vnd.openxmlformats-officedocument.drawingml.chart+xml"/>
  <Override PartName="/word/drawings/drawing124.xml" ContentType="application/vnd.openxmlformats-officedocument.drawingml.chartshapes+xml"/>
  <Override PartName="/word/theme/themeOverride12.xml" ContentType="application/vnd.openxmlformats-officedocument.themeOverride+xml"/>
  <Override PartName="/word/drawings/drawing44.xml" ContentType="application/vnd.openxmlformats-officedocument.drawingml.chartshapes+xml"/>
  <Override PartName="/word/drawings/drawing55.xml" ContentType="application/vnd.openxmlformats-officedocument.drawingml.chartshapes+xml"/>
  <Override PartName="/word/charts/chart67.xml" ContentType="application/vnd.openxmlformats-officedocument.drawingml.chart+xml"/>
  <Override PartName="/word/drawings/drawing91.xml" ContentType="application/vnd.openxmlformats-officedocument.drawingml.chartshapes+xml"/>
  <Override PartName="/word/drawings/drawing113.xml" ContentType="application/vnd.openxmlformats-officedocument.drawingml.chartshapes+xml"/>
  <Override PartName="/word/charts/chart135.xml" ContentType="application/vnd.openxmlformats-officedocument.drawingml.chart+xml"/>
  <Override PartName="/word/charts/chart146.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drawings/drawing33.xml" ContentType="application/vnd.openxmlformats-officedocument.drawingml.chartshapes+xml"/>
  <Override PartName="/word/charts/chart45.xml" ContentType="application/vnd.openxmlformats-officedocument.drawingml.chart+xml"/>
  <Override PartName="/word/charts/chart56.xml" ContentType="application/vnd.openxmlformats-officedocument.drawingml.chart+xml"/>
  <Override PartName="/word/drawings/drawing80.xml" ContentType="application/vnd.openxmlformats-officedocument.drawingml.chartshapes+xml"/>
  <Override PartName="/word/charts/chart92.xml" ContentType="application/vnd.openxmlformats-officedocument.drawingml.chart+xml"/>
  <Override PartName="/word/drawings/drawing102.xml" ContentType="application/vnd.openxmlformats-officedocument.drawingml.chartshapes+xml"/>
  <Override PartName="/word/charts/chart124.xml" ContentType="application/vnd.openxmlformats-officedocument.drawingml.chart+xml"/>
  <Override PartName="/word/drawings/drawing22.xml" ContentType="application/vnd.openxmlformats-officedocument.drawingml.chartshapes+xml"/>
  <Override PartName="/word/charts/chart34.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footnotes.xml" ContentType="application/vnd.openxmlformats-officedocument.wordprocessingml.footnotes+xml"/>
  <Override PartName="/word/drawings/drawing129.xml" ContentType="application/vnd.openxmlformats-officedocument.drawingml.chartshapes+xml"/>
  <Override PartName="/word/drawings/drawing49.xml" ContentType="application/vnd.openxmlformats-officedocument.drawingml.chartshapes+xml"/>
  <Override PartName="/word/drawings/drawing96.xml" ContentType="application/vnd.openxmlformats-officedocument.drawingml.chartshapes+xml"/>
  <Override PartName="/word/drawings/drawing107.xml" ContentType="application/vnd.openxmlformats-officedocument.drawingml.chartshapes+xml"/>
  <Override PartName="/word/drawings/drawing118.xml" ContentType="application/vnd.openxmlformats-officedocument.drawingml.chartshapes+xml"/>
  <Override PartName="/word/drawings/drawing154.xml" ContentType="application/vnd.openxmlformats-officedocument.drawingml.chartshapes+xml"/>
  <Override PartName="/word/drawings/drawing38.xml" ContentType="application/vnd.openxmlformats-officedocument.drawingml.chartshapes+xml"/>
  <Override PartName="/word/drawings/drawing85.xml" ContentType="application/vnd.openxmlformats-officedocument.drawingml.chartshapes+xml"/>
  <Override PartName="/word/charts/chart97.xml" ContentType="application/vnd.openxmlformats-officedocument.drawingml.chart+xml"/>
  <Override PartName="/word/charts/chart129.xml" ContentType="application/vnd.openxmlformats-officedocument.drawingml.chart+xml"/>
  <Override PartName="/word/drawings/drawing143.xml" ContentType="application/vnd.openxmlformats-officedocument.drawingml.chartshapes+xml"/>
  <Default Extension="wmf" ContentType="image/x-wmf"/>
  <Override PartName="/word/drawings/drawing4.xml" ContentType="application/vnd.openxmlformats-officedocument.drawingml.chartshapes+xml"/>
  <Override PartName="/word/drawings/drawing16.xml" ContentType="application/vnd.openxmlformats-officedocument.drawingml.chartshapes+xml"/>
  <Override PartName="/word/drawings/drawing27.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drawings/drawing63.xml" ContentType="application/vnd.openxmlformats-officedocument.drawingml.chartshapes+xml"/>
  <Override PartName="/word/drawings/drawing74.xml" ContentType="application/vnd.openxmlformats-officedocument.drawingml.chartshapes+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drawings/drawing132.xml" ContentType="application/vnd.openxmlformats-officedocument.drawingml.chartshapes+xml"/>
  <Override PartName="/word/charts/chart154.xml" ContentType="application/vnd.openxmlformats-officedocument.drawingml.chart+xml"/>
  <Override PartName="/word/charts/chart17.xml" ContentType="application/vnd.openxmlformats-officedocument.drawingml.chart+xml"/>
  <Override PartName="/word/drawings/drawing52.xml" ContentType="application/vnd.openxmlformats-officedocument.drawingml.chartshapes+xml"/>
  <Override PartName="/word/charts/chart64.xml" ContentType="application/vnd.openxmlformats-officedocument.drawingml.chart+xml"/>
  <Override PartName="/word/drawings/drawing110.xml" ContentType="application/vnd.openxmlformats-officedocument.drawingml.chartshapes+xml"/>
  <Override PartName="/word/drawings/drawing121.xml" ContentType="application/vnd.openxmlformats-officedocument.drawingml.chartshapes+xml"/>
  <Override PartName="/word/charts/chart143.xml" ContentType="application/vnd.openxmlformats-officedocument.drawingml.chart+xml"/>
  <Override PartName="/word/footer1.xml" ContentType="application/vnd.openxmlformats-officedocument.wordprocessingml.footer+xml"/>
  <Override PartName="/word/drawings/drawing41.xml" ContentType="application/vnd.openxmlformats-officedocument.drawingml.chartshapes+xml"/>
  <Override PartName="/word/charts/chart53.xml" ContentType="application/vnd.openxmlformats-officedocument.drawingml.chart+xml"/>
  <Override PartName="/word/charts/chart132.xml" ContentType="application/vnd.openxmlformats-officedocument.drawingml.chart+xml"/>
  <Override PartName="/word/charts/chart3.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charts/chart42.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theme/themeOverride4.xml" ContentType="application/vnd.openxmlformats-officedocument.themeOverride+xml"/>
  <Override PartName="/word/drawings/drawing79.xml" ContentType="application/vnd.openxmlformats-officedocument.drawingml.chartshapes+xml"/>
  <Override PartName="/word/drawings/drawing137.xml" ContentType="application/vnd.openxmlformats-officedocument.drawingml.chartshapes+xml"/>
  <Override PartName="/word/drawings/drawing148.xml" ContentType="application/vnd.openxmlformats-officedocument.drawingml.chartshapes+xml"/>
  <Override PartName="/word/drawings/drawing9.xml" ContentType="application/vnd.openxmlformats-officedocument.drawingml.chartshapes+xml"/>
  <Override PartName="/word/drawings/drawing68.xml" ContentType="application/vnd.openxmlformats-officedocument.drawingml.chartshapes+xml"/>
  <Override PartName="/word/drawings/drawing126.xml" ContentType="application/vnd.openxmlformats-officedocument.drawingml.chartshapes+xml"/>
  <Default Extension="jpeg" ContentType="image/jpeg"/>
  <Override PartName="/word/drawings/drawing28.xml" ContentType="application/vnd.openxmlformats-officedocument.drawingml.chartshapes+xml"/>
  <Override PartName="/word/drawings/drawing46.xml" ContentType="application/vnd.openxmlformats-officedocument.drawingml.chartshapes+xml"/>
  <Override PartName="/word/drawings/drawing57.xml" ContentType="application/vnd.openxmlformats-officedocument.drawingml.chartshapes+xml"/>
  <Override PartName="/word/charts/chart69.xml" ContentType="application/vnd.openxmlformats-officedocument.drawingml.chart+xml"/>
  <Override PartName="/word/drawings/drawing75.xml" ContentType="application/vnd.openxmlformats-officedocument.drawingml.chartshapes+xml"/>
  <Override PartName="/word/charts/chart87.xml" ContentType="application/vnd.openxmlformats-officedocument.drawingml.chart+xml"/>
  <Override PartName="/word/drawings/drawing93.xml" ContentType="application/vnd.openxmlformats-officedocument.drawingml.chartshapes+xml"/>
  <Override PartName="/word/drawings/drawing115.xml" ContentType="application/vnd.openxmlformats-officedocument.drawingml.chartshapes+xml"/>
  <Override PartName="/word/charts/chart119.xml" ContentType="application/vnd.openxmlformats-officedocument.drawingml.chart+xml"/>
  <Override PartName="/word/drawings/drawing133.xml" ContentType="application/vnd.openxmlformats-officedocument.drawingml.chartshapes+xml"/>
  <Override PartName="/word/charts/chart137.xml" ContentType="application/vnd.openxmlformats-officedocument.drawingml.chart+xml"/>
  <Override PartName="/word/drawings/drawing144.xml" ContentType="application/vnd.openxmlformats-officedocument.drawingml.chartshapes+xml"/>
  <Override PartName="/word/charts/chart148.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word/charts/chart47.xml" ContentType="application/vnd.openxmlformats-officedocument.drawingml.chart+xml"/>
  <Override PartName="/word/charts/chart58.xml" ContentType="application/vnd.openxmlformats-officedocument.drawingml.chart+xml"/>
  <Override PartName="/word/drawings/drawing64.xml" ContentType="application/vnd.openxmlformats-officedocument.drawingml.chartshapes+xml"/>
  <Override PartName="/word/charts/chart76.xml" ContentType="application/vnd.openxmlformats-officedocument.drawingml.chart+xml"/>
  <Override PartName="/word/theme/themeOverride10.xml" ContentType="application/vnd.openxmlformats-officedocument.themeOverride+xml"/>
  <Override PartName="/word/drawings/drawing82.xml" ContentType="application/vnd.openxmlformats-officedocument.drawingml.chartshapes+xml"/>
  <Override PartName="/word/charts/chart94.xml" ContentType="application/vnd.openxmlformats-officedocument.drawingml.chart+xml"/>
  <Override PartName="/word/drawings/drawing104.xml" ContentType="application/vnd.openxmlformats-officedocument.drawingml.chartshapes+xml"/>
  <Override PartName="/word/charts/chart108.xml" ContentType="application/vnd.openxmlformats-officedocument.drawingml.chart+xml"/>
  <Override PartName="/word/drawings/drawing122.xml" ContentType="application/vnd.openxmlformats-officedocument.drawingml.chartshapes+xml"/>
  <Override PartName="/word/charts/chart126.xml" ContentType="application/vnd.openxmlformats-officedocument.drawingml.chart+xml"/>
  <Override PartName="/word/drawings/drawing140.xml" ContentType="application/vnd.openxmlformats-officedocument.drawingml.chartshapes+xml"/>
  <Override PartName="/word/drawings/drawing151.xml" ContentType="application/vnd.openxmlformats-officedocument.drawingml.chartshapes+xml"/>
  <Override PartName="/word/charts/chart155.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36.xml" ContentType="application/vnd.openxmlformats-officedocument.drawingml.chart+xml"/>
  <Override PartName="/word/drawings/drawing42.xml" ContentType="application/vnd.openxmlformats-officedocument.drawingml.chartshapes+xml"/>
  <Override PartName="/word/drawings/drawing53.xml" ContentType="application/vnd.openxmlformats-officedocument.drawingml.chartshapes+xml"/>
  <Override PartName="/word/charts/chart54.xml" ContentType="application/vnd.openxmlformats-officedocument.drawingml.chart+xml"/>
  <Override PartName="/word/charts/chart65.xml" ContentType="application/vnd.openxmlformats-officedocument.drawingml.chart+xml"/>
  <Override PartName="/word/drawings/drawing71.xml" ContentType="application/vnd.openxmlformats-officedocument.drawingml.chartshapes+xml"/>
  <Override PartName="/word/charts/chart83.xml" ContentType="application/vnd.openxmlformats-officedocument.drawingml.chart+xml"/>
  <Override PartName="/word/drawings/drawing111.xml" ContentType="application/vnd.openxmlformats-officedocument.drawingml.chartshapes+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43.xml" ContentType="application/vnd.openxmlformats-officedocument.drawingml.chart+xml"/>
  <Override PartName="/word/drawings/drawing60.xml" ContentType="application/vnd.openxmlformats-officedocument.drawingml.chartshapes+xml"/>
  <Override PartName="/word/charts/chart72.xml" ContentType="application/vnd.openxmlformats-officedocument.drawingml.chart+xml"/>
  <Override PartName="/word/charts/chart90.xml" ContentType="application/vnd.openxmlformats-officedocument.drawingml.chart+xml"/>
  <Override PartName="/word/drawings/drawing100.xml" ContentType="application/vnd.openxmlformats-officedocument.drawingml.chartshapes+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drawings/drawing20.xml" ContentType="application/vnd.openxmlformats-officedocument.drawingml.chartshapes+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theme/themeOverride9.xml" ContentType="application/vnd.openxmlformats-officedocument.themeOverride+xml"/>
  <Override PartName="/word/charts/chart111.xml" ContentType="application/vnd.openxmlformats-officedocument.drawingml.chart+xml"/>
  <Override PartName="/word/charts/chart140.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Override PartName="/word/drawings/drawing149.xml" ContentType="application/vnd.openxmlformats-officedocument.drawingml.chartshapes+xml"/>
  <Override PartName="/word/drawings/drawing98.xml" ContentType="application/vnd.openxmlformats-officedocument.drawingml.chartshapes+xml"/>
  <Override PartName="/word/drawings/drawing109.xml" ContentType="application/vnd.openxmlformats-officedocument.drawingml.chartshapes+xml"/>
  <Override PartName="/word/drawings/drawing156.xml" ContentType="application/vnd.openxmlformats-officedocument.drawingml.chartshapes+xml"/>
  <Override PartName="/customXml/itemProps1.xml" ContentType="application/vnd.openxmlformats-officedocument.customXmlProperties+xml"/>
  <Override PartName="/word/drawings/drawing87.xml" ContentType="application/vnd.openxmlformats-officedocument.drawingml.chartshapes+xml"/>
  <Override PartName="/word/charts/chart99.xml" ContentType="application/vnd.openxmlformats-officedocument.drawingml.chart+xml"/>
  <Override PartName="/word/drawings/drawing145.xml" ContentType="application/vnd.openxmlformats-officedocument.drawingml.chartshap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drawings/drawing65.xml" ContentType="application/vnd.openxmlformats-officedocument.drawingml.chartshapes+xml"/>
  <Override PartName="/word/theme/themeOverride1.xml" ContentType="application/vnd.openxmlformats-officedocument.themeOverride+xml"/>
  <Override PartName="/word/drawings/drawing76.xml" ContentType="application/vnd.openxmlformats-officedocument.drawingml.chartshapes+xml"/>
  <Override PartName="/word/charts/chart77.xml" ContentType="application/vnd.openxmlformats-officedocument.drawingml.chart+xml"/>
  <Override PartName="/word/theme/themeOverride11.xml" ContentType="application/vnd.openxmlformats-officedocument.themeOverride+xml"/>
  <Override PartName="/word/charts/chart88.xml" ContentType="application/vnd.openxmlformats-officedocument.drawingml.chart+xml"/>
  <Override PartName="/word/charts/chart109.xml" ContentType="application/vnd.openxmlformats-officedocument.drawingml.chart+xml"/>
  <Override PartName="/word/drawings/drawing134.xml" ContentType="application/vnd.openxmlformats-officedocument.drawingml.chartshapes+xml"/>
  <Override PartName="/word/charts/chart156.xml" ContentType="application/vnd.openxmlformats-officedocument.drawingml.chart+xml"/>
  <Override PartName="/word/charts/chart19.xml" ContentType="application/vnd.openxmlformats-officedocument.drawingml.chart+xml"/>
  <Override PartName="/word/drawings/drawing54.xml" ContentType="application/vnd.openxmlformats-officedocument.drawingml.chartshapes+xml"/>
  <Override PartName="/word/charts/chart66.xml" ContentType="application/vnd.openxmlformats-officedocument.drawingml.chart+xml"/>
  <Override PartName="/word/drawings/drawing112.xml" ContentType="application/vnd.openxmlformats-officedocument.drawingml.chartshapes+xml"/>
  <Override PartName="/word/drawings/drawing123.xml" ContentType="application/vnd.openxmlformats-officedocument.drawingml.chartshapes+xml"/>
  <Override PartName="/word/charts/chart145.xml" ContentType="application/vnd.openxmlformats-officedocument.drawingml.chart+xml"/>
  <Override PartName="/word/drawings/drawing43.xml" ContentType="application/vnd.openxmlformats-officedocument.drawingml.chartshapes+xml"/>
  <Override PartName="/word/charts/chart55.xml" ContentType="application/vnd.openxmlformats-officedocument.drawingml.chart+xml"/>
  <Override PartName="/word/drawings/drawing90.xml" ContentType="application/vnd.openxmlformats-officedocument.drawingml.chartshapes+xml"/>
  <Override PartName="/word/drawings/drawing101.xml" ContentType="application/vnd.openxmlformats-officedocument.drawingml.chartshapes+xml"/>
  <Override PartName="/word/charts/chart134.xml" ContentType="application/vnd.openxmlformats-officedocument.drawingml.chart+xml"/>
  <Override PartName="/word/charts/chart5.xml" ContentType="application/vnd.openxmlformats-officedocument.drawingml.chart+xml"/>
  <Override PartName="/word/drawings/drawing21.xml" ContentType="application/vnd.openxmlformats-officedocument.drawingml.chartshapes+xml"/>
  <Override PartName="/word/drawings/drawing32.xml" ContentType="application/vnd.openxmlformats-officedocument.drawingml.chartshapes+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drawings/drawing10.xml" ContentType="application/vnd.openxmlformats-officedocument.drawingml.chartshapes+xml"/>
  <Override PartName="/word/charts/chart22.xml" ContentType="application/vnd.openxmlformats-officedocument.drawingml.chart+xml"/>
  <Override PartName="/word/charts/chart33.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drawings/drawing139.xml" ContentType="application/vnd.openxmlformats-officedocument.drawingml.chartshapes+xml"/>
  <Override PartName="/word/drawings/drawing128.xml" ContentType="application/vnd.openxmlformats-officedocument.drawingml.chartshapes+xml"/>
  <Override PartName="/word/drawings/drawing48.xml" ContentType="application/vnd.openxmlformats-officedocument.drawingml.chartshapes+xml"/>
  <Override PartName="/word/drawings/drawing59.xml" ContentType="application/vnd.openxmlformats-officedocument.drawingml.chartshapes+xml"/>
  <Override PartName="/word/drawings/drawing95.xml" ContentType="application/vnd.openxmlformats-officedocument.drawingml.chartshapes+xml"/>
  <Override PartName="/word/drawings/drawing117.xml" ContentType="application/vnd.openxmlformats-officedocument.drawingml.chartshapes+xml"/>
  <Override PartName="/word/drawings/drawing37.xml" ContentType="application/vnd.openxmlformats-officedocument.drawingml.chartshapes+xml"/>
  <Override PartName="/word/charts/chart49.xml" ContentType="application/vnd.openxmlformats-officedocument.drawingml.chart+xml"/>
  <Override PartName="/word/drawings/drawing84.xml" ContentType="application/vnd.openxmlformats-officedocument.drawingml.chartshapes+xml"/>
  <Override PartName="/word/charts/chart96.xml" ContentType="application/vnd.openxmlformats-officedocument.drawingml.chart+xml"/>
  <Override PartName="/word/drawings/drawing106.xml" ContentType="application/vnd.openxmlformats-officedocument.drawingml.chartshapes+xml"/>
  <Override PartName="/word/charts/chart128.xml" ContentType="application/vnd.openxmlformats-officedocument.drawingml.chart+xml"/>
  <Override PartName="/word/charts/chart139.xml" ContentType="application/vnd.openxmlformats-officedocument.drawingml.chart+xml"/>
  <Override PartName="/word/drawings/drawing153.xml" ContentType="application/vnd.openxmlformats-officedocument.drawingml.chartshapes+xml"/>
  <Override PartName="/word/drawings/drawing3.xml" ContentType="application/vnd.openxmlformats-officedocument.drawingml.chartshapes+xml"/>
  <Override PartName="/word/drawings/drawing26.xml" ContentType="application/vnd.openxmlformats-officedocument.drawingml.chartshapes+xml"/>
  <Override PartName="/word/charts/chart38.xml" ContentType="application/vnd.openxmlformats-officedocument.drawingml.chart+xml"/>
  <Override PartName="/word/drawings/drawing73.xml" ContentType="application/vnd.openxmlformats-officedocument.drawingml.chartshapes+xml"/>
  <Override PartName="/word/charts/chart85.xml" ContentType="application/vnd.openxmlformats-officedocument.drawingml.chart+xml"/>
  <Override PartName="/word/charts/chart117.xml" ContentType="application/vnd.openxmlformats-officedocument.drawingml.chart+xml"/>
  <Override PartName="/word/drawings/drawing131.xml" ContentType="application/vnd.openxmlformats-officedocument.drawingml.chartshapes+xml"/>
  <Override PartName="/word/drawings/drawing142.xml" ContentType="application/vnd.openxmlformats-officedocument.drawingml.chartshapes+xml"/>
  <Override PartName="/word/drawings/drawing15.xml" ContentType="application/vnd.openxmlformats-officedocument.drawingml.chartshapes+xml"/>
  <Override PartName="/word/charts/chart27.xml" ContentType="application/vnd.openxmlformats-officedocument.drawingml.chart+xml"/>
  <Override PartName="/word/drawings/drawing62.xml" ContentType="application/vnd.openxmlformats-officedocument.drawingml.chartshapes+xml"/>
  <Override PartName="/word/charts/chart74.xml" ContentType="application/vnd.openxmlformats-officedocument.drawingml.chart+xml"/>
  <Override PartName="/word/charts/chart106.xml" ContentType="application/vnd.openxmlformats-officedocument.drawingml.chart+xml"/>
  <Override PartName="/word/drawings/drawing120.xml" ContentType="application/vnd.openxmlformats-officedocument.drawingml.chartshapes+xml"/>
  <Override PartName="/word/charts/chart153.xml" ContentType="application/vnd.openxmlformats-officedocument.drawingml.chart+xml"/>
  <Override PartName="/word/charts/chart16.xml" ContentType="application/vnd.openxmlformats-officedocument.drawingml.chart+xml"/>
  <Override PartName="/word/drawings/drawing40.xml" ContentType="application/vnd.openxmlformats-officedocument.drawingml.chartshapes+xml"/>
  <Override PartName="/word/drawings/drawing51.xml" ContentType="application/vnd.openxmlformats-officedocument.drawingml.chartshapes+xml"/>
  <Override PartName="/word/charts/chart52.xml" ContentType="application/vnd.openxmlformats-officedocument.drawingml.chart+xml"/>
  <Override PartName="/word/charts/chart6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2.xml" ContentType="application/vnd.openxmlformats-officedocument.drawingml.chart+xml"/>
  <Override PartName="/word/charts/chart41.xml" ContentType="application/vnd.openxmlformats-officedocument.drawingml.chart+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30.xml" ContentType="application/vnd.openxmlformats-officedocument.drawingml.chart+xml"/>
  <Override PartName="/docProps/core.xml" ContentType="application/vnd.openxmlformats-package.core-properties+xml"/>
  <Override PartName="/word/drawings/drawing89.xml" ContentType="application/vnd.openxmlformats-officedocument.drawingml.chartshapes+xml"/>
  <Override PartName="/word/drawings/drawing147.xml" ContentType="application/vnd.openxmlformats-officedocument.drawingml.chartshapes+xml"/>
  <Override PartName="/word/drawings/drawing8.xml" ContentType="application/vnd.openxmlformats-officedocument.drawingml.chartshapes+xml"/>
  <Override PartName="/word/drawings/drawing67.xml" ContentType="application/vnd.openxmlformats-officedocument.drawingml.chartshapes+xml"/>
  <Override PartName="/word/theme/themeOverride3.xml" ContentType="application/vnd.openxmlformats-officedocument.themeOverride+xml"/>
  <Override PartName="/word/drawings/drawing78.xml" ContentType="application/vnd.openxmlformats-officedocument.drawingml.chartshapes+xml"/>
  <Override PartName="/word/theme/themeOverride13.xml" ContentType="application/vnd.openxmlformats-officedocument.themeOverride+xml"/>
  <Override PartName="/word/drawings/drawing136.xml" ContentType="application/vnd.openxmlformats-officedocument.drawingml.chartshapes+xml"/>
  <Override PartName="/word/drawings/drawing56.xml" ContentType="application/vnd.openxmlformats-officedocument.drawingml.chartshapes+xml"/>
  <Override PartName="/word/charts/chart68.xml" ContentType="application/vnd.openxmlformats-officedocument.drawingml.chart+xml"/>
  <Override PartName="/word/charts/chart79.xml" ContentType="application/vnd.openxmlformats-officedocument.drawingml.chart+xml"/>
  <Override PartName="/word/drawings/drawing114.xml" ContentType="application/vnd.openxmlformats-officedocument.drawingml.chartshapes+xml"/>
  <Override PartName="/word/drawings/drawing125.xml" ContentType="application/vnd.openxmlformats-officedocument.drawingml.chartshapes+xml"/>
  <Override PartName="/word/charts/chart147.xml" ContentType="application/vnd.openxmlformats-officedocument.drawingml.chart+xml"/>
  <Default Extension="rels" ContentType="application/vnd.openxmlformats-package.relationships+xml"/>
  <Override PartName="/word/drawings/drawing45.xml" ContentType="application/vnd.openxmlformats-officedocument.drawingml.chartshapes+xml"/>
  <Override PartName="/word/charts/chart57.xml" ContentType="application/vnd.openxmlformats-officedocument.drawingml.chart+xml"/>
  <Override PartName="/word/drawings/drawing92.xml" ContentType="application/vnd.openxmlformats-officedocument.drawingml.chartshapes+xml"/>
  <Override PartName="/word/drawings/drawing103.xml" ContentType="application/vnd.openxmlformats-officedocument.drawingml.chartshapes+xml"/>
  <Override PartName="/word/charts/chart136.xml" ContentType="application/vnd.openxmlformats-officedocument.drawingml.chart+xml"/>
  <Override PartName="/word/drawings/drawing150.xml" ContentType="application/vnd.openxmlformats-officedocument.drawingml.chartshapes+xml"/>
  <Override PartName="/word/charts/chart7.xml" ContentType="application/vnd.openxmlformats-officedocument.drawingml.chart+xml"/>
  <Override PartName="/word/drawings/drawing23.xml" ContentType="application/vnd.openxmlformats-officedocument.drawingml.chartshapes+xml"/>
  <Override PartName="/word/drawings/drawing34.xml" ContentType="application/vnd.openxmlformats-officedocument.drawingml.chartshapes+xml"/>
  <Override PartName="/word/charts/chart46.xml" ContentType="application/vnd.openxmlformats-officedocument.drawingml.chart+xml"/>
  <Override PartName="/word/drawings/drawing70.xml" ContentType="application/vnd.openxmlformats-officedocument.drawingml.chartshapes+xml"/>
  <Override PartName="/word/drawings/drawing81.xml" ContentType="application/vnd.openxmlformats-officedocument.drawingml.chartshapes+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50.xml" ContentType="application/vnd.openxmlformats-officedocument.drawingml.chart+xml"/>
  <Override PartName="/word/charts/chart13.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Override PartName="/word/drawings/drawing119.xml" ContentType="application/vnd.openxmlformats-officedocument.drawingml.chartshapes+xml"/>
  <Override PartName="/word/drawings/drawing39.xml" ContentType="application/vnd.openxmlformats-officedocument.drawingml.chartshapes+xml"/>
  <Override PartName="/word/drawings/drawing86.xml" ContentType="application/vnd.openxmlformats-officedocument.drawingml.chartshapes+xml"/>
  <Override PartName="/word/drawings/drawing97.xml" ContentType="application/vnd.openxmlformats-officedocument.drawingml.chartshapes+xml"/>
  <Override PartName="/word/charts/chart98.xml" ContentType="application/vnd.openxmlformats-officedocument.drawingml.chart+xml"/>
  <Override PartName="/word/drawings/drawing108.xml" ContentType="application/vnd.openxmlformats-officedocument.drawingml.chartshapes+xml"/>
  <Override PartName="/word/drawings/drawing155.xml" ContentType="application/vnd.openxmlformats-officedocument.drawingml.chartshap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979" w:rsidRPr="009D423B" w:rsidRDefault="00326979" w:rsidP="00E063CB">
      <w:pPr>
        <w:widowControl/>
        <w:jc w:val="center"/>
        <w:rPr>
          <w:rFonts w:ascii="微软雅黑" w:eastAsia="微软雅黑" w:hAnsi="微软雅黑" w:cs="宋体"/>
          <w:b/>
          <w:szCs w:val="21"/>
        </w:rPr>
      </w:pPr>
    </w:p>
    <w:p w:rsidR="00326979" w:rsidRPr="009D423B" w:rsidRDefault="00326979" w:rsidP="00E063CB">
      <w:pPr>
        <w:widowControl/>
        <w:jc w:val="center"/>
        <w:rPr>
          <w:rFonts w:ascii="微软雅黑" w:eastAsia="微软雅黑" w:hAnsi="微软雅黑" w:cs="宋体"/>
          <w:b/>
          <w:szCs w:val="21"/>
        </w:rPr>
      </w:pPr>
    </w:p>
    <w:p w:rsidR="00326979" w:rsidRPr="009D423B" w:rsidRDefault="00326979" w:rsidP="00E063CB">
      <w:pPr>
        <w:widowControl/>
        <w:jc w:val="center"/>
        <w:rPr>
          <w:rFonts w:ascii="微软雅黑" w:eastAsia="微软雅黑" w:hAnsi="微软雅黑" w:cs="宋体"/>
          <w:b/>
          <w:szCs w:val="21"/>
        </w:rPr>
      </w:pPr>
    </w:p>
    <w:p w:rsidR="00326979" w:rsidRPr="009D423B" w:rsidRDefault="00326979" w:rsidP="00E063CB">
      <w:pPr>
        <w:widowControl/>
        <w:jc w:val="center"/>
        <w:rPr>
          <w:rFonts w:ascii="微软雅黑" w:eastAsia="微软雅黑" w:hAnsi="微软雅黑" w:cs="宋体"/>
          <w:b/>
          <w:szCs w:val="21"/>
        </w:rPr>
      </w:pPr>
    </w:p>
    <w:p w:rsidR="00873090" w:rsidRPr="009D423B" w:rsidRDefault="00CD3920" w:rsidP="00E063CB">
      <w:pPr>
        <w:widowControl/>
        <w:jc w:val="center"/>
        <w:rPr>
          <w:rFonts w:ascii="微软雅黑" w:eastAsia="微软雅黑" w:hAnsi="微软雅黑" w:cs="宋体"/>
          <w:b/>
          <w:sz w:val="44"/>
          <w:szCs w:val="44"/>
        </w:rPr>
      </w:pPr>
      <w:r w:rsidRPr="009D423B">
        <w:rPr>
          <w:rFonts w:ascii="微软雅黑" w:eastAsia="微软雅黑" w:hAnsi="微软雅黑" w:cs="宋体" w:hint="eastAsia"/>
          <w:b/>
          <w:sz w:val="44"/>
          <w:szCs w:val="44"/>
        </w:rPr>
        <w:t>201</w:t>
      </w:r>
      <w:r>
        <w:rPr>
          <w:rFonts w:ascii="微软雅黑" w:eastAsia="微软雅黑" w:hAnsi="微软雅黑" w:cs="宋体" w:hint="eastAsia"/>
          <w:b/>
          <w:sz w:val="44"/>
          <w:szCs w:val="44"/>
        </w:rPr>
        <w:t>7</w:t>
      </w:r>
      <w:r w:rsidR="00873090" w:rsidRPr="009D423B">
        <w:rPr>
          <w:rFonts w:ascii="微软雅黑" w:eastAsia="微软雅黑" w:hAnsi="微软雅黑" w:cs="宋体"/>
          <w:b/>
          <w:sz w:val="44"/>
          <w:szCs w:val="44"/>
        </w:rPr>
        <w:t>年陕西省互联网发展状况报告</w:t>
      </w:r>
    </w:p>
    <w:p w:rsidR="00804010" w:rsidRPr="00CD3920" w:rsidRDefault="00804010" w:rsidP="00E063CB">
      <w:pPr>
        <w:jc w:val="center"/>
        <w:rPr>
          <w:rFonts w:ascii="微软雅黑" w:eastAsia="微软雅黑" w:hAnsi="微软雅黑" w:cs="STHeiti"/>
          <w:b/>
          <w:szCs w:val="21"/>
        </w:rPr>
      </w:pPr>
    </w:p>
    <w:p w:rsidR="00804010" w:rsidRPr="009D423B" w:rsidRDefault="00804010" w:rsidP="00E063CB">
      <w:pPr>
        <w:jc w:val="center"/>
        <w:rPr>
          <w:rFonts w:ascii="微软雅黑" w:eastAsia="微软雅黑" w:hAnsi="微软雅黑" w:cs="STHeiti"/>
          <w:b/>
          <w:szCs w:val="21"/>
        </w:rPr>
      </w:pPr>
    </w:p>
    <w:p w:rsidR="00326979" w:rsidRPr="009D423B" w:rsidRDefault="00326979" w:rsidP="00E063CB">
      <w:pPr>
        <w:jc w:val="center"/>
        <w:rPr>
          <w:rFonts w:ascii="微软雅黑" w:eastAsia="微软雅黑" w:hAnsi="微软雅黑" w:cs="STHeiti"/>
          <w:b/>
          <w:szCs w:val="21"/>
        </w:rPr>
      </w:pPr>
    </w:p>
    <w:p w:rsidR="00326979" w:rsidRPr="009D423B" w:rsidRDefault="00326979" w:rsidP="00E063CB">
      <w:pPr>
        <w:jc w:val="center"/>
        <w:rPr>
          <w:rFonts w:ascii="微软雅黑" w:eastAsia="微软雅黑" w:hAnsi="微软雅黑" w:cs="STHeiti"/>
          <w:b/>
          <w:szCs w:val="21"/>
        </w:rPr>
      </w:pPr>
    </w:p>
    <w:p w:rsidR="00326979" w:rsidRPr="009D423B" w:rsidRDefault="00326979" w:rsidP="00E063CB">
      <w:pPr>
        <w:jc w:val="center"/>
        <w:rPr>
          <w:rFonts w:ascii="微软雅黑" w:eastAsia="微软雅黑" w:hAnsi="微软雅黑" w:cs="STHeiti"/>
          <w:b/>
          <w:szCs w:val="21"/>
        </w:rPr>
      </w:pPr>
    </w:p>
    <w:p w:rsidR="00326979" w:rsidRPr="009D423B" w:rsidRDefault="00326979" w:rsidP="00E063CB">
      <w:pPr>
        <w:jc w:val="center"/>
        <w:rPr>
          <w:rFonts w:ascii="微软雅黑" w:eastAsia="微软雅黑" w:hAnsi="微软雅黑" w:cs="STHeiti"/>
          <w:b/>
          <w:szCs w:val="21"/>
        </w:rPr>
      </w:pPr>
    </w:p>
    <w:p w:rsidR="00326979" w:rsidRPr="009D423B" w:rsidRDefault="00326979" w:rsidP="00E063CB">
      <w:pPr>
        <w:jc w:val="center"/>
        <w:rPr>
          <w:rFonts w:ascii="微软雅黑" w:eastAsia="微软雅黑" w:hAnsi="微软雅黑" w:cs="STHeiti"/>
          <w:b/>
          <w:szCs w:val="21"/>
        </w:rPr>
      </w:pPr>
    </w:p>
    <w:p w:rsidR="00F334B4" w:rsidRPr="009D423B" w:rsidRDefault="00F334B4" w:rsidP="00E063CB">
      <w:pPr>
        <w:jc w:val="center"/>
        <w:rPr>
          <w:rFonts w:ascii="微软雅黑" w:eastAsia="微软雅黑" w:hAnsi="微软雅黑" w:cs="STHeiti"/>
          <w:b/>
          <w:szCs w:val="21"/>
        </w:rPr>
      </w:pPr>
    </w:p>
    <w:p w:rsidR="00F334B4" w:rsidRPr="009D423B" w:rsidRDefault="00F334B4" w:rsidP="00E063CB">
      <w:pPr>
        <w:jc w:val="center"/>
        <w:rPr>
          <w:rFonts w:ascii="微软雅黑" w:eastAsia="微软雅黑" w:hAnsi="微软雅黑" w:cs="STHeiti"/>
          <w:b/>
          <w:szCs w:val="21"/>
        </w:rPr>
      </w:pPr>
    </w:p>
    <w:p w:rsidR="00326979" w:rsidRPr="009D423B" w:rsidRDefault="00326979" w:rsidP="00E063CB">
      <w:pPr>
        <w:jc w:val="center"/>
        <w:rPr>
          <w:rFonts w:ascii="微软雅黑" w:eastAsia="微软雅黑" w:hAnsi="微软雅黑" w:cs="STHeiti"/>
          <w:b/>
          <w:szCs w:val="21"/>
        </w:rPr>
      </w:pPr>
    </w:p>
    <w:p w:rsidR="00F334B4" w:rsidRPr="009D423B" w:rsidRDefault="00F334B4" w:rsidP="00E063CB">
      <w:pPr>
        <w:jc w:val="center"/>
        <w:rPr>
          <w:rFonts w:ascii="微软雅黑" w:eastAsia="微软雅黑" w:hAnsi="微软雅黑" w:cs="STHeiti"/>
          <w:b/>
          <w:szCs w:val="21"/>
        </w:rPr>
      </w:pPr>
    </w:p>
    <w:p w:rsidR="00F334B4" w:rsidRPr="009D423B" w:rsidRDefault="00366C15" w:rsidP="00E063CB">
      <w:pPr>
        <w:jc w:val="center"/>
        <w:rPr>
          <w:rFonts w:ascii="微软雅黑" w:eastAsia="微软雅黑" w:hAnsi="微软雅黑" w:cs="STHeiti"/>
          <w:b/>
          <w:sz w:val="30"/>
          <w:szCs w:val="30"/>
        </w:rPr>
      </w:pPr>
      <w:r w:rsidRPr="009D423B">
        <w:rPr>
          <w:rFonts w:ascii="微软雅黑" w:eastAsia="微软雅黑" w:hAnsi="微软雅黑" w:cs="STHeiti" w:hint="eastAsia"/>
          <w:b/>
          <w:sz w:val="30"/>
          <w:szCs w:val="30"/>
        </w:rPr>
        <w:t>陕西省</w:t>
      </w:r>
      <w:r w:rsidR="00CD3920">
        <w:rPr>
          <w:rFonts w:ascii="微软雅黑" w:eastAsia="微软雅黑" w:hAnsi="微软雅黑" w:cs="STHeiti" w:hint="eastAsia"/>
          <w:b/>
          <w:sz w:val="30"/>
          <w:szCs w:val="30"/>
        </w:rPr>
        <w:t>互联网协会</w:t>
      </w:r>
    </w:p>
    <w:p w:rsidR="00F334B4" w:rsidRPr="009D423B" w:rsidRDefault="000437AB" w:rsidP="00E063CB">
      <w:pPr>
        <w:jc w:val="center"/>
        <w:rPr>
          <w:rFonts w:ascii="微软雅黑" w:eastAsia="微软雅黑" w:hAnsi="微软雅黑" w:cs="STHeiti"/>
          <w:b/>
          <w:sz w:val="30"/>
          <w:szCs w:val="30"/>
        </w:rPr>
      </w:pPr>
      <w:r w:rsidRPr="009D423B">
        <w:rPr>
          <w:rFonts w:ascii="微软雅黑" w:eastAsia="微软雅黑" w:hAnsi="微软雅黑" w:cs="STHeiti" w:hint="eastAsia"/>
          <w:b/>
          <w:sz w:val="30"/>
          <w:szCs w:val="30"/>
        </w:rPr>
        <w:t>201</w:t>
      </w:r>
      <w:r>
        <w:rPr>
          <w:rFonts w:ascii="微软雅黑" w:eastAsia="微软雅黑" w:hAnsi="微软雅黑" w:cs="STHeiti" w:hint="eastAsia"/>
          <w:b/>
          <w:sz w:val="30"/>
          <w:szCs w:val="30"/>
        </w:rPr>
        <w:t>8</w:t>
      </w:r>
      <w:r w:rsidRPr="009D423B">
        <w:rPr>
          <w:rFonts w:ascii="微软雅黑" w:eastAsia="微软雅黑" w:hAnsi="微软雅黑" w:cs="STHeiti" w:hint="eastAsia"/>
          <w:b/>
          <w:sz w:val="30"/>
          <w:szCs w:val="30"/>
        </w:rPr>
        <w:t>年</w:t>
      </w:r>
      <w:r>
        <w:rPr>
          <w:rFonts w:ascii="微软雅黑" w:eastAsia="微软雅黑" w:hAnsi="微软雅黑" w:cs="STHeiti" w:hint="eastAsia"/>
          <w:b/>
          <w:sz w:val="30"/>
          <w:szCs w:val="30"/>
        </w:rPr>
        <w:t>8</w:t>
      </w:r>
      <w:r w:rsidR="00F334B4" w:rsidRPr="009D423B">
        <w:rPr>
          <w:rFonts w:ascii="微软雅黑" w:eastAsia="微软雅黑" w:hAnsi="微软雅黑" w:cs="STHeiti" w:hint="eastAsia"/>
          <w:b/>
          <w:sz w:val="30"/>
          <w:szCs w:val="30"/>
        </w:rPr>
        <w:t>月</w:t>
      </w:r>
    </w:p>
    <w:p w:rsidR="00F334B4" w:rsidRPr="009D423B" w:rsidRDefault="00F334B4" w:rsidP="00E063CB">
      <w:pPr>
        <w:jc w:val="center"/>
        <w:rPr>
          <w:rFonts w:ascii="微软雅黑" w:eastAsia="微软雅黑" w:hAnsi="微软雅黑" w:cs="STHeiti"/>
          <w:b/>
          <w:szCs w:val="21"/>
        </w:rPr>
      </w:pPr>
    </w:p>
    <w:p w:rsidR="00326979" w:rsidRPr="009D423B" w:rsidRDefault="00326979" w:rsidP="00E063CB">
      <w:pPr>
        <w:rPr>
          <w:rFonts w:ascii="微软雅黑" w:eastAsia="微软雅黑" w:hAnsi="微软雅黑" w:cs="STHeiti"/>
          <w:b/>
          <w:szCs w:val="21"/>
        </w:rPr>
      </w:pPr>
    </w:p>
    <w:p w:rsidR="00326979" w:rsidRPr="009D423B" w:rsidRDefault="00326979" w:rsidP="00E063CB">
      <w:pPr>
        <w:jc w:val="center"/>
        <w:rPr>
          <w:rFonts w:ascii="微软雅黑" w:eastAsia="微软雅黑" w:hAnsi="微软雅黑" w:cs="STHeiti"/>
          <w:b/>
          <w:szCs w:val="21"/>
        </w:rPr>
        <w:sectPr w:rsidR="00326979" w:rsidRPr="009D423B">
          <w:pgSz w:w="11906" w:h="16838"/>
          <w:pgMar w:top="1440" w:right="1800" w:bottom="1440" w:left="1800" w:header="851" w:footer="992" w:gutter="0"/>
          <w:cols w:space="425"/>
          <w:docGrid w:type="lines" w:linePitch="312"/>
        </w:sectPr>
      </w:pPr>
    </w:p>
    <w:p w:rsidR="00804010" w:rsidRPr="009D423B" w:rsidRDefault="00804010" w:rsidP="009D423B">
      <w:pPr>
        <w:jc w:val="center"/>
        <w:rPr>
          <w:rFonts w:ascii="微软雅黑" w:eastAsia="微软雅黑" w:hAnsi="微软雅黑" w:cs="STHeiti"/>
          <w:b/>
          <w:sz w:val="28"/>
          <w:szCs w:val="28"/>
        </w:rPr>
      </w:pPr>
      <w:r w:rsidRPr="009D423B">
        <w:rPr>
          <w:rFonts w:ascii="微软雅黑" w:eastAsia="微软雅黑" w:hAnsi="微软雅黑" w:cs="STHeiti" w:hint="eastAsia"/>
          <w:b/>
          <w:sz w:val="28"/>
          <w:szCs w:val="28"/>
        </w:rPr>
        <w:lastRenderedPageBreak/>
        <w:t>目</w:t>
      </w:r>
      <w:r w:rsidR="001C2D6F" w:rsidRPr="009D423B">
        <w:rPr>
          <w:rFonts w:ascii="微软雅黑" w:eastAsia="微软雅黑" w:hAnsi="微软雅黑" w:cs="STHeiti" w:hint="eastAsia"/>
          <w:b/>
          <w:sz w:val="28"/>
          <w:szCs w:val="28"/>
        </w:rPr>
        <w:t xml:space="preserve"> </w:t>
      </w:r>
      <w:r w:rsidR="003A209E" w:rsidRPr="009D423B">
        <w:rPr>
          <w:rFonts w:ascii="微软雅黑" w:eastAsia="微软雅黑" w:hAnsi="微软雅黑" w:cs="STHeiti" w:hint="eastAsia"/>
          <w:b/>
          <w:sz w:val="28"/>
          <w:szCs w:val="28"/>
        </w:rPr>
        <w:t xml:space="preserve"> </w:t>
      </w:r>
      <w:r w:rsidRPr="009D423B">
        <w:rPr>
          <w:rFonts w:ascii="微软雅黑" w:eastAsia="微软雅黑" w:hAnsi="微软雅黑" w:cs="STHeiti" w:hint="eastAsia"/>
          <w:b/>
          <w:sz w:val="28"/>
          <w:szCs w:val="28"/>
        </w:rPr>
        <w:t>录</w:t>
      </w:r>
    </w:p>
    <w:p w:rsidR="00017CB4" w:rsidRPr="00EF56C6" w:rsidRDefault="00BD4215" w:rsidP="00EF56C6">
      <w:pPr>
        <w:pStyle w:val="11"/>
        <w:spacing w:line="480" w:lineRule="exact"/>
        <w:rPr>
          <w:rFonts w:eastAsia="微软雅黑"/>
          <w:b/>
          <w:noProof/>
          <w:szCs w:val="22"/>
        </w:rPr>
      </w:pPr>
      <w:r w:rsidRPr="00017CB4">
        <w:rPr>
          <w:rFonts w:eastAsia="微软雅黑"/>
          <w:b/>
          <w:szCs w:val="21"/>
        </w:rPr>
        <w:fldChar w:fldCharType="begin"/>
      </w:r>
      <w:r w:rsidR="00031323" w:rsidRPr="00EF56C6">
        <w:rPr>
          <w:rFonts w:eastAsia="微软雅黑"/>
          <w:b/>
          <w:szCs w:val="21"/>
        </w:rPr>
        <w:instrText xml:space="preserve"> TOC \o "1-4" \h \z \u </w:instrText>
      </w:r>
      <w:r w:rsidRPr="00017CB4">
        <w:rPr>
          <w:rFonts w:eastAsia="微软雅黑"/>
          <w:b/>
          <w:szCs w:val="21"/>
        </w:rPr>
        <w:fldChar w:fldCharType="separate"/>
      </w:r>
      <w:hyperlink w:anchor="_Toc524417962" w:history="1">
        <w:r w:rsidR="00017CB4" w:rsidRPr="00EF56C6">
          <w:rPr>
            <w:rStyle w:val="a6"/>
            <w:rFonts w:eastAsia="微软雅黑"/>
            <w:b/>
            <w:noProof/>
          </w:rPr>
          <w:t>第一部分</w:t>
        </w:r>
        <w:r w:rsidR="00017CB4" w:rsidRPr="00EF56C6">
          <w:rPr>
            <w:rStyle w:val="a6"/>
            <w:rFonts w:eastAsia="微软雅黑"/>
            <w:b/>
            <w:noProof/>
          </w:rPr>
          <w:t xml:space="preserve">  </w:t>
        </w:r>
        <w:r w:rsidR="00017CB4" w:rsidRPr="00EF56C6">
          <w:rPr>
            <w:rStyle w:val="a6"/>
            <w:rFonts w:eastAsia="微软雅黑"/>
            <w:b/>
            <w:noProof/>
          </w:rPr>
          <w:t>报告摘要</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w:t>
        </w:r>
        <w:r w:rsidRPr="00EF56C6">
          <w:rPr>
            <w:rFonts w:eastAsia="微软雅黑"/>
            <w:b/>
            <w:noProof/>
            <w:webHidden/>
          </w:rPr>
          <w:fldChar w:fldCharType="end"/>
        </w:r>
      </w:hyperlink>
    </w:p>
    <w:p w:rsidR="00017CB4" w:rsidRPr="00EF56C6" w:rsidRDefault="00BD4215" w:rsidP="00EF56C6">
      <w:pPr>
        <w:pStyle w:val="11"/>
        <w:spacing w:line="480" w:lineRule="exact"/>
        <w:rPr>
          <w:rFonts w:eastAsia="微软雅黑"/>
          <w:b/>
          <w:noProof/>
          <w:szCs w:val="22"/>
        </w:rPr>
      </w:pPr>
      <w:hyperlink w:anchor="_Toc524417963" w:history="1">
        <w:r w:rsidR="00017CB4" w:rsidRPr="00EF56C6">
          <w:rPr>
            <w:rStyle w:val="a6"/>
            <w:rFonts w:eastAsia="微软雅黑"/>
            <w:b/>
            <w:noProof/>
          </w:rPr>
          <w:t>第二部分</w:t>
        </w:r>
        <w:r w:rsidR="00017CB4" w:rsidRPr="00EF56C6">
          <w:rPr>
            <w:rStyle w:val="a6"/>
            <w:rFonts w:eastAsia="微软雅黑"/>
            <w:b/>
            <w:noProof/>
          </w:rPr>
          <w:t xml:space="preserve">  </w:t>
        </w:r>
        <w:r w:rsidR="00017CB4" w:rsidRPr="00EF56C6">
          <w:rPr>
            <w:rStyle w:val="a6"/>
            <w:rFonts w:eastAsia="微软雅黑"/>
            <w:b/>
            <w:noProof/>
          </w:rPr>
          <w:t>报告正文</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7964" w:history="1">
        <w:r w:rsidR="00017CB4" w:rsidRPr="00EF56C6">
          <w:rPr>
            <w:rStyle w:val="a6"/>
            <w:rFonts w:eastAsia="微软雅黑"/>
            <w:b/>
            <w:noProof/>
          </w:rPr>
          <w:t>一、陕西省网民规模与结构特征</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65" w:history="1">
        <w:r w:rsidR="00017CB4" w:rsidRPr="00EF56C6">
          <w:rPr>
            <w:rStyle w:val="a6"/>
            <w:rFonts w:eastAsia="微软雅黑"/>
            <w:b/>
            <w:noProof/>
          </w:rPr>
          <w:t>（一）网民总体规模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66" w:history="1">
        <w:r w:rsidR="00017CB4" w:rsidRPr="00EF56C6">
          <w:rPr>
            <w:rStyle w:val="a6"/>
            <w:rFonts w:eastAsia="微软雅黑"/>
            <w:b/>
            <w:bCs/>
            <w:noProof/>
          </w:rPr>
          <w:t>1.</w:t>
        </w:r>
        <w:r w:rsidR="00017CB4" w:rsidRPr="00EF56C6">
          <w:rPr>
            <w:rStyle w:val="a6"/>
            <w:rFonts w:eastAsia="微软雅黑"/>
            <w:b/>
            <w:bCs/>
            <w:noProof/>
          </w:rPr>
          <w:t>网民整体规模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67" w:history="1">
        <w:r w:rsidR="00017CB4" w:rsidRPr="00EF56C6">
          <w:rPr>
            <w:rStyle w:val="a6"/>
            <w:rFonts w:eastAsia="微软雅黑"/>
            <w:b/>
            <w:bCs/>
            <w:noProof/>
          </w:rPr>
          <w:t>2.</w:t>
        </w:r>
        <w:r w:rsidR="00017CB4" w:rsidRPr="00EF56C6">
          <w:rPr>
            <w:rStyle w:val="a6"/>
            <w:rFonts w:eastAsia="微软雅黑"/>
            <w:b/>
            <w:bCs/>
            <w:noProof/>
          </w:rPr>
          <w:t>移动端独立设备数量</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5</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68" w:history="1">
        <w:r w:rsidR="00017CB4" w:rsidRPr="00EF56C6">
          <w:rPr>
            <w:rStyle w:val="a6"/>
            <w:rFonts w:eastAsia="微软雅黑"/>
            <w:b/>
            <w:noProof/>
          </w:rPr>
          <w:t>（二）网民结构特征</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69" w:history="1">
        <w:r w:rsidR="00017CB4" w:rsidRPr="00EF56C6">
          <w:rPr>
            <w:rStyle w:val="a6"/>
            <w:rFonts w:eastAsia="微软雅黑"/>
            <w:b/>
            <w:bCs/>
            <w:noProof/>
          </w:rPr>
          <w:t>1.PC</w:t>
        </w:r>
        <w:r w:rsidR="00017CB4" w:rsidRPr="00EF56C6">
          <w:rPr>
            <w:rStyle w:val="a6"/>
            <w:rFonts w:eastAsia="微软雅黑"/>
            <w:b/>
            <w:bCs/>
            <w:noProof/>
          </w:rPr>
          <w:t>端网民基本属性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_Toc524417969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70" w:history="1">
        <w:r w:rsidR="00017CB4" w:rsidRPr="00EF56C6">
          <w:rPr>
            <w:rStyle w:val="a6"/>
            <w:rFonts w:eastAsia="微软雅黑"/>
            <w:b/>
            <w:bCs/>
            <w:noProof/>
          </w:rPr>
          <w:t>2.</w:t>
        </w:r>
        <w:r w:rsidR="00017CB4" w:rsidRPr="00EF56C6">
          <w:rPr>
            <w:rStyle w:val="a6"/>
            <w:rFonts w:eastAsia="微软雅黑"/>
            <w:b/>
            <w:bCs/>
            <w:noProof/>
          </w:rPr>
          <w:t>移动端网民结构特征</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7971" w:history="1">
        <w:r w:rsidR="00017CB4" w:rsidRPr="00EF56C6">
          <w:rPr>
            <w:rStyle w:val="a6"/>
            <w:rFonts w:eastAsia="微软雅黑"/>
            <w:b/>
            <w:noProof/>
          </w:rPr>
          <w:t>二、陕西省网民新媒体使用情况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13</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72" w:history="1">
        <w:r w:rsidR="00017CB4" w:rsidRPr="00EF56C6">
          <w:rPr>
            <w:rStyle w:val="a6"/>
            <w:rFonts w:eastAsia="微软雅黑"/>
            <w:b/>
            <w:noProof/>
          </w:rPr>
          <w:t>（一）新媒体用户基本属性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73" w:history="1">
        <w:r w:rsidR="00017CB4" w:rsidRPr="00EF56C6">
          <w:rPr>
            <w:rStyle w:val="a6"/>
            <w:rFonts w:eastAsia="微软雅黑"/>
            <w:b/>
            <w:bCs/>
            <w:noProof/>
          </w:rPr>
          <w:t>1.</w:t>
        </w:r>
        <w:r w:rsidR="00017CB4" w:rsidRPr="00EF56C6">
          <w:rPr>
            <w:rStyle w:val="a6"/>
            <w:rFonts w:eastAsia="微软雅黑"/>
            <w:b/>
            <w:bCs/>
            <w:noProof/>
          </w:rPr>
          <w:t>新媒体用户性别分布</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74" w:history="1">
        <w:r w:rsidR="00017CB4" w:rsidRPr="00EF56C6">
          <w:rPr>
            <w:rStyle w:val="a6"/>
            <w:rFonts w:eastAsia="微软雅黑"/>
            <w:b/>
            <w:bCs/>
            <w:noProof/>
          </w:rPr>
          <w:t>2.</w:t>
        </w:r>
        <w:r w:rsidR="00017CB4" w:rsidRPr="00EF56C6">
          <w:rPr>
            <w:rStyle w:val="a6"/>
            <w:rFonts w:eastAsia="微软雅黑"/>
            <w:b/>
            <w:bCs/>
            <w:noProof/>
          </w:rPr>
          <w:t>新媒体用户年龄分布</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14</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75" w:history="1">
        <w:r w:rsidR="00017CB4" w:rsidRPr="00EF56C6">
          <w:rPr>
            <w:rStyle w:val="a6"/>
            <w:rFonts w:eastAsia="微软雅黑"/>
            <w:b/>
            <w:noProof/>
          </w:rPr>
          <w:t>（二）网民使用新媒体情况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76" w:history="1">
        <w:r w:rsidR="00017CB4" w:rsidRPr="00EF56C6">
          <w:rPr>
            <w:rStyle w:val="a6"/>
            <w:rFonts w:eastAsia="微软雅黑"/>
            <w:b/>
            <w:bCs/>
            <w:noProof/>
          </w:rPr>
          <w:t>1.</w:t>
        </w:r>
        <w:r w:rsidR="00017CB4" w:rsidRPr="00EF56C6">
          <w:rPr>
            <w:rStyle w:val="a6"/>
            <w:rFonts w:eastAsia="微软雅黑"/>
            <w:b/>
            <w:bCs/>
            <w:noProof/>
          </w:rPr>
          <w:t>用户使用新媒体整体情况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77" w:history="1">
        <w:r w:rsidR="00017CB4" w:rsidRPr="00EF56C6">
          <w:rPr>
            <w:rStyle w:val="a6"/>
            <w:rFonts w:eastAsia="微软雅黑"/>
            <w:b/>
            <w:bCs/>
            <w:noProof/>
          </w:rPr>
          <w:t>2.</w:t>
        </w:r>
        <w:r w:rsidR="00017CB4" w:rsidRPr="00EF56C6">
          <w:rPr>
            <w:rStyle w:val="a6"/>
            <w:rFonts w:eastAsia="微软雅黑"/>
            <w:b/>
            <w:bCs/>
            <w:noProof/>
          </w:rPr>
          <w:t>用户使用新媒体具体情况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15</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7978" w:history="1">
        <w:r w:rsidR="00017CB4" w:rsidRPr="00EF56C6">
          <w:rPr>
            <w:rStyle w:val="a6"/>
            <w:rFonts w:eastAsia="微软雅黑"/>
            <w:b/>
            <w:noProof/>
          </w:rPr>
          <w:t>三、陕西省网民在</w:t>
        </w:r>
        <w:r w:rsidR="00017CB4" w:rsidRPr="00EF56C6">
          <w:rPr>
            <w:rStyle w:val="a6"/>
            <w:rFonts w:eastAsia="微软雅黑"/>
            <w:b/>
            <w:noProof/>
          </w:rPr>
          <w:t>PC</w:t>
        </w:r>
        <w:r w:rsidR="00017CB4" w:rsidRPr="00EF56C6">
          <w:rPr>
            <w:rStyle w:val="a6"/>
            <w:rFonts w:eastAsia="微软雅黑"/>
            <w:b/>
            <w:noProof/>
          </w:rPr>
          <w:t>端网络应用情况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17</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79" w:history="1">
        <w:r w:rsidR="00017CB4" w:rsidRPr="00EF56C6">
          <w:rPr>
            <w:rStyle w:val="a6"/>
            <w:rFonts w:eastAsia="微软雅黑"/>
            <w:b/>
            <w:noProof/>
          </w:rPr>
          <w:t>（一）网民在</w:t>
        </w:r>
        <w:r w:rsidR="00017CB4" w:rsidRPr="00EF56C6">
          <w:rPr>
            <w:rStyle w:val="a6"/>
            <w:rFonts w:eastAsia="微软雅黑"/>
            <w:b/>
            <w:noProof/>
          </w:rPr>
          <w:t>PC</w:t>
        </w:r>
        <w:r w:rsidR="00017CB4" w:rsidRPr="00EF56C6">
          <w:rPr>
            <w:rStyle w:val="a6"/>
            <w:rFonts w:eastAsia="微软雅黑"/>
            <w:b/>
            <w:noProof/>
          </w:rPr>
          <w:t>端网络行为特征</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_Toc524417979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17</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0" w:history="1">
        <w:r w:rsidR="00017CB4" w:rsidRPr="00EF56C6">
          <w:rPr>
            <w:rStyle w:val="a6"/>
            <w:rFonts w:eastAsia="微软雅黑"/>
            <w:b/>
            <w:bCs/>
            <w:noProof/>
          </w:rPr>
          <w:t>1.PC</w:t>
        </w:r>
        <w:r w:rsidR="00017CB4" w:rsidRPr="00EF56C6">
          <w:rPr>
            <w:rStyle w:val="a6"/>
            <w:rFonts w:eastAsia="微软雅黑"/>
            <w:b/>
            <w:bCs/>
            <w:noProof/>
          </w:rPr>
          <w:t>端网民上网时段分布</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17</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1" w:history="1">
        <w:r w:rsidR="00017CB4" w:rsidRPr="00EF56C6">
          <w:rPr>
            <w:rStyle w:val="a6"/>
            <w:rFonts w:eastAsia="微软雅黑"/>
            <w:b/>
            <w:bCs/>
            <w:noProof/>
          </w:rPr>
          <w:t>2.PC</w:t>
        </w:r>
        <w:r w:rsidR="00017CB4" w:rsidRPr="00EF56C6">
          <w:rPr>
            <w:rStyle w:val="a6"/>
            <w:rFonts w:eastAsia="微软雅黑"/>
            <w:b/>
            <w:bCs/>
            <w:noProof/>
          </w:rPr>
          <w:t>端网民网络使用粘性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17</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2" w:history="1">
        <w:r w:rsidR="00017CB4" w:rsidRPr="00EF56C6">
          <w:rPr>
            <w:rStyle w:val="a6"/>
            <w:rFonts w:eastAsia="微软雅黑"/>
            <w:b/>
            <w:bCs/>
            <w:noProof/>
          </w:rPr>
          <w:t>3.PC</w:t>
        </w:r>
        <w:r w:rsidR="00017CB4" w:rsidRPr="00EF56C6">
          <w:rPr>
            <w:rStyle w:val="a6"/>
            <w:rFonts w:eastAsia="微软雅黑"/>
            <w:b/>
            <w:bCs/>
            <w:noProof/>
          </w:rPr>
          <w:t>端网民使用主要网络服务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21</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83" w:history="1">
        <w:r w:rsidR="00017CB4" w:rsidRPr="00EF56C6">
          <w:rPr>
            <w:rStyle w:val="a6"/>
            <w:rFonts w:eastAsia="微软雅黑"/>
            <w:b/>
            <w:noProof/>
          </w:rPr>
          <w:t>（二）网民在</w:t>
        </w:r>
        <w:r w:rsidR="00017CB4" w:rsidRPr="00EF56C6">
          <w:rPr>
            <w:rStyle w:val="a6"/>
            <w:rFonts w:eastAsia="微软雅黑"/>
            <w:b/>
            <w:noProof/>
          </w:rPr>
          <w:t>PC</w:t>
        </w:r>
        <w:r w:rsidR="00017CB4" w:rsidRPr="00EF56C6">
          <w:rPr>
            <w:rStyle w:val="a6"/>
            <w:rFonts w:eastAsia="微软雅黑"/>
            <w:b/>
            <w:noProof/>
          </w:rPr>
          <w:t>端网络应用情况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22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4" w:history="1">
        <w:r w:rsidR="00017CB4" w:rsidRPr="00EF56C6">
          <w:rPr>
            <w:rStyle w:val="a6"/>
            <w:rFonts w:eastAsia="微软雅黑"/>
            <w:b/>
            <w:noProof/>
          </w:rPr>
          <w:t>1.</w:t>
        </w:r>
        <w:r w:rsidR="00017CB4" w:rsidRPr="00EF56C6">
          <w:rPr>
            <w:rStyle w:val="a6"/>
            <w:rFonts w:eastAsia="微软雅黑"/>
            <w:b/>
            <w:bCs/>
            <w:noProof/>
          </w:rPr>
          <w:t>PC</w:t>
        </w:r>
        <w:r w:rsidR="00017CB4" w:rsidRPr="00EF56C6">
          <w:rPr>
            <w:rStyle w:val="a6"/>
            <w:rFonts w:eastAsia="微软雅黑"/>
            <w:b/>
            <w:bCs/>
            <w:noProof/>
          </w:rPr>
          <w:t>端</w:t>
        </w:r>
        <w:r w:rsidR="00017CB4" w:rsidRPr="00EF56C6">
          <w:rPr>
            <w:rStyle w:val="a6"/>
            <w:rFonts w:eastAsia="微软雅黑"/>
            <w:b/>
            <w:noProof/>
          </w:rPr>
          <w:t>网民使用搜索服务情况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22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5" w:history="1">
        <w:r w:rsidR="00017CB4" w:rsidRPr="00EF56C6">
          <w:rPr>
            <w:rStyle w:val="a6"/>
            <w:rFonts w:eastAsia="微软雅黑"/>
            <w:b/>
            <w:noProof/>
          </w:rPr>
          <w:t>2.</w:t>
        </w:r>
        <w:r w:rsidR="00017CB4" w:rsidRPr="00EF56C6">
          <w:rPr>
            <w:rStyle w:val="a6"/>
            <w:rFonts w:eastAsia="微软雅黑"/>
            <w:b/>
            <w:bCs/>
            <w:noProof/>
          </w:rPr>
          <w:t>PC</w:t>
        </w:r>
        <w:r w:rsidR="00017CB4" w:rsidRPr="00EF56C6">
          <w:rPr>
            <w:rStyle w:val="a6"/>
            <w:rFonts w:eastAsia="微软雅黑"/>
            <w:b/>
            <w:bCs/>
            <w:noProof/>
          </w:rPr>
          <w:t>端</w:t>
        </w:r>
        <w:r w:rsidR="00017CB4" w:rsidRPr="00EF56C6">
          <w:rPr>
            <w:rStyle w:val="a6"/>
            <w:rFonts w:eastAsia="微软雅黑"/>
            <w:b/>
            <w:noProof/>
          </w:rPr>
          <w:t>网民使用在线视频服务情况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25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6" w:history="1">
        <w:r w:rsidR="00017CB4" w:rsidRPr="00EF56C6">
          <w:rPr>
            <w:rStyle w:val="a6"/>
            <w:rFonts w:eastAsia="微软雅黑"/>
            <w:b/>
            <w:noProof/>
          </w:rPr>
          <w:t>3.</w:t>
        </w:r>
        <w:r w:rsidR="00017CB4" w:rsidRPr="00EF56C6">
          <w:rPr>
            <w:rStyle w:val="a6"/>
            <w:rFonts w:eastAsia="微软雅黑"/>
            <w:b/>
            <w:bCs/>
            <w:noProof/>
          </w:rPr>
          <w:t>PC</w:t>
        </w:r>
        <w:r w:rsidR="00017CB4" w:rsidRPr="00EF56C6">
          <w:rPr>
            <w:rStyle w:val="a6"/>
            <w:rFonts w:eastAsia="微软雅黑"/>
            <w:b/>
            <w:bCs/>
            <w:noProof/>
          </w:rPr>
          <w:t>端</w:t>
        </w:r>
        <w:r w:rsidR="00017CB4" w:rsidRPr="00EF56C6">
          <w:rPr>
            <w:rStyle w:val="a6"/>
            <w:rFonts w:eastAsia="微软雅黑"/>
            <w:b/>
            <w:noProof/>
          </w:rPr>
          <w:t>网民使用新闻资讯服务情况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28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7" w:history="1">
        <w:r w:rsidR="00017CB4" w:rsidRPr="00EF56C6">
          <w:rPr>
            <w:rStyle w:val="a6"/>
            <w:rFonts w:eastAsia="微软雅黑"/>
            <w:b/>
            <w:noProof/>
          </w:rPr>
          <w:t>4.PC</w:t>
        </w:r>
        <w:r w:rsidR="00017CB4" w:rsidRPr="00EF56C6">
          <w:rPr>
            <w:rStyle w:val="a6"/>
            <w:rFonts w:eastAsia="微软雅黑"/>
            <w:b/>
            <w:noProof/>
          </w:rPr>
          <w:t>端网民使用社区交友服务情况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31</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88" w:history="1">
        <w:r w:rsidR="00017CB4" w:rsidRPr="00EF56C6">
          <w:rPr>
            <w:rStyle w:val="a6"/>
            <w:rFonts w:eastAsia="微软雅黑"/>
            <w:b/>
            <w:noProof/>
          </w:rPr>
          <w:t>5.PC</w:t>
        </w:r>
        <w:r w:rsidR="00017CB4" w:rsidRPr="00EF56C6">
          <w:rPr>
            <w:rStyle w:val="a6"/>
            <w:rFonts w:eastAsia="微软雅黑"/>
            <w:b/>
            <w:noProof/>
          </w:rPr>
          <w:t>端网民使用电子商务服务情况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34</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7989" w:history="1">
        <w:r w:rsidR="00017CB4" w:rsidRPr="00EF56C6">
          <w:rPr>
            <w:rStyle w:val="a6"/>
            <w:rFonts w:eastAsia="微软雅黑"/>
            <w:b/>
            <w:noProof/>
          </w:rPr>
          <w:t>四、陕西省网民在移动端网络应用情况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_Toc524417989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38</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90" w:history="1">
        <w:r w:rsidR="00017CB4" w:rsidRPr="00EF56C6">
          <w:rPr>
            <w:rStyle w:val="a6"/>
            <w:rFonts w:eastAsia="微软雅黑"/>
            <w:b/>
            <w:noProof/>
          </w:rPr>
          <w:t>（一）网民在移动端网络行为特征</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38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1" w:history="1">
        <w:r w:rsidR="00017CB4" w:rsidRPr="00EF56C6">
          <w:rPr>
            <w:rStyle w:val="a6"/>
            <w:rFonts w:eastAsia="微软雅黑"/>
            <w:b/>
            <w:bCs/>
            <w:noProof/>
          </w:rPr>
          <w:t>1.</w:t>
        </w:r>
        <w:r w:rsidR="00017CB4" w:rsidRPr="00EF56C6">
          <w:rPr>
            <w:rStyle w:val="a6"/>
            <w:rFonts w:eastAsia="微软雅黑"/>
            <w:b/>
            <w:bCs/>
            <w:noProof/>
          </w:rPr>
          <w:t>移动端网民网络使用粘性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38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2" w:history="1">
        <w:r w:rsidR="00017CB4" w:rsidRPr="00EF56C6">
          <w:rPr>
            <w:rStyle w:val="a6"/>
            <w:rFonts w:eastAsia="微软雅黑"/>
            <w:b/>
            <w:bCs/>
            <w:noProof/>
          </w:rPr>
          <w:t>2.</w:t>
        </w:r>
        <w:r w:rsidR="00017CB4" w:rsidRPr="00EF56C6">
          <w:rPr>
            <w:rStyle w:val="a6"/>
            <w:rFonts w:eastAsia="微软雅黑"/>
            <w:b/>
            <w:bCs/>
            <w:noProof/>
          </w:rPr>
          <w:t>移动端网民使用的主要网络服务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41</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3" w:history="1">
        <w:r w:rsidR="00017CB4" w:rsidRPr="00EF56C6">
          <w:rPr>
            <w:rStyle w:val="a6"/>
            <w:rFonts w:eastAsia="微软雅黑"/>
            <w:b/>
            <w:bCs/>
            <w:noProof/>
          </w:rPr>
          <w:t>3.</w:t>
        </w:r>
        <w:r w:rsidR="00017CB4" w:rsidRPr="00EF56C6">
          <w:rPr>
            <w:rStyle w:val="a6"/>
            <w:rFonts w:eastAsia="微软雅黑"/>
            <w:b/>
            <w:bCs/>
            <w:noProof/>
          </w:rPr>
          <w:t>移动端网民最常用</w:t>
        </w:r>
        <w:r w:rsidR="00017CB4" w:rsidRPr="00EF56C6">
          <w:rPr>
            <w:rStyle w:val="a6"/>
            <w:rFonts w:eastAsia="微软雅黑"/>
            <w:b/>
            <w:bCs/>
            <w:noProof/>
          </w:rPr>
          <w:t>APP</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41</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7994" w:history="1">
        <w:r w:rsidR="00017CB4" w:rsidRPr="00EF56C6">
          <w:rPr>
            <w:rStyle w:val="a6"/>
            <w:rFonts w:eastAsia="微软雅黑"/>
            <w:b/>
            <w:noProof/>
          </w:rPr>
          <w:t>（二）网民使用移动端网络服务情况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5" w:history="1">
        <w:r w:rsidR="00017CB4" w:rsidRPr="00EF56C6">
          <w:rPr>
            <w:rStyle w:val="a6"/>
            <w:rFonts w:eastAsia="微软雅黑"/>
            <w:b/>
            <w:noProof/>
          </w:rPr>
          <w:t>1.</w:t>
        </w:r>
        <w:r w:rsidR="00017CB4" w:rsidRPr="00EF56C6">
          <w:rPr>
            <w:rStyle w:val="a6"/>
            <w:rFonts w:eastAsia="微软雅黑"/>
            <w:b/>
            <w:noProof/>
          </w:rPr>
          <w:t>使用通讯聊天</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6" w:history="1">
        <w:r w:rsidR="00017CB4" w:rsidRPr="00EF56C6">
          <w:rPr>
            <w:rStyle w:val="a6"/>
            <w:rFonts w:eastAsia="微软雅黑"/>
            <w:b/>
            <w:noProof/>
          </w:rPr>
          <w:t>2.</w:t>
        </w:r>
        <w:r w:rsidR="00017CB4" w:rsidRPr="00EF56C6">
          <w:rPr>
            <w:rStyle w:val="a6"/>
            <w:rFonts w:eastAsia="微软雅黑"/>
            <w:b/>
            <w:noProof/>
          </w:rPr>
          <w:t>使用实用工具</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7" w:history="1">
        <w:r w:rsidR="00017CB4" w:rsidRPr="00EF56C6">
          <w:rPr>
            <w:rStyle w:val="a6"/>
            <w:rFonts w:eastAsia="微软雅黑"/>
            <w:b/>
            <w:noProof/>
          </w:rPr>
          <w:t>3.</w:t>
        </w:r>
        <w:r w:rsidR="00017CB4" w:rsidRPr="00EF56C6">
          <w:rPr>
            <w:rStyle w:val="a6"/>
            <w:rFonts w:eastAsia="微软雅黑"/>
            <w:b/>
            <w:noProof/>
          </w:rPr>
          <w:t>使用视频服务</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48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8" w:history="1">
        <w:r w:rsidR="00017CB4" w:rsidRPr="00EF56C6">
          <w:rPr>
            <w:rStyle w:val="a6"/>
            <w:rFonts w:eastAsia="微软雅黑"/>
            <w:b/>
            <w:noProof/>
          </w:rPr>
          <w:t>4.</w:t>
        </w:r>
        <w:r w:rsidR="00017CB4" w:rsidRPr="00EF56C6">
          <w:rPr>
            <w:rStyle w:val="a6"/>
            <w:rFonts w:eastAsia="微软雅黑"/>
            <w:b/>
            <w:noProof/>
          </w:rPr>
          <w:t>使用便捷生活</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50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7999" w:history="1">
        <w:r w:rsidR="00017CB4" w:rsidRPr="00EF56C6">
          <w:rPr>
            <w:rStyle w:val="a6"/>
            <w:rFonts w:eastAsia="微软雅黑"/>
            <w:b/>
            <w:noProof/>
          </w:rPr>
          <w:t>5.</w:t>
        </w:r>
        <w:r w:rsidR="00017CB4" w:rsidRPr="00EF56C6">
          <w:rPr>
            <w:rStyle w:val="a6"/>
            <w:rFonts w:eastAsia="微软雅黑"/>
            <w:b/>
            <w:noProof/>
          </w:rPr>
          <w:t>使用金融理财</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_Toc524417999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53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0" w:history="1">
        <w:r w:rsidR="00017CB4" w:rsidRPr="00EF56C6">
          <w:rPr>
            <w:rStyle w:val="a6"/>
            <w:rFonts w:eastAsia="微软雅黑"/>
            <w:b/>
            <w:noProof/>
          </w:rPr>
          <w:t>6.</w:t>
        </w:r>
        <w:r w:rsidR="00017CB4" w:rsidRPr="00EF56C6">
          <w:rPr>
            <w:rStyle w:val="a6"/>
            <w:rFonts w:eastAsia="微软雅黑"/>
            <w:b/>
            <w:noProof/>
          </w:rPr>
          <w:t>使用电子商务</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55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1" w:history="1">
        <w:r w:rsidR="00017CB4" w:rsidRPr="00EF56C6">
          <w:rPr>
            <w:rStyle w:val="a6"/>
            <w:rFonts w:eastAsia="微软雅黑"/>
            <w:b/>
            <w:noProof/>
          </w:rPr>
          <w:t>7.</w:t>
        </w:r>
        <w:r w:rsidR="00017CB4" w:rsidRPr="00EF56C6">
          <w:rPr>
            <w:rStyle w:val="a6"/>
            <w:rFonts w:eastAsia="微软雅黑"/>
            <w:b/>
            <w:noProof/>
          </w:rPr>
          <w:t>使用游戏服务</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58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2" w:history="1">
        <w:r w:rsidR="00017CB4" w:rsidRPr="00EF56C6">
          <w:rPr>
            <w:rStyle w:val="a6"/>
            <w:rFonts w:eastAsia="微软雅黑"/>
            <w:b/>
            <w:noProof/>
          </w:rPr>
          <w:t>8.</w:t>
        </w:r>
        <w:r w:rsidR="00017CB4" w:rsidRPr="00EF56C6">
          <w:rPr>
            <w:rStyle w:val="a6"/>
            <w:rFonts w:eastAsia="微软雅黑"/>
            <w:b/>
            <w:noProof/>
          </w:rPr>
          <w:t>使用音乐音频</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3" w:history="1">
        <w:r w:rsidR="00017CB4" w:rsidRPr="00EF56C6">
          <w:rPr>
            <w:rStyle w:val="a6"/>
            <w:rFonts w:eastAsia="微软雅黑"/>
            <w:b/>
            <w:noProof/>
          </w:rPr>
          <w:t>9.</w:t>
        </w:r>
        <w:r w:rsidR="00017CB4" w:rsidRPr="00EF56C6">
          <w:rPr>
            <w:rStyle w:val="a6"/>
            <w:rFonts w:eastAsia="微软雅黑"/>
            <w:b/>
            <w:noProof/>
          </w:rPr>
          <w:t>使用应用分发</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4" w:history="1">
        <w:r w:rsidR="00017CB4" w:rsidRPr="00EF56C6">
          <w:rPr>
            <w:rStyle w:val="a6"/>
            <w:rFonts w:eastAsia="微软雅黑"/>
            <w:b/>
            <w:noProof/>
          </w:rPr>
          <w:t>10.</w:t>
        </w:r>
        <w:r w:rsidR="00017CB4" w:rsidRPr="00EF56C6">
          <w:rPr>
            <w:rStyle w:val="a6"/>
            <w:rFonts w:eastAsia="微软雅黑"/>
            <w:b/>
            <w:noProof/>
          </w:rPr>
          <w:t>使用综合资讯</w:t>
        </w:r>
        <w:r w:rsidR="00017CB4" w:rsidRPr="00EF56C6">
          <w:rPr>
            <w:rStyle w:val="a6"/>
            <w:rFonts w:eastAsia="微软雅黑"/>
            <w:b/>
            <w:noProof/>
          </w:rPr>
          <w:t>App</w:t>
        </w:r>
        <w:r w:rsidR="00017CB4" w:rsidRPr="00EF56C6">
          <w:rPr>
            <w:rStyle w:val="a6"/>
            <w:rFonts w:eastAsia="微软雅黑"/>
            <w:b/>
            <w:noProof/>
          </w:rPr>
          <w:t>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66</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05" w:history="1">
        <w:r w:rsidR="00017CB4" w:rsidRPr="00EF56C6">
          <w:rPr>
            <w:rStyle w:val="a6"/>
            <w:rFonts w:eastAsia="微软雅黑"/>
            <w:b/>
            <w:noProof/>
          </w:rPr>
          <w:t>五、陕西省通信业运营统计概况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69</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06" w:history="1">
        <w:r w:rsidR="00017CB4" w:rsidRPr="00EF56C6">
          <w:rPr>
            <w:rStyle w:val="a6"/>
            <w:rFonts w:eastAsia="微软雅黑"/>
            <w:b/>
            <w:noProof/>
          </w:rPr>
          <w:t>（一）互联网资源状况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69</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7" w:history="1">
        <w:r w:rsidR="00017CB4" w:rsidRPr="00EF56C6">
          <w:rPr>
            <w:rStyle w:val="a6"/>
            <w:rFonts w:eastAsia="微软雅黑"/>
            <w:b/>
            <w:noProof/>
          </w:rPr>
          <w:t>1.</w:t>
        </w:r>
        <w:r w:rsidR="00017CB4" w:rsidRPr="00EF56C6">
          <w:rPr>
            <w:rStyle w:val="a6"/>
            <w:rFonts w:eastAsia="微软雅黑"/>
            <w:b/>
            <w:noProof/>
          </w:rPr>
          <w:t>光缆线路长度</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69</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8" w:history="1">
        <w:r w:rsidR="00017CB4" w:rsidRPr="00EF56C6">
          <w:rPr>
            <w:rStyle w:val="a6"/>
            <w:rFonts w:eastAsia="微软雅黑"/>
            <w:b/>
            <w:noProof/>
          </w:rPr>
          <w:t>2.</w:t>
        </w:r>
        <w:r w:rsidR="00017CB4" w:rsidRPr="00EF56C6">
          <w:rPr>
            <w:rStyle w:val="a6"/>
            <w:rFonts w:eastAsia="微软雅黑"/>
            <w:b/>
            <w:noProof/>
          </w:rPr>
          <w:t>互联网宽带接入端口数量</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69</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09" w:history="1">
        <w:r w:rsidR="00017CB4" w:rsidRPr="00EF56C6">
          <w:rPr>
            <w:rStyle w:val="a6"/>
            <w:rFonts w:eastAsia="微软雅黑"/>
            <w:b/>
            <w:noProof/>
            <w:kern w:val="0"/>
          </w:rPr>
          <w:t>3</w:t>
        </w:r>
        <w:r w:rsidR="00017CB4" w:rsidRPr="00EF56C6">
          <w:rPr>
            <w:rStyle w:val="a6"/>
            <w:rFonts w:eastAsia="微软雅黑"/>
            <w:b/>
            <w:noProof/>
          </w:rPr>
          <w:t>.IPv4</w:t>
        </w:r>
        <w:r w:rsidR="00017CB4" w:rsidRPr="00EF56C6">
          <w:rPr>
            <w:rStyle w:val="a6"/>
            <w:rFonts w:eastAsia="微软雅黑"/>
            <w:b/>
            <w:noProof/>
          </w:rPr>
          <w:t>地址数量</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_Toc524418009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0" w:history="1">
        <w:r w:rsidR="00017CB4" w:rsidRPr="00EF56C6">
          <w:rPr>
            <w:rStyle w:val="a6"/>
            <w:rFonts w:eastAsia="微软雅黑"/>
            <w:b/>
            <w:noProof/>
          </w:rPr>
          <w:t>4.</w:t>
        </w:r>
        <w:r w:rsidR="00017CB4" w:rsidRPr="00EF56C6">
          <w:rPr>
            <w:rStyle w:val="a6"/>
            <w:rFonts w:eastAsia="微软雅黑"/>
            <w:b/>
            <w:noProof/>
          </w:rPr>
          <w:t>固定电话用户规模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1" w:history="1">
        <w:r w:rsidR="00017CB4" w:rsidRPr="00EF56C6">
          <w:rPr>
            <w:rStyle w:val="a6"/>
            <w:rFonts w:eastAsia="微软雅黑"/>
            <w:b/>
            <w:noProof/>
          </w:rPr>
          <w:t>5.</w:t>
        </w:r>
        <w:r w:rsidR="00017CB4" w:rsidRPr="00EF56C6">
          <w:rPr>
            <w:rStyle w:val="a6"/>
            <w:rFonts w:eastAsia="微软雅黑"/>
            <w:b/>
            <w:noProof/>
          </w:rPr>
          <w:t>（固定）互联网宽带接入用户</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71</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2" w:history="1">
        <w:r w:rsidR="00017CB4" w:rsidRPr="00EF56C6">
          <w:rPr>
            <w:rStyle w:val="a6"/>
            <w:rFonts w:eastAsia="微软雅黑"/>
            <w:b/>
            <w:noProof/>
          </w:rPr>
          <w:t>6.</w:t>
        </w:r>
        <w:r w:rsidR="00017CB4" w:rsidRPr="00EF56C6">
          <w:rPr>
            <w:rStyle w:val="a6"/>
            <w:rFonts w:eastAsia="微软雅黑"/>
            <w:b/>
            <w:noProof/>
          </w:rPr>
          <w:t>移动基站情况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3" w:history="1">
        <w:r w:rsidR="00017CB4" w:rsidRPr="00EF56C6">
          <w:rPr>
            <w:rStyle w:val="a6"/>
            <w:rFonts w:eastAsia="微软雅黑"/>
            <w:b/>
            <w:noProof/>
          </w:rPr>
          <w:t>7.</w:t>
        </w:r>
        <w:r w:rsidR="00017CB4" w:rsidRPr="00EF56C6">
          <w:rPr>
            <w:rStyle w:val="a6"/>
            <w:rFonts w:eastAsia="微软雅黑"/>
            <w:b/>
            <w:noProof/>
          </w:rPr>
          <w:t>移动电话用户规模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4" w:history="1">
        <w:r w:rsidR="00017CB4" w:rsidRPr="00EF56C6">
          <w:rPr>
            <w:rStyle w:val="a6"/>
            <w:rFonts w:eastAsia="微软雅黑"/>
            <w:b/>
            <w:noProof/>
          </w:rPr>
          <w:t>8.</w:t>
        </w:r>
        <w:r w:rsidR="00017CB4" w:rsidRPr="00EF56C6">
          <w:rPr>
            <w:rStyle w:val="a6"/>
            <w:rFonts w:eastAsia="微软雅黑"/>
            <w:b/>
            <w:noProof/>
          </w:rPr>
          <w:t>域名数量</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73</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15" w:history="1">
        <w:r w:rsidR="00017CB4" w:rsidRPr="00EF56C6">
          <w:rPr>
            <w:rStyle w:val="a6"/>
            <w:rFonts w:eastAsia="微软雅黑"/>
            <w:b/>
            <w:noProof/>
          </w:rPr>
          <w:t>（二）网站备案及接入情况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74</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6" w:history="1">
        <w:r w:rsidR="00017CB4" w:rsidRPr="00EF56C6">
          <w:rPr>
            <w:rStyle w:val="a6"/>
            <w:rFonts w:eastAsia="微软雅黑"/>
            <w:b/>
            <w:noProof/>
          </w:rPr>
          <w:t>1.</w:t>
        </w:r>
        <w:r w:rsidR="00017CB4" w:rsidRPr="00EF56C6">
          <w:rPr>
            <w:rStyle w:val="a6"/>
            <w:rFonts w:eastAsia="微软雅黑"/>
            <w:b/>
            <w:noProof/>
          </w:rPr>
          <w:t>备案网站情况统计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74</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7" w:history="1">
        <w:r w:rsidR="00017CB4" w:rsidRPr="00EF56C6">
          <w:rPr>
            <w:rStyle w:val="a6"/>
            <w:rFonts w:eastAsia="微软雅黑"/>
            <w:b/>
            <w:noProof/>
          </w:rPr>
          <w:t>2.</w:t>
        </w:r>
        <w:r w:rsidR="00017CB4" w:rsidRPr="00EF56C6">
          <w:rPr>
            <w:rStyle w:val="a6"/>
            <w:rFonts w:eastAsia="微软雅黑"/>
            <w:b/>
            <w:noProof/>
          </w:rPr>
          <w:t>基础电信运营商接入网站情况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18" w:history="1">
        <w:r w:rsidR="00017CB4" w:rsidRPr="00EF56C6">
          <w:rPr>
            <w:rStyle w:val="a6"/>
            <w:rFonts w:eastAsia="微软雅黑"/>
            <w:b/>
            <w:noProof/>
          </w:rPr>
          <w:t>3.</w:t>
        </w:r>
        <w:r w:rsidR="00017CB4" w:rsidRPr="00EF56C6">
          <w:rPr>
            <w:rStyle w:val="a6"/>
            <w:rFonts w:eastAsia="微软雅黑"/>
            <w:b/>
            <w:noProof/>
          </w:rPr>
          <w:t>增值电信企业接入网站情况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76</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19" w:history="1">
        <w:r w:rsidR="00017CB4" w:rsidRPr="00EF56C6">
          <w:rPr>
            <w:rStyle w:val="a6"/>
            <w:rFonts w:eastAsia="微软雅黑"/>
            <w:b/>
            <w:noProof/>
          </w:rPr>
          <w:t>六、陕西省网络安全概况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_Toc524418019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78</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20" w:history="1">
        <w:r w:rsidR="00017CB4" w:rsidRPr="00EF56C6">
          <w:rPr>
            <w:rStyle w:val="a6"/>
            <w:rFonts w:eastAsia="微软雅黑"/>
            <w:b/>
            <w:noProof/>
          </w:rPr>
          <w:t>（一）陕西省网络安全态势</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78</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21" w:history="1">
        <w:r w:rsidR="00017CB4" w:rsidRPr="00EF56C6">
          <w:rPr>
            <w:rStyle w:val="a6"/>
            <w:rFonts w:eastAsia="微软雅黑"/>
            <w:b/>
            <w:noProof/>
          </w:rPr>
          <w:t>（二）陕西省网络安全事件分析</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22" w:history="1">
        <w:r w:rsidR="00017CB4" w:rsidRPr="00EF56C6">
          <w:rPr>
            <w:rStyle w:val="a6"/>
            <w:rFonts w:eastAsia="微软雅黑"/>
            <w:b/>
            <w:noProof/>
          </w:rPr>
          <w:t>1.</w:t>
        </w:r>
        <w:r w:rsidR="00017CB4" w:rsidRPr="00EF56C6">
          <w:rPr>
            <w:rStyle w:val="a6"/>
            <w:rFonts w:eastAsia="微软雅黑"/>
            <w:b/>
            <w:noProof/>
          </w:rPr>
          <w:t>木马和僵尸网络事件分析</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23" w:history="1">
        <w:r w:rsidR="00017CB4" w:rsidRPr="00EF56C6">
          <w:rPr>
            <w:rStyle w:val="a6"/>
            <w:rFonts w:eastAsia="微软雅黑"/>
            <w:b/>
            <w:noProof/>
          </w:rPr>
          <w:t>2.</w:t>
        </w:r>
        <w:r w:rsidR="00017CB4" w:rsidRPr="00EF56C6">
          <w:rPr>
            <w:rStyle w:val="a6"/>
            <w:rFonts w:eastAsia="微软雅黑"/>
            <w:b/>
            <w:noProof/>
          </w:rPr>
          <w:t>飞客蠕虫病毒事件分析</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79</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24" w:history="1">
        <w:r w:rsidR="00017CB4" w:rsidRPr="00EF56C6">
          <w:rPr>
            <w:rStyle w:val="a6"/>
            <w:rFonts w:eastAsia="微软雅黑"/>
            <w:b/>
            <w:noProof/>
          </w:rPr>
          <w:t>3.</w:t>
        </w:r>
        <w:r w:rsidR="00017CB4" w:rsidRPr="00EF56C6">
          <w:rPr>
            <w:rStyle w:val="a6"/>
            <w:rFonts w:eastAsia="微软雅黑"/>
            <w:b/>
            <w:noProof/>
          </w:rPr>
          <w:t>网站篡改事件分析</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79</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25" w:history="1">
        <w:r w:rsidR="00017CB4" w:rsidRPr="00EF56C6">
          <w:rPr>
            <w:rStyle w:val="a6"/>
            <w:rFonts w:eastAsia="微软雅黑"/>
            <w:b/>
            <w:noProof/>
          </w:rPr>
          <w:t>七、陕西省互联网发展现状及建议</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81</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26" w:history="1">
        <w:r w:rsidR="00017CB4" w:rsidRPr="00EF56C6">
          <w:rPr>
            <w:rStyle w:val="a6"/>
            <w:rFonts w:eastAsia="微软雅黑"/>
            <w:b/>
            <w:noProof/>
          </w:rPr>
          <w:t>（一）国内互联网发展现状及趋势</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81</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27" w:history="1">
        <w:r w:rsidR="00017CB4" w:rsidRPr="00EF56C6">
          <w:rPr>
            <w:rStyle w:val="a6"/>
            <w:rFonts w:eastAsia="微软雅黑"/>
            <w:b/>
            <w:noProof/>
          </w:rPr>
          <w:t>1.</w:t>
        </w:r>
        <w:r w:rsidR="00017CB4" w:rsidRPr="00EF56C6">
          <w:rPr>
            <w:rStyle w:val="a6"/>
            <w:rFonts w:eastAsia="微软雅黑"/>
            <w:b/>
            <w:noProof/>
          </w:rPr>
          <w:t>互联网用户规模持续增长</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81</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28" w:history="1">
        <w:r w:rsidR="00017CB4" w:rsidRPr="00EF56C6">
          <w:rPr>
            <w:rStyle w:val="a6"/>
            <w:rFonts w:eastAsia="微软雅黑"/>
            <w:b/>
            <w:noProof/>
          </w:rPr>
          <w:t>2.</w:t>
        </w:r>
        <w:r w:rsidR="00017CB4" w:rsidRPr="00EF56C6">
          <w:rPr>
            <w:rStyle w:val="a6"/>
            <w:rFonts w:eastAsia="微软雅黑"/>
            <w:b/>
            <w:noProof/>
          </w:rPr>
          <w:t>网络经济规模持续增长</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81</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29" w:history="1">
        <w:r w:rsidR="00017CB4" w:rsidRPr="00EF56C6">
          <w:rPr>
            <w:rStyle w:val="a6"/>
            <w:rFonts w:eastAsia="微软雅黑"/>
            <w:b/>
            <w:bCs/>
            <w:noProof/>
          </w:rPr>
          <w:t>3.</w:t>
        </w:r>
        <w:r w:rsidR="00017CB4" w:rsidRPr="00EF56C6">
          <w:rPr>
            <w:rStyle w:val="a6"/>
            <w:rFonts w:eastAsia="微软雅黑"/>
            <w:b/>
            <w:bCs/>
            <w:noProof/>
          </w:rPr>
          <w:t>中国互联网将进入技术型人口红利时代</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_Toc524418029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82</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30" w:history="1">
        <w:r w:rsidR="00017CB4" w:rsidRPr="00EF56C6">
          <w:rPr>
            <w:rStyle w:val="a6"/>
            <w:rFonts w:eastAsia="微软雅黑"/>
            <w:b/>
            <w:noProof/>
          </w:rPr>
          <w:t>（二）陕西省互联网发展概况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31" w:history="1">
        <w:r w:rsidR="00017CB4" w:rsidRPr="00EF56C6">
          <w:rPr>
            <w:rStyle w:val="a6"/>
            <w:rFonts w:eastAsia="微软雅黑"/>
            <w:b/>
            <w:noProof/>
          </w:rPr>
          <w:t>1.</w:t>
        </w:r>
        <w:r w:rsidR="00017CB4" w:rsidRPr="00EF56C6">
          <w:rPr>
            <w:rStyle w:val="a6"/>
            <w:rFonts w:eastAsia="微软雅黑"/>
            <w:b/>
            <w:noProof/>
          </w:rPr>
          <w:t>互联网基础资源持续增加</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32" w:history="1">
        <w:r w:rsidR="00017CB4" w:rsidRPr="00EF56C6">
          <w:rPr>
            <w:rStyle w:val="a6"/>
            <w:rFonts w:eastAsia="微软雅黑"/>
            <w:b/>
            <w:noProof/>
          </w:rPr>
          <w:t>2.</w:t>
        </w:r>
        <w:r w:rsidR="00017CB4" w:rsidRPr="00EF56C6">
          <w:rPr>
            <w:rStyle w:val="a6"/>
            <w:rFonts w:eastAsia="微软雅黑"/>
            <w:b/>
            <w:noProof/>
          </w:rPr>
          <w:t>移动互联网及网络应用快速增长</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33" w:history="1">
        <w:r w:rsidR="00017CB4" w:rsidRPr="00EF56C6">
          <w:rPr>
            <w:rStyle w:val="a6"/>
            <w:rFonts w:eastAsia="微软雅黑"/>
            <w:b/>
            <w:noProof/>
          </w:rPr>
          <w:t>3.</w:t>
        </w:r>
        <w:r w:rsidR="00017CB4" w:rsidRPr="00EF56C6">
          <w:rPr>
            <w:rStyle w:val="a6"/>
            <w:rFonts w:eastAsia="微软雅黑"/>
            <w:b/>
            <w:noProof/>
          </w:rPr>
          <w:t>网络安全保障有力</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83</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34" w:history="1">
        <w:r w:rsidR="00017CB4" w:rsidRPr="00EF56C6">
          <w:rPr>
            <w:rStyle w:val="a6"/>
            <w:rFonts w:eastAsia="微软雅黑"/>
            <w:b/>
            <w:noProof/>
          </w:rPr>
          <w:t>（三）陕西省互联网发展对策建议</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84</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35" w:history="1">
        <w:r w:rsidR="00017CB4" w:rsidRPr="00EF56C6">
          <w:rPr>
            <w:rStyle w:val="a6"/>
            <w:rFonts w:eastAsia="微软雅黑"/>
            <w:b/>
            <w:noProof/>
          </w:rPr>
          <w:t>1.</w:t>
        </w:r>
        <w:r w:rsidR="00017CB4" w:rsidRPr="00EF56C6">
          <w:rPr>
            <w:rStyle w:val="a6"/>
            <w:rFonts w:eastAsia="微软雅黑"/>
            <w:b/>
            <w:noProof/>
          </w:rPr>
          <w:t>进一步强化网络基础设施建设</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84</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36" w:history="1">
        <w:r w:rsidR="00017CB4" w:rsidRPr="00EF56C6">
          <w:rPr>
            <w:rStyle w:val="a6"/>
            <w:rFonts w:eastAsia="微软雅黑"/>
            <w:b/>
            <w:noProof/>
          </w:rPr>
          <w:t>2.</w:t>
        </w:r>
        <w:r w:rsidR="00017CB4" w:rsidRPr="00EF56C6">
          <w:rPr>
            <w:rStyle w:val="a6"/>
            <w:rFonts w:eastAsia="微软雅黑"/>
            <w:b/>
            <w:noProof/>
          </w:rPr>
          <w:t>加快</w:t>
        </w:r>
        <w:r w:rsidR="00017CB4" w:rsidRPr="00EF56C6">
          <w:rPr>
            <w:rStyle w:val="a6"/>
            <w:rFonts w:eastAsia="微软雅黑"/>
            <w:b/>
            <w:noProof/>
          </w:rPr>
          <w:t>“</w:t>
        </w:r>
        <w:r w:rsidR="00017CB4" w:rsidRPr="00EF56C6">
          <w:rPr>
            <w:rStyle w:val="a6"/>
            <w:rFonts w:eastAsia="微软雅黑"/>
            <w:b/>
            <w:noProof/>
          </w:rPr>
          <w:t>互联网</w:t>
        </w:r>
        <w:r w:rsidR="00017CB4" w:rsidRPr="00EF56C6">
          <w:rPr>
            <w:rStyle w:val="a6"/>
            <w:rFonts w:eastAsia="微软雅黑"/>
            <w:b/>
            <w:noProof/>
          </w:rPr>
          <w:t>+</w:t>
        </w:r>
        <w:r w:rsidR="00017CB4" w:rsidRPr="00EF56C6">
          <w:rPr>
            <w:rStyle w:val="a6"/>
            <w:rFonts w:eastAsia="微软雅黑"/>
            <w:b/>
            <w:noProof/>
          </w:rPr>
          <w:t>政务服务</w:t>
        </w:r>
        <w:r w:rsidR="00017CB4" w:rsidRPr="00EF56C6">
          <w:rPr>
            <w:rStyle w:val="a6"/>
            <w:rFonts w:eastAsia="微软雅黑"/>
            <w:b/>
            <w:noProof/>
          </w:rPr>
          <w:t>”</w:t>
        </w:r>
        <w:r w:rsidR="00017CB4" w:rsidRPr="00EF56C6">
          <w:rPr>
            <w:rStyle w:val="a6"/>
            <w:rFonts w:eastAsia="微软雅黑"/>
            <w:b/>
            <w:noProof/>
          </w:rPr>
          <w:t>的应用</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37" w:history="1">
        <w:r w:rsidR="00017CB4" w:rsidRPr="00EF56C6">
          <w:rPr>
            <w:rStyle w:val="a6"/>
            <w:rFonts w:eastAsia="微软雅黑"/>
            <w:b/>
            <w:noProof/>
          </w:rPr>
          <w:t>3.</w:t>
        </w:r>
        <w:r w:rsidR="00017CB4" w:rsidRPr="00EF56C6">
          <w:rPr>
            <w:rStyle w:val="a6"/>
            <w:rFonts w:eastAsia="微软雅黑"/>
            <w:b/>
            <w:noProof/>
          </w:rPr>
          <w:t>大力发展数字经济促进产业转型升级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38" w:history="1">
        <w:r w:rsidR="00017CB4" w:rsidRPr="00EF56C6">
          <w:rPr>
            <w:rStyle w:val="a6"/>
            <w:rFonts w:eastAsia="微软雅黑"/>
            <w:b/>
            <w:noProof/>
          </w:rPr>
          <w:t>4.</w:t>
        </w:r>
        <w:r w:rsidR="00017CB4" w:rsidRPr="00EF56C6">
          <w:rPr>
            <w:rStyle w:val="a6"/>
            <w:rFonts w:eastAsia="微软雅黑"/>
            <w:b/>
            <w:noProof/>
          </w:rPr>
          <w:t>多举措强化互联网络安全治理</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85</w:t>
        </w:r>
        <w:r w:rsidRPr="00EF56C6">
          <w:rPr>
            <w:rFonts w:eastAsia="微软雅黑"/>
            <w:b/>
            <w:noProof/>
            <w:webHidden/>
          </w:rPr>
          <w:fldChar w:fldCharType="end"/>
        </w:r>
      </w:hyperlink>
    </w:p>
    <w:p w:rsidR="00017CB4" w:rsidRPr="00EF56C6" w:rsidRDefault="00BD4215" w:rsidP="00EF56C6">
      <w:pPr>
        <w:pStyle w:val="11"/>
        <w:spacing w:line="480" w:lineRule="exact"/>
        <w:rPr>
          <w:rFonts w:eastAsia="微软雅黑"/>
          <w:b/>
          <w:noProof/>
          <w:szCs w:val="22"/>
        </w:rPr>
      </w:pPr>
      <w:hyperlink w:anchor="_Toc524418039" w:history="1">
        <w:r w:rsidR="00017CB4" w:rsidRPr="00EF56C6">
          <w:rPr>
            <w:rStyle w:val="a6"/>
            <w:rFonts w:eastAsia="微软雅黑"/>
            <w:b/>
            <w:noProof/>
          </w:rPr>
          <w:t>第三部分</w:t>
        </w:r>
        <w:r w:rsidR="00017CB4" w:rsidRPr="00EF56C6">
          <w:rPr>
            <w:rStyle w:val="a6"/>
            <w:rFonts w:eastAsia="微软雅黑"/>
            <w:b/>
            <w:noProof/>
          </w:rPr>
          <w:t xml:space="preserve">  </w:t>
        </w:r>
        <w:r w:rsidR="00017CB4" w:rsidRPr="00EF56C6">
          <w:rPr>
            <w:rStyle w:val="a6"/>
            <w:rFonts w:eastAsia="微软雅黑"/>
            <w:b/>
            <w:noProof/>
          </w:rPr>
          <w:t>附录</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_Toc524418039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86</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40" w:history="1">
        <w:r w:rsidR="00017CB4" w:rsidRPr="00EF56C6">
          <w:rPr>
            <w:rStyle w:val="a6"/>
            <w:rFonts w:eastAsia="微软雅黑"/>
            <w:b/>
            <w:noProof/>
          </w:rPr>
          <w:t>一、我国互联网产业发展总体情况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86</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41" w:history="1">
        <w:r w:rsidR="00017CB4" w:rsidRPr="00EF56C6">
          <w:rPr>
            <w:rStyle w:val="a6"/>
            <w:rFonts w:eastAsia="微软雅黑"/>
            <w:b/>
            <w:noProof/>
          </w:rPr>
          <w:t>（一）新营销</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86</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42" w:history="1">
        <w:r w:rsidR="00017CB4" w:rsidRPr="00EF56C6">
          <w:rPr>
            <w:rStyle w:val="a6"/>
            <w:rFonts w:eastAsia="微软雅黑"/>
            <w:b/>
            <w:noProof/>
          </w:rPr>
          <w:t>1.</w:t>
        </w:r>
        <w:r w:rsidR="00017CB4" w:rsidRPr="00EF56C6">
          <w:rPr>
            <w:rStyle w:val="a6"/>
            <w:rFonts w:eastAsia="微软雅黑"/>
            <w:b/>
            <w:noProof/>
          </w:rPr>
          <w:t>网络营销的新阶段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86</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43" w:history="1">
        <w:r w:rsidR="00017CB4" w:rsidRPr="00EF56C6">
          <w:rPr>
            <w:rStyle w:val="a6"/>
            <w:rFonts w:eastAsia="微软雅黑"/>
            <w:b/>
            <w:noProof/>
          </w:rPr>
          <w:t>2.</w:t>
        </w:r>
        <w:r w:rsidR="00017CB4" w:rsidRPr="00EF56C6">
          <w:rPr>
            <w:rStyle w:val="a6"/>
            <w:rFonts w:eastAsia="微软雅黑"/>
            <w:b/>
            <w:noProof/>
          </w:rPr>
          <w:t>数字营销进入深水区</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86</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44" w:history="1">
        <w:r w:rsidR="00017CB4" w:rsidRPr="00EF56C6">
          <w:rPr>
            <w:rStyle w:val="a6"/>
            <w:rFonts w:eastAsia="微软雅黑"/>
            <w:b/>
            <w:noProof/>
          </w:rPr>
          <w:t>（二）新零售产业</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87</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45" w:history="1">
        <w:r w:rsidR="00017CB4" w:rsidRPr="00EF56C6">
          <w:rPr>
            <w:rStyle w:val="a6"/>
            <w:rFonts w:eastAsia="微软雅黑"/>
            <w:b/>
            <w:noProof/>
          </w:rPr>
          <w:t>1.</w:t>
        </w:r>
        <w:r w:rsidR="00017CB4" w:rsidRPr="00EF56C6">
          <w:rPr>
            <w:rStyle w:val="a6"/>
            <w:rFonts w:eastAsia="微软雅黑"/>
            <w:b/>
            <w:noProof/>
          </w:rPr>
          <w:t>线上零售平稳增长</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87</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46" w:history="1">
        <w:r w:rsidR="00017CB4" w:rsidRPr="00EF56C6">
          <w:rPr>
            <w:rStyle w:val="a6"/>
            <w:rFonts w:eastAsia="微软雅黑"/>
            <w:b/>
            <w:noProof/>
          </w:rPr>
          <w:t>2.“</w:t>
        </w:r>
        <w:r w:rsidR="00017CB4" w:rsidRPr="00EF56C6">
          <w:rPr>
            <w:rStyle w:val="a6"/>
            <w:rFonts w:eastAsia="微软雅黑"/>
            <w:b/>
            <w:noProof/>
          </w:rPr>
          <w:t>无人</w:t>
        </w:r>
        <w:r w:rsidR="00017CB4" w:rsidRPr="00EF56C6">
          <w:rPr>
            <w:rStyle w:val="a6"/>
            <w:rFonts w:eastAsia="微软雅黑"/>
            <w:b/>
            <w:noProof/>
          </w:rPr>
          <w:t>”</w:t>
        </w:r>
        <w:r w:rsidR="00017CB4" w:rsidRPr="00EF56C6">
          <w:rPr>
            <w:rStyle w:val="a6"/>
            <w:rFonts w:eastAsia="微软雅黑"/>
            <w:b/>
            <w:noProof/>
          </w:rPr>
          <w:t>业态引领零售创新浪潮</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47" w:history="1">
        <w:r w:rsidR="00017CB4" w:rsidRPr="00EF56C6">
          <w:rPr>
            <w:rStyle w:val="a6"/>
            <w:rFonts w:eastAsia="微软雅黑"/>
            <w:b/>
            <w:noProof/>
          </w:rPr>
          <w:t>3.</w:t>
        </w:r>
        <w:r w:rsidR="00017CB4" w:rsidRPr="00EF56C6">
          <w:rPr>
            <w:rStyle w:val="a6"/>
            <w:rFonts w:eastAsia="微软雅黑"/>
            <w:b/>
            <w:noProof/>
          </w:rPr>
          <w:t>消费升级倒逼上游供应链重塑</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89</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48" w:history="1">
        <w:r w:rsidR="00017CB4" w:rsidRPr="00EF56C6">
          <w:rPr>
            <w:rStyle w:val="a6"/>
            <w:rFonts w:eastAsia="微软雅黑"/>
            <w:b/>
            <w:noProof/>
          </w:rPr>
          <w:t>（三）本地生活服务</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89</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49" w:history="1">
        <w:r w:rsidR="00017CB4" w:rsidRPr="00EF56C6">
          <w:rPr>
            <w:rStyle w:val="a6"/>
            <w:rFonts w:eastAsia="微软雅黑"/>
            <w:b/>
            <w:noProof/>
          </w:rPr>
          <w:t>1.</w:t>
        </w:r>
        <w:r w:rsidR="00017CB4" w:rsidRPr="00EF56C6">
          <w:rPr>
            <w:rStyle w:val="a6"/>
            <w:rFonts w:eastAsia="微软雅黑"/>
            <w:b/>
            <w:noProof/>
          </w:rPr>
          <w:t>本地生活服务行业的互联网进程快速推进</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_Toc524418049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89</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0" w:history="1">
        <w:r w:rsidR="00017CB4" w:rsidRPr="00EF56C6">
          <w:rPr>
            <w:rStyle w:val="a6"/>
            <w:rFonts w:eastAsia="微软雅黑"/>
            <w:b/>
            <w:noProof/>
          </w:rPr>
          <w:t>2.</w:t>
        </w:r>
        <w:r w:rsidR="00017CB4" w:rsidRPr="00EF56C6">
          <w:rPr>
            <w:rStyle w:val="a6"/>
            <w:rFonts w:eastAsia="微软雅黑"/>
            <w:b/>
            <w:noProof/>
          </w:rPr>
          <w:t>细分领域体量差异大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1" w:history="1">
        <w:r w:rsidR="00017CB4" w:rsidRPr="00EF56C6">
          <w:rPr>
            <w:rStyle w:val="a6"/>
            <w:rFonts w:eastAsia="微软雅黑"/>
            <w:b/>
            <w:noProof/>
          </w:rPr>
          <w:t>3.</w:t>
        </w:r>
        <w:r w:rsidR="00017CB4" w:rsidRPr="00EF56C6">
          <w:rPr>
            <w:rStyle w:val="a6"/>
            <w:rFonts w:eastAsia="微软雅黑"/>
            <w:b/>
            <w:noProof/>
          </w:rPr>
          <w:t>餐饮</w:t>
        </w:r>
        <w:r w:rsidR="00017CB4" w:rsidRPr="00EF56C6">
          <w:rPr>
            <w:rStyle w:val="a6"/>
            <w:rFonts w:eastAsia="微软雅黑"/>
            <w:b/>
            <w:noProof/>
          </w:rPr>
          <w:t>O2O</w:t>
        </w:r>
        <w:r w:rsidR="00017CB4" w:rsidRPr="00EF56C6">
          <w:rPr>
            <w:rStyle w:val="a6"/>
            <w:rFonts w:eastAsia="微软雅黑"/>
            <w:b/>
            <w:noProof/>
          </w:rPr>
          <w:t>是推动互联网生活服务行业高速发展的重要引擎</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90</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52" w:history="1">
        <w:r w:rsidR="00017CB4" w:rsidRPr="00EF56C6">
          <w:rPr>
            <w:rStyle w:val="a6"/>
            <w:rFonts w:eastAsia="微软雅黑"/>
            <w:b/>
            <w:noProof/>
          </w:rPr>
          <w:t>（四）在线旅游</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3" w:history="1">
        <w:r w:rsidR="00017CB4" w:rsidRPr="00EF56C6">
          <w:rPr>
            <w:rStyle w:val="a6"/>
            <w:rFonts w:eastAsia="微软雅黑"/>
            <w:b/>
            <w:noProof/>
          </w:rPr>
          <w:t>1.</w:t>
        </w:r>
        <w:r w:rsidR="00017CB4" w:rsidRPr="00EF56C6">
          <w:rPr>
            <w:rStyle w:val="a6"/>
            <w:rFonts w:eastAsia="微软雅黑"/>
            <w:b/>
            <w:noProof/>
          </w:rPr>
          <w:t>流量运营进入提质阶段</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4" w:history="1">
        <w:r w:rsidR="00017CB4" w:rsidRPr="00EF56C6">
          <w:rPr>
            <w:rStyle w:val="a6"/>
            <w:rFonts w:eastAsia="微软雅黑"/>
            <w:b/>
            <w:noProof/>
          </w:rPr>
          <w:t>2.</w:t>
        </w:r>
        <w:r w:rsidR="00017CB4" w:rsidRPr="00EF56C6">
          <w:rPr>
            <w:rStyle w:val="a6"/>
            <w:rFonts w:eastAsia="微软雅黑"/>
            <w:b/>
            <w:noProof/>
          </w:rPr>
          <w:t>度假成为发展亮点，但机遇和困难并存</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91</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5" w:history="1">
        <w:r w:rsidR="00017CB4" w:rsidRPr="00EF56C6">
          <w:rPr>
            <w:rStyle w:val="a6"/>
            <w:rFonts w:eastAsia="微软雅黑"/>
            <w:b/>
            <w:noProof/>
          </w:rPr>
          <w:t>3.</w:t>
        </w:r>
        <w:r w:rsidR="00017CB4" w:rsidRPr="00EF56C6">
          <w:rPr>
            <w:rStyle w:val="a6"/>
            <w:rFonts w:eastAsia="微软雅黑"/>
            <w:b/>
            <w:noProof/>
          </w:rPr>
          <w:t>目的地服务准备起跑</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91</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56" w:history="1">
        <w:r w:rsidR="00017CB4" w:rsidRPr="00EF56C6">
          <w:rPr>
            <w:rStyle w:val="a6"/>
            <w:rFonts w:eastAsia="微软雅黑"/>
            <w:b/>
            <w:noProof/>
          </w:rPr>
          <w:t>（五）在线教育</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7" w:history="1">
        <w:r w:rsidR="00017CB4" w:rsidRPr="00EF56C6">
          <w:rPr>
            <w:rStyle w:val="a6"/>
            <w:rFonts w:eastAsia="微软雅黑"/>
            <w:b/>
            <w:noProof/>
          </w:rPr>
          <w:t>1.</w:t>
        </w:r>
        <w:r w:rsidR="00017CB4" w:rsidRPr="00EF56C6">
          <w:rPr>
            <w:rStyle w:val="a6"/>
            <w:rFonts w:eastAsia="微软雅黑"/>
            <w:b/>
            <w:noProof/>
          </w:rPr>
          <w:t>在线教育逐渐步入初步成熟期，市场进一步回归教育本质</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8" w:history="1">
        <w:r w:rsidR="00017CB4" w:rsidRPr="00EF56C6">
          <w:rPr>
            <w:rStyle w:val="a6"/>
            <w:rFonts w:eastAsia="微软雅黑"/>
            <w:b/>
            <w:noProof/>
          </w:rPr>
          <w:t>2.</w:t>
        </w:r>
        <w:r w:rsidR="00017CB4" w:rsidRPr="00EF56C6">
          <w:rPr>
            <w:rStyle w:val="a6"/>
            <w:rFonts w:eastAsia="微软雅黑"/>
            <w:b/>
            <w:noProof/>
          </w:rPr>
          <w:t>中小学在线教育市场份额逐年提升</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92</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59" w:history="1">
        <w:r w:rsidR="00017CB4" w:rsidRPr="00EF56C6">
          <w:rPr>
            <w:rStyle w:val="a6"/>
            <w:rFonts w:eastAsia="微软雅黑"/>
            <w:b/>
            <w:noProof/>
          </w:rPr>
          <w:t>3.</w:t>
        </w:r>
        <w:r w:rsidR="00017CB4" w:rsidRPr="00EF56C6">
          <w:rPr>
            <w:rStyle w:val="a6"/>
            <w:rFonts w:eastAsia="微软雅黑"/>
            <w:b/>
            <w:noProof/>
          </w:rPr>
          <w:t>中国在线教育用户规模未来将持续增长</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_Toc524418059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93</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60" w:history="1">
        <w:r w:rsidR="00017CB4" w:rsidRPr="00EF56C6">
          <w:rPr>
            <w:rStyle w:val="a6"/>
            <w:rFonts w:eastAsia="微软雅黑"/>
            <w:b/>
            <w:noProof/>
          </w:rPr>
          <w:t>（六）新金融</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61" w:history="1">
        <w:r w:rsidR="00017CB4" w:rsidRPr="00EF56C6">
          <w:rPr>
            <w:rStyle w:val="a6"/>
            <w:rFonts w:eastAsia="微软雅黑"/>
            <w:b/>
            <w:noProof/>
          </w:rPr>
          <w:t>1.</w:t>
        </w:r>
        <w:r w:rsidR="00017CB4" w:rsidRPr="00EF56C6">
          <w:rPr>
            <w:rStyle w:val="a6"/>
            <w:rFonts w:eastAsia="微软雅黑"/>
            <w:b/>
            <w:noProof/>
          </w:rPr>
          <w:t>十年酝酿，中国金融才真正开始线上化</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93</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62" w:history="1">
        <w:r w:rsidR="00017CB4" w:rsidRPr="00EF56C6">
          <w:rPr>
            <w:rStyle w:val="a6"/>
            <w:rFonts w:eastAsia="微软雅黑"/>
            <w:b/>
            <w:noProof/>
          </w:rPr>
          <w:t>2.</w:t>
        </w:r>
        <w:r w:rsidR="00017CB4" w:rsidRPr="00EF56C6">
          <w:rPr>
            <w:rStyle w:val="a6"/>
            <w:rFonts w:eastAsia="微软雅黑"/>
            <w:b/>
            <w:noProof/>
          </w:rPr>
          <w:t>互联网信贷进入品牌时代</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94</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63" w:history="1">
        <w:r w:rsidR="00017CB4" w:rsidRPr="00EF56C6">
          <w:rPr>
            <w:rStyle w:val="a6"/>
            <w:rFonts w:eastAsia="微软雅黑"/>
            <w:b/>
            <w:noProof/>
          </w:rPr>
          <w:t>3.</w:t>
        </w:r>
        <w:r w:rsidR="00017CB4" w:rsidRPr="00EF56C6">
          <w:rPr>
            <w:rStyle w:val="a6"/>
            <w:rFonts w:eastAsia="微软雅黑"/>
            <w:b/>
            <w:noProof/>
          </w:rPr>
          <w:t>多样化的资产处理方式加速传统金融互联网进程</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94</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64" w:history="1">
        <w:r w:rsidR="00017CB4" w:rsidRPr="00EF56C6">
          <w:rPr>
            <w:rStyle w:val="a6"/>
            <w:rFonts w:eastAsia="微软雅黑"/>
            <w:b/>
            <w:noProof/>
          </w:rPr>
          <w:t>二、陕西省网民网络使用粘性比较</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95</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65" w:history="1">
        <w:r w:rsidR="00017CB4" w:rsidRPr="00EF56C6">
          <w:rPr>
            <w:rStyle w:val="a6"/>
            <w:rFonts w:eastAsia="微软雅黑"/>
            <w:b/>
            <w:noProof/>
          </w:rPr>
          <w:t>（一）网民在</w:t>
        </w:r>
        <w:r w:rsidR="00017CB4" w:rsidRPr="00EF56C6">
          <w:rPr>
            <w:rStyle w:val="a6"/>
            <w:rFonts w:eastAsia="微软雅黑"/>
            <w:b/>
            <w:noProof/>
          </w:rPr>
          <w:t>PC</w:t>
        </w:r>
        <w:r w:rsidR="00017CB4" w:rsidRPr="00EF56C6">
          <w:rPr>
            <w:rStyle w:val="a6"/>
            <w:rFonts w:eastAsia="微软雅黑"/>
            <w:b/>
            <w:noProof/>
          </w:rPr>
          <w:t>端网络使用粘性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66" w:history="1">
        <w:r w:rsidR="00017CB4" w:rsidRPr="00EF56C6">
          <w:rPr>
            <w:rStyle w:val="a6"/>
            <w:rFonts w:eastAsia="微软雅黑"/>
            <w:b/>
            <w:noProof/>
          </w:rPr>
          <w:t>1.</w:t>
        </w:r>
        <w:r w:rsidR="00017CB4" w:rsidRPr="00EF56C6">
          <w:rPr>
            <w:rStyle w:val="a6"/>
            <w:rFonts w:eastAsia="微软雅黑"/>
            <w:b/>
            <w:noProof/>
          </w:rPr>
          <w:t>人均月度访问天数</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95</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67" w:history="1">
        <w:r w:rsidR="00017CB4" w:rsidRPr="00EF56C6">
          <w:rPr>
            <w:rStyle w:val="a6"/>
            <w:rFonts w:eastAsia="微软雅黑"/>
            <w:b/>
            <w:noProof/>
          </w:rPr>
          <w:t>2.</w:t>
        </w:r>
        <w:r w:rsidR="00017CB4" w:rsidRPr="00EF56C6">
          <w:rPr>
            <w:rStyle w:val="a6"/>
            <w:rFonts w:eastAsia="微软雅黑"/>
            <w:b/>
            <w:noProof/>
          </w:rPr>
          <w:t>人均月度访问次数</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96</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68" w:history="1">
        <w:r w:rsidR="00017CB4" w:rsidRPr="00EF56C6">
          <w:rPr>
            <w:rStyle w:val="a6"/>
            <w:rFonts w:eastAsia="微软雅黑"/>
            <w:b/>
            <w:noProof/>
          </w:rPr>
          <w:t>3.</w:t>
        </w:r>
        <w:r w:rsidR="00017CB4" w:rsidRPr="00EF56C6">
          <w:rPr>
            <w:rStyle w:val="a6"/>
            <w:rFonts w:eastAsia="微软雅黑"/>
            <w:b/>
            <w:noProof/>
          </w:rPr>
          <w:t>人均单日有效浏览时间</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96</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69" w:history="1">
        <w:r w:rsidR="00017CB4" w:rsidRPr="00EF56C6">
          <w:rPr>
            <w:rStyle w:val="a6"/>
            <w:rFonts w:eastAsia="微软雅黑"/>
            <w:b/>
            <w:noProof/>
          </w:rPr>
          <w:t>4.</w:t>
        </w:r>
        <w:r w:rsidR="00017CB4" w:rsidRPr="00EF56C6">
          <w:rPr>
            <w:rStyle w:val="a6"/>
            <w:rFonts w:eastAsia="微软雅黑"/>
            <w:b/>
            <w:noProof/>
          </w:rPr>
          <w:t>人均单次浏览页面</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_Toc524418069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97</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70" w:history="1">
        <w:r w:rsidR="00017CB4" w:rsidRPr="00EF56C6">
          <w:rPr>
            <w:rStyle w:val="a6"/>
            <w:rFonts w:eastAsia="微软雅黑"/>
            <w:b/>
            <w:noProof/>
          </w:rPr>
          <w:t>（二）网民在移动端网络使用粘性</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71" w:history="1">
        <w:r w:rsidR="00017CB4" w:rsidRPr="00EF56C6">
          <w:rPr>
            <w:rStyle w:val="a6"/>
            <w:rFonts w:eastAsia="微软雅黑"/>
            <w:b/>
            <w:bCs/>
            <w:noProof/>
          </w:rPr>
          <w:t>1.</w:t>
        </w:r>
        <w:r w:rsidR="00017CB4" w:rsidRPr="00EF56C6">
          <w:rPr>
            <w:rStyle w:val="a6"/>
            <w:rFonts w:eastAsia="微软雅黑"/>
            <w:b/>
            <w:bCs/>
            <w:noProof/>
          </w:rPr>
          <w:t>月独立设备数量</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98</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72" w:history="1">
        <w:r w:rsidR="00017CB4" w:rsidRPr="00EF56C6">
          <w:rPr>
            <w:rStyle w:val="a6"/>
            <w:rFonts w:eastAsia="微软雅黑"/>
            <w:b/>
            <w:noProof/>
          </w:rPr>
          <w:t>2.</w:t>
        </w:r>
        <w:r w:rsidR="00017CB4" w:rsidRPr="00EF56C6">
          <w:rPr>
            <w:rStyle w:val="a6"/>
            <w:rFonts w:eastAsia="微软雅黑"/>
            <w:b/>
            <w:noProof/>
          </w:rPr>
          <w:t>单机使用天数</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99</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73" w:history="1">
        <w:r w:rsidR="00017CB4" w:rsidRPr="00EF56C6">
          <w:rPr>
            <w:rStyle w:val="a6"/>
            <w:rFonts w:eastAsia="微软雅黑"/>
            <w:b/>
            <w:noProof/>
          </w:rPr>
          <w:t>3.</w:t>
        </w:r>
        <w:r w:rsidR="00017CB4" w:rsidRPr="00EF56C6">
          <w:rPr>
            <w:rStyle w:val="a6"/>
            <w:rFonts w:eastAsia="微软雅黑"/>
            <w:b/>
            <w:noProof/>
          </w:rPr>
          <w:t>单机单日使用次数</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100</w:t>
        </w:r>
        <w:r w:rsidRPr="00EF56C6">
          <w:rPr>
            <w:rFonts w:eastAsia="微软雅黑"/>
            <w:b/>
            <w:noProof/>
            <w:webHidden/>
          </w:rPr>
          <w:fldChar w:fldCharType="end"/>
        </w:r>
      </w:hyperlink>
    </w:p>
    <w:p w:rsidR="00017CB4" w:rsidRPr="00EF56C6" w:rsidRDefault="00BD4215" w:rsidP="00EF56C6">
      <w:pPr>
        <w:pStyle w:val="40"/>
        <w:tabs>
          <w:tab w:val="right" w:leader="dot" w:pos="8296"/>
        </w:tabs>
        <w:spacing w:line="480" w:lineRule="exact"/>
        <w:rPr>
          <w:rFonts w:eastAsia="微软雅黑"/>
          <w:b/>
          <w:noProof/>
          <w:szCs w:val="22"/>
        </w:rPr>
      </w:pPr>
      <w:hyperlink w:anchor="_Toc524418074" w:history="1">
        <w:r w:rsidR="00017CB4" w:rsidRPr="00EF56C6">
          <w:rPr>
            <w:rStyle w:val="a6"/>
            <w:rFonts w:eastAsia="微软雅黑"/>
            <w:b/>
            <w:noProof/>
          </w:rPr>
          <w:t>4.</w:t>
        </w:r>
        <w:r w:rsidR="00017CB4" w:rsidRPr="00EF56C6">
          <w:rPr>
            <w:rStyle w:val="a6"/>
            <w:rFonts w:eastAsia="微软雅黑"/>
            <w:b/>
            <w:noProof/>
          </w:rPr>
          <w:t>单机单次有效时间</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101</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75" w:history="1">
        <w:r w:rsidR="00017CB4" w:rsidRPr="00EF56C6">
          <w:rPr>
            <w:rStyle w:val="a6"/>
            <w:rFonts w:eastAsia="微软雅黑"/>
            <w:b/>
            <w:noProof/>
          </w:rPr>
          <w:t>三、陕西省与部分省份互联网行业动向</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102</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76" w:history="1">
        <w:r w:rsidR="00017CB4" w:rsidRPr="00EF56C6">
          <w:rPr>
            <w:rStyle w:val="a6"/>
            <w:rFonts w:eastAsia="微软雅黑"/>
            <w:b/>
            <w:noProof/>
          </w:rPr>
          <w:t>（一）陕西省移动互联应用渗透率较高</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102</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77" w:history="1">
        <w:r w:rsidR="00017CB4" w:rsidRPr="00EF56C6">
          <w:rPr>
            <w:rStyle w:val="a6"/>
            <w:rFonts w:eastAsia="微软雅黑"/>
            <w:b/>
            <w:noProof/>
          </w:rPr>
          <w:t>（二）</w:t>
        </w:r>
        <w:r w:rsidR="00017CB4" w:rsidRPr="00EF56C6">
          <w:rPr>
            <w:rStyle w:val="a6"/>
            <w:rFonts w:eastAsia="微软雅黑"/>
            <w:b/>
            <w:noProof/>
          </w:rPr>
          <w:t>“</w:t>
        </w:r>
        <w:r w:rsidR="00017CB4" w:rsidRPr="00EF56C6">
          <w:rPr>
            <w:rStyle w:val="a6"/>
            <w:rFonts w:eastAsia="微软雅黑"/>
            <w:b/>
            <w:noProof/>
          </w:rPr>
          <w:t>互联网</w:t>
        </w:r>
        <w:r w:rsidR="00017CB4" w:rsidRPr="00EF56C6">
          <w:rPr>
            <w:rStyle w:val="a6"/>
            <w:rFonts w:eastAsia="微软雅黑"/>
            <w:b/>
            <w:noProof/>
          </w:rPr>
          <w:t>+”</w:t>
        </w:r>
        <w:r w:rsidR="00017CB4" w:rsidRPr="00EF56C6">
          <w:rPr>
            <w:rStyle w:val="a6"/>
            <w:rFonts w:eastAsia="微软雅黑"/>
            <w:b/>
            <w:noProof/>
          </w:rPr>
          <w:t>是当前最为热门领域</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_Toc524418077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103</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78" w:history="1">
        <w:r w:rsidR="00017CB4" w:rsidRPr="00EF56C6">
          <w:rPr>
            <w:rStyle w:val="a6"/>
            <w:rFonts w:eastAsia="微软雅黑"/>
            <w:b/>
            <w:noProof/>
          </w:rPr>
          <w:t>（三）陕西及部分省市互联网行业动向</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_Toc524418078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103</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79" w:history="1">
        <w:r w:rsidR="00017CB4" w:rsidRPr="00EF56C6">
          <w:rPr>
            <w:rStyle w:val="a6"/>
            <w:rFonts w:eastAsia="微软雅黑"/>
            <w:b/>
            <w:noProof/>
          </w:rPr>
          <w:t>四、分省互联网基础数据</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_Toc524418079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105</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80" w:history="1">
        <w:r w:rsidR="00017CB4" w:rsidRPr="00EF56C6">
          <w:rPr>
            <w:rStyle w:val="a6"/>
            <w:rFonts w:eastAsia="微软雅黑"/>
            <w:b/>
            <w:noProof/>
          </w:rPr>
          <w:t>（一）各省</w:t>
        </w:r>
        <w:r w:rsidR="00017CB4" w:rsidRPr="00EF56C6">
          <w:rPr>
            <w:rStyle w:val="a6"/>
            <w:rFonts w:eastAsia="微软雅黑"/>
            <w:b/>
            <w:noProof/>
          </w:rPr>
          <w:t>IPv4</w:t>
        </w:r>
        <w:r w:rsidR="00017CB4" w:rsidRPr="00EF56C6">
          <w:rPr>
            <w:rStyle w:val="a6"/>
            <w:rFonts w:eastAsia="微软雅黑"/>
            <w:b/>
            <w:noProof/>
          </w:rPr>
          <w:t>地址数占全国比例</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_Toc524418080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105</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81" w:history="1">
        <w:r w:rsidR="00017CB4" w:rsidRPr="00EF56C6">
          <w:rPr>
            <w:rStyle w:val="a6"/>
            <w:rFonts w:eastAsia="微软雅黑"/>
            <w:b/>
            <w:noProof/>
          </w:rPr>
          <w:t>（二）分省域名数、分省</w:t>
        </w:r>
        <w:r w:rsidR="00017CB4" w:rsidRPr="00EF56C6">
          <w:rPr>
            <w:rStyle w:val="a6"/>
            <w:rFonts w:eastAsia="微软雅黑"/>
            <w:b/>
            <w:noProof/>
          </w:rPr>
          <w:t>.CN</w:t>
        </w:r>
        <w:r w:rsidR="00017CB4" w:rsidRPr="00EF56C6">
          <w:rPr>
            <w:rStyle w:val="a6"/>
            <w:rFonts w:eastAsia="微软雅黑"/>
            <w:b/>
            <w:noProof/>
          </w:rPr>
          <w:t>域名数、分省</w:t>
        </w:r>
        <w:r w:rsidR="00017CB4" w:rsidRPr="00EF56C6">
          <w:rPr>
            <w:rStyle w:val="a6"/>
            <w:rFonts w:eastAsia="微软雅黑"/>
            <w:b/>
            <w:noProof/>
          </w:rPr>
          <w:t>.</w:t>
        </w:r>
        <w:r w:rsidR="00017CB4" w:rsidRPr="00EF56C6">
          <w:rPr>
            <w:rStyle w:val="a6"/>
            <w:rFonts w:eastAsia="微软雅黑"/>
            <w:b/>
            <w:noProof/>
          </w:rPr>
          <w:t>中国域名数</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_Toc524418081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106</w:t>
        </w:r>
        <w:r w:rsidRPr="00EF56C6">
          <w:rPr>
            <w:rFonts w:eastAsia="微软雅黑"/>
            <w:b/>
            <w:noProof/>
            <w:webHidden/>
          </w:rPr>
          <w:fldChar w:fldCharType="end"/>
        </w:r>
      </w:hyperlink>
    </w:p>
    <w:p w:rsidR="00017CB4" w:rsidRPr="00EF56C6" w:rsidRDefault="00BD4215" w:rsidP="00EF56C6">
      <w:pPr>
        <w:pStyle w:val="21"/>
        <w:tabs>
          <w:tab w:val="right" w:leader="dot" w:pos="8296"/>
        </w:tabs>
        <w:spacing w:line="480" w:lineRule="exact"/>
        <w:rPr>
          <w:rFonts w:eastAsia="微软雅黑"/>
          <w:b/>
          <w:noProof/>
          <w:szCs w:val="22"/>
        </w:rPr>
      </w:pPr>
      <w:hyperlink w:anchor="_Toc524418082" w:history="1">
        <w:r w:rsidR="00017CB4" w:rsidRPr="00EF56C6">
          <w:rPr>
            <w:rStyle w:val="a6"/>
            <w:rFonts w:eastAsia="微软雅黑"/>
            <w:b/>
            <w:noProof/>
          </w:rPr>
          <w:t>五、调查方法</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_Toc524418082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107</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83" w:history="1">
        <w:r w:rsidR="00017CB4" w:rsidRPr="00EF56C6">
          <w:rPr>
            <w:rStyle w:val="a6"/>
            <w:rFonts w:eastAsia="微软雅黑"/>
            <w:b/>
            <w:noProof/>
          </w:rPr>
          <w:t>（一）研究术语定义</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_Toc524418083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107</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84" w:history="1">
        <w:r w:rsidR="00017CB4" w:rsidRPr="00EF56C6">
          <w:rPr>
            <w:rStyle w:val="a6"/>
            <w:rFonts w:eastAsia="微软雅黑"/>
            <w:b/>
            <w:noProof/>
          </w:rPr>
          <w:t>（二）调查范围</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_Toc524418084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108</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85" w:history="1">
        <w:r w:rsidR="00017CB4" w:rsidRPr="00EF56C6">
          <w:rPr>
            <w:rStyle w:val="a6"/>
            <w:rFonts w:eastAsia="微软雅黑"/>
            <w:b/>
            <w:noProof/>
          </w:rPr>
          <w:t>（三）调查时间</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_Toc524418085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108</w:t>
        </w:r>
        <w:r w:rsidRPr="00EF56C6">
          <w:rPr>
            <w:rFonts w:eastAsia="微软雅黑"/>
            <w:b/>
            <w:noProof/>
            <w:webHidden/>
          </w:rPr>
          <w:fldChar w:fldCharType="end"/>
        </w:r>
      </w:hyperlink>
    </w:p>
    <w:p w:rsidR="00017CB4" w:rsidRPr="00EF56C6" w:rsidRDefault="00BD4215" w:rsidP="00EF56C6">
      <w:pPr>
        <w:pStyle w:val="31"/>
        <w:tabs>
          <w:tab w:val="right" w:leader="dot" w:pos="8296"/>
        </w:tabs>
        <w:spacing w:line="480" w:lineRule="exact"/>
        <w:rPr>
          <w:rFonts w:eastAsia="微软雅黑"/>
          <w:b/>
          <w:noProof/>
          <w:szCs w:val="22"/>
        </w:rPr>
      </w:pPr>
      <w:hyperlink w:anchor="_Toc524418086" w:history="1">
        <w:r w:rsidR="00017CB4" w:rsidRPr="00EF56C6">
          <w:rPr>
            <w:rStyle w:val="a6"/>
            <w:rFonts w:eastAsia="微软雅黑"/>
            <w:b/>
            <w:noProof/>
          </w:rPr>
          <w:t>（四）调查方法</w:t>
        </w:r>
        <w:r w:rsidR="00017CB4" w:rsidRPr="00EF56C6">
          <w:rPr>
            <w:rFonts w:eastAsia="微软雅黑"/>
            <w:b/>
            <w:noProof/>
            <w:webHidden/>
          </w:rPr>
          <w:tab/>
        </w:r>
        <w:r w:rsidRPr="00EF56C6">
          <w:rPr>
            <w:rFonts w:eastAsia="微软雅黑"/>
            <w:b/>
            <w:noProof/>
            <w:webHidden/>
          </w:rPr>
          <w:fldChar w:fldCharType="begin"/>
        </w:r>
        <w:r w:rsidR="00017CB4" w:rsidRPr="00EF56C6">
          <w:rPr>
            <w:rFonts w:eastAsia="微软雅黑"/>
            <w:b/>
            <w:noProof/>
            <w:webHidden/>
          </w:rPr>
          <w:instrText xml:space="preserve"> PAGEREF _Toc524418086 \h </w:instrText>
        </w:r>
        <w:r w:rsidRPr="00EF56C6">
          <w:rPr>
            <w:rFonts w:eastAsia="微软雅黑"/>
            <w:b/>
            <w:noProof/>
            <w:webHidden/>
          </w:rPr>
        </w:r>
        <w:r w:rsidRPr="00EF56C6">
          <w:rPr>
            <w:rFonts w:eastAsia="微软雅黑"/>
            <w:b/>
            <w:noProof/>
            <w:webHidden/>
          </w:rPr>
          <w:fldChar w:fldCharType="separate"/>
        </w:r>
        <w:r w:rsidR="001175DB">
          <w:rPr>
            <w:rFonts w:eastAsia="微软雅黑"/>
            <w:b/>
            <w:noProof/>
            <w:webHidden/>
          </w:rPr>
          <w:t>109</w:t>
        </w:r>
        <w:r w:rsidRPr="00EF56C6">
          <w:rPr>
            <w:rFonts w:eastAsia="微软雅黑"/>
            <w:b/>
            <w:noProof/>
            <w:webHidden/>
          </w:rPr>
          <w:fldChar w:fldCharType="end"/>
        </w:r>
      </w:hyperlink>
    </w:p>
    <w:p w:rsidR="00FC6584" w:rsidRPr="00AF054F" w:rsidRDefault="00BD4215" w:rsidP="00017CB4">
      <w:pPr>
        <w:spacing w:line="480" w:lineRule="exact"/>
        <w:rPr>
          <w:rFonts w:eastAsia="微软雅黑"/>
          <w:b/>
          <w:szCs w:val="21"/>
        </w:rPr>
      </w:pPr>
      <w:r w:rsidRPr="00017CB4">
        <w:rPr>
          <w:rFonts w:eastAsia="微软雅黑"/>
          <w:b/>
          <w:szCs w:val="21"/>
        </w:rPr>
        <w:fldChar w:fldCharType="end"/>
      </w:r>
    </w:p>
    <w:p w:rsidR="00C91761" w:rsidRPr="009D423B" w:rsidRDefault="00C91761" w:rsidP="00FD032F">
      <w:pPr>
        <w:spacing w:line="480" w:lineRule="exact"/>
        <w:rPr>
          <w:rFonts w:ascii="微软雅黑" w:eastAsia="微软雅黑" w:hAnsi="微软雅黑" w:cs="STHeiti"/>
          <w:b/>
          <w:szCs w:val="21"/>
        </w:rPr>
      </w:pPr>
      <w:r w:rsidRPr="009D423B">
        <w:rPr>
          <w:rFonts w:ascii="微软雅黑" w:eastAsia="微软雅黑" w:hAnsi="微软雅黑" w:cs="STHeiti"/>
          <w:b/>
          <w:szCs w:val="21"/>
        </w:rPr>
        <w:br w:type="page"/>
      </w:r>
    </w:p>
    <w:p w:rsidR="00C91761" w:rsidRPr="009D423B" w:rsidRDefault="00C91761" w:rsidP="009D423B">
      <w:pPr>
        <w:jc w:val="center"/>
        <w:rPr>
          <w:rFonts w:ascii="微软雅黑" w:eastAsia="微软雅黑" w:hAnsi="微软雅黑" w:cs="STHeiti"/>
          <w:b/>
          <w:sz w:val="28"/>
          <w:szCs w:val="28"/>
        </w:rPr>
      </w:pPr>
      <w:r w:rsidRPr="009D423B">
        <w:rPr>
          <w:rFonts w:ascii="微软雅黑" w:eastAsia="微软雅黑" w:hAnsi="微软雅黑" w:cs="STHeiti" w:hint="eastAsia"/>
          <w:b/>
          <w:sz w:val="28"/>
          <w:szCs w:val="28"/>
        </w:rPr>
        <w:t>图 目 录</w:t>
      </w:r>
    </w:p>
    <w:p w:rsidR="00017CB4" w:rsidRPr="00EF56C6" w:rsidRDefault="00BD4215" w:rsidP="00EF56C6">
      <w:pPr>
        <w:pStyle w:val="60"/>
        <w:spacing w:line="480" w:lineRule="exact"/>
        <w:rPr>
          <w:rFonts w:ascii="Times New Roman" w:eastAsiaTheme="minorEastAsia" w:hAnsi="Times New Roman" w:cs="Times New Roman"/>
          <w:b/>
          <w:szCs w:val="22"/>
        </w:rPr>
      </w:pPr>
      <w:r w:rsidRPr="00017CB4">
        <w:rPr>
          <w:rStyle w:val="a6"/>
          <w:rFonts w:ascii="Times New Roman" w:hAnsi="Times New Roman" w:cs="Times New Roman"/>
          <w:b/>
          <w:color w:val="auto"/>
        </w:rPr>
        <w:fldChar w:fldCharType="begin"/>
      </w:r>
      <w:r w:rsidR="00C91761" w:rsidRPr="00EF56C6">
        <w:rPr>
          <w:rStyle w:val="a6"/>
          <w:rFonts w:ascii="Times New Roman" w:hAnsi="Times New Roman" w:cs="Times New Roman"/>
          <w:b/>
          <w:color w:val="auto"/>
        </w:rPr>
        <w:instrText>TOC \o "6-6" \f \h \z</w:instrText>
      </w:r>
      <w:r w:rsidRPr="00017CB4">
        <w:rPr>
          <w:rStyle w:val="a6"/>
          <w:rFonts w:ascii="Times New Roman" w:hAnsi="Times New Roman" w:cs="Times New Roman"/>
          <w:b/>
          <w:color w:val="auto"/>
        </w:rPr>
        <w:fldChar w:fldCharType="separate"/>
      </w:r>
      <w:hyperlink w:anchor="_Toc52441808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1-1  2016-2017</w:t>
        </w:r>
        <w:r w:rsidR="00017CB4" w:rsidRPr="00EF56C6">
          <w:rPr>
            <w:rStyle w:val="a6"/>
            <w:rFonts w:ascii="Times New Roman" w:hAnsi="Times New Roman" w:cs="Times New Roman"/>
            <w:b/>
          </w:rPr>
          <w:t>年陕西省网民在移动端使用月独立设备数量</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_Toc524418087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8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1-2  2015-2017</w:t>
        </w:r>
        <w:r w:rsidR="00017CB4" w:rsidRPr="00EF56C6">
          <w:rPr>
            <w:rStyle w:val="a6"/>
            <w:rFonts w:ascii="Times New Roman" w:hAnsi="Times New Roman" w:cs="Times New Roman"/>
            <w:b/>
          </w:rPr>
          <w:t>年陕西省网民性别分布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_Toc524418088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8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1-3  2015-2017</w:t>
        </w:r>
        <w:r w:rsidR="00017CB4" w:rsidRPr="00EF56C6">
          <w:rPr>
            <w:rStyle w:val="a6"/>
            <w:rFonts w:ascii="Times New Roman" w:hAnsi="Times New Roman" w:cs="Times New Roman"/>
            <w:b/>
          </w:rPr>
          <w:t>年陕西省网民年龄分布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_Toc524418089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1-4  2015-2017</w:t>
        </w:r>
        <w:r w:rsidR="00017CB4" w:rsidRPr="00EF56C6">
          <w:rPr>
            <w:rStyle w:val="a6"/>
            <w:rFonts w:ascii="Times New Roman" w:hAnsi="Times New Roman" w:cs="Times New Roman"/>
            <w:b/>
          </w:rPr>
          <w:t>年陕西省网民婚姻情况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1-5  2015-2017</w:t>
        </w:r>
        <w:r w:rsidR="00017CB4" w:rsidRPr="00EF56C6">
          <w:rPr>
            <w:rStyle w:val="a6"/>
            <w:rFonts w:ascii="Times New Roman" w:hAnsi="Times New Roman" w:cs="Times New Roman"/>
            <w:b/>
          </w:rPr>
          <w:t>年陕西省网民学历分布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1-6  2017</w:t>
        </w:r>
        <w:r w:rsidR="00017CB4" w:rsidRPr="00EF56C6">
          <w:rPr>
            <w:rStyle w:val="a6"/>
            <w:rFonts w:ascii="Times New Roman" w:hAnsi="Times New Roman" w:cs="Times New Roman"/>
            <w:b/>
          </w:rPr>
          <w:t>年陕西省网民所在行业分布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1-7  2017</w:t>
        </w:r>
        <w:r w:rsidR="00017CB4" w:rsidRPr="00EF56C6">
          <w:rPr>
            <w:rStyle w:val="a6"/>
            <w:rFonts w:ascii="Times New Roman" w:hAnsi="Times New Roman" w:cs="Times New Roman"/>
            <w:b/>
          </w:rPr>
          <w:t>年陕西省网民职业分布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1-8  2015-2017</w:t>
        </w:r>
        <w:r w:rsidR="00017CB4" w:rsidRPr="00EF56C6">
          <w:rPr>
            <w:rStyle w:val="a6"/>
            <w:rFonts w:ascii="Times New Roman" w:hAnsi="Times New Roman" w:cs="Times New Roman"/>
            <w:b/>
          </w:rPr>
          <w:t>年陕西省网民个人月收入分布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1-9  2017</w:t>
        </w:r>
        <w:r w:rsidR="00017CB4" w:rsidRPr="00EF56C6">
          <w:rPr>
            <w:rStyle w:val="a6"/>
            <w:rFonts w:ascii="Times New Roman" w:hAnsi="Times New Roman" w:cs="Times New Roman"/>
            <w:b/>
          </w:rPr>
          <w:t>年陕西省网民家庭月收入分布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1-10  2015-2017</w:t>
        </w:r>
        <w:r w:rsidR="00017CB4" w:rsidRPr="00EF56C6">
          <w:rPr>
            <w:rStyle w:val="a6"/>
            <w:rFonts w:ascii="Times New Roman" w:hAnsi="Times New Roman" w:cs="Times New Roman"/>
            <w:b/>
          </w:rPr>
          <w:t>年陕西省移动端网民性别分布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1-11  2015-2017</w:t>
        </w:r>
        <w:r w:rsidR="00017CB4" w:rsidRPr="00EF56C6">
          <w:rPr>
            <w:rStyle w:val="a6"/>
            <w:rFonts w:ascii="Times New Roman" w:hAnsi="Times New Roman" w:cs="Times New Roman"/>
            <w:b/>
          </w:rPr>
          <w:t>年陕西省移动端网民年龄分布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1-12  2015-2017</w:t>
        </w:r>
        <w:r w:rsidR="00017CB4" w:rsidRPr="00EF56C6">
          <w:rPr>
            <w:rStyle w:val="a6"/>
            <w:rFonts w:ascii="Times New Roman" w:hAnsi="Times New Roman" w:cs="Times New Roman"/>
            <w:b/>
          </w:rPr>
          <w:t>年陕西省移动端网民使用设备系统情况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09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1-13  2015-2017</w:t>
        </w:r>
        <w:r w:rsidR="00017CB4" w:rsidRPr="00EF56C6">
          <w:rPr>
            <w:rStyle w:val="a6"/>
            <w:rFonts w:ascii="Times New Roman" w:hAnsi="Times New Roman" w:cs="Times New Roman"/>
            <w:b/>
          </w:rPr>
          <w:t>年陕西省移动端网民使用设备终端类型情况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_Toc524418099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2-1  2018</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6</w:t>
        </w:r>
        <w:r w:rsidR="00017CB4" w:rsidRPr="00EF56C6">
          <w:rPr>
            <w:rStyle w:val="a6"/>
            <w:rFonts w:ascii="Times New Roman" w:hAnsi="Times New Roman" w:cs="Times New Roman"/>
            <w:b/>
          </w:rPr>
          <w:t>月全国新媒体用户性别分布情况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2-2  2018</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6</w:t>
        </w:r>
        <w:r w:rsidR="00017CB4" w:rsidRPr="00EF56C6">
          <w:rPr>
            <w:rStyle w:val="a6"/>
            <w:rFonts w:ascii="Times New Roman" w:hAnsi="Times New Roman" w:cs="Times New Roman"/>
            <w:b/>
          </w:rPr>
          <w:t>月陕西省新媒体用户性别分布情况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2-3  2018</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6</w:t>
        </w:r>
        <w:r w:rsidR="00017CB4" w:rsidRPr="00EF56C6">
          <w:rPr>
            <w:rStyle w:val="a6"/>
            <w:rFonts w:ascii="Times New Roman" w:hAnsi="Times New Roman" w:cs="Times New Roman"/>
            <w:b/>
          </w:rPr>
          <w:t>月陕西省及全国新媒体用户年龄分布情况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2-4  2018</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6</w:t>
        </w:r>
        <w:r w:rsidR="00017CB4" w:rsidRPr="00EF56C6">
          <w:rPr>
            <w:rStyle w:val="a6"/>
            <w:rFonts w:ascii="Times New Roman" w:hAnsi="Times New Roman" w:cs="Times New Roman"/>
            <w:b/>
          </w:rPr>
          <w:t>月陕西省用户使用的主要新媒体区间分布情况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2-5  2018</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6</w:t>
        </w:r>
        <w:r w:rsidR="00017CB4" w:rsidRPr="00EF56C6">
          <w:rPr>
            <w:rStyle w:val="a6"/>
            <w:rFonts w:ascii="Times New Roman" w:hAnsi="Times New Roman" w:cs="Times New Roman"/>
            <w:b/>
          </w:rPr>
          <w:t>月微信公众号在陕西省新媒体用户的触达情况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2-6  2018</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6</w:t>
        </w:r>
        <w:r w:rsidR="00017CB4" w:rsidRPr="00EF56C6">
          <w:rPr>
            <w:rStyle w:val="a6"/>
            <w:rFonts w:ascii="Times New Roman" w:hAnsi="Times New Roman" w:cs="Times New Roman"/>
            <w:b/>
          </w:rPr>
          <w:t>月抖音短视频在陕西省新媒体用户的触达情况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  2017</w:t>
        </w:r>
        <w:r w:rsidR="00017CB4" w:rsidRPr="00EF56C6">
          <w:rPr>
            <w:rStyle w:val="a6"/>
            <w:rFonts w:ascii="Times New Roman" w:hAnsi="Times New Roman" w:cs="Times New Roman"/>
            <w:b/>
          </w:rPr>
          <w:t>年陕西省网民上网时段分布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  2017</w:t>
        </w:r>
        <w:r w:rsidR="00017CB4" w:rsidRPr="00EF56C6">
          <w:rPr>
            <w:rStyle w:val="a6"/>
            <w:rFonts w:ascii="Times New Roman" w:hAnsi="Times New Roman" w:cs="Times New Roman"/>
            <w:b/>
          </w:rPr>
          <w:t>年陕西省网民人均月度访问天数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  2017</w:t>
        </w:r>
        <w:r w:rsidR="00017CB4" w:rsidRPr="00EF56C6">
          <w:rPr>
            <w:rStyle w:val="a6"/>
            <w:rFonts w:ascii="Times New Roman" w:hAnsi="Times New Roman" w:cs="Times New Roman"/>
            <w:b/>
          </w:rPr>
          <w:t>年陕西省网民与全国网民人均月度访问天数对比</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0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3-4  2017</w:t>
        </w:r>
        <w:r w:rsidR="00017CB4" w:rsidRPr="00EF56C6">
          <w:rPr>
            <w:rStyle w:val="a6"/>
            <w:rFonts w:ascii="Times New Roman" w:hAnsi="Times New Roman" w:cs="Times New Roman"/>
            <w:b/>
          </w:rPr>
          <w:t>年陕西省网民人均月度访问次数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_Toc524418109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3-5  2017</w:t>
        </w:r>
        <w:r w:rsidR="00017CB4" w:rsidRPr="00EF56C6">
          <w:rPr>
            <w:rStyle w:val="a6"/>
            <w:rFonts w:ascii="Times New Roman" w:hAnsi="Times New Roman" w:cs="Times New Roman"/>
            <w:b/>
          </w:rPr>
          <w:t>年陕西省网民与全国网民人均月度访问次数对比</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19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3-6  2017</w:t>
        </w:r>
        <w:r w:rsidR="00017CB4" w:rsidRPr="00EF56C6">
          <w:rPr>
            <w:rStyle w:val="a6"/>
            <w:rFonts w:ascii="Times New Roman" w:hAnsi="Times New Roman" w:cs="Times New Roman"/>
            <w:b/>
          </w:rPr>
          <w:t>年陕西省网民人均单日有效浏览时间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3-7  2017</w:t>
        </w:r>
        <w:r w:rsidR="00017CB4" w:rsidRPr="00EF56C6">
          <w:rPr>
            <w:rStyle w:val="a6"/>
            <w:rFonts w:ascii="Times New Roman" w:hAnsi="Times New Roman" w:cs="Times New Roman"/>
            <w:b/>
          </w:rPr>
          <w:t>年陕西省网民与全国网民人均单日有效浏览时间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3-8  2017</w:t>
        </w:r>
        <w:r w:rsidR="00017CB4" w:rsidRPr="00EF56C6">
          <w:rPr>
            <w:rStyle w:val="a6"/>
            <w:rFonts w:ascii="Times New Roman" w:hAnsi="Times New Roman" w:cs="Times New Roman"/>
            <w:b/>
          </w:rPr>
          <w:t>年陕西省网民人均单次浏览页面</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3-9  2017</w:t>
        </w:r>
        <w:r w:rsidR="00017CB4" w:rsidRPr="00EF56C6">
          <w:rPr>
            <w:rStyle w:val="a6"/>
            <w:rFonts w:ascii="Times New Roman" w:hAnsi="Times New Roman" w:cs="Times New Roman"/>
            <w:b/>
          </w:rPr>
          <w:t>年陕西省网民与全国网民人均单次浏览页面对比</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3-10  2017</w:t>
        </w:r>
        <w:r w:rsidR="00017CB4" w:rsidRPr="00EF56C6">
          <w:rPr>
            <w:rStyle w:val="a6"/>
            <w:rFonts w:ascii="Times New Roman" w:hAnsi="Times New Roman" w:cs="Times New Roman"/>
            <w:b/>
          </w:rPr>
          <w:t>年陕西省网民使用主要网络服务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3-11  2017</w:t>
        </w:r>
        <w:r w:rsidR="00017CB4" w:rsidRPr="00EF56C6">
          <w:rPr>
            <w:rStyle w:val="a6"/>
            <w:rFonts w:ascii="Times New Roman" w:hAnsi="Times New Roman" w:cs="Times New Roman"/>
            <w:b/>
          </w:rPr>
          <w:t>年陕西省网民使用搜索服务月度覆盖人数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3-12  2017</w:t>
        </w:r>
        <w:r w:rsidR="00017CB4" w:rsidRPr="00EF56C6">
          <w:rPr>
            <w:rStyle w:val="a6"/>
            <w:rFonts w:ascii="Times New Roman" w:hAnsi="Times New Roman" w:cs="Times New Roman"/>
            <w:b/>
          </w:rPr>
          <w:t>年陕西省网民使用搜索服务人均月度访问天数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3-13  2017</w:t>
        </w:r>
        <w:r w:rsidR="00017CB4" w:rsidRPr="00EF56C6">
          <w:rPr>
            <w:rStyle w:val="a6"/>
            <w:rFonts w:ascii="Times New Roman" w:hAnsi="Times New Roman" w:cs="Times New Roman"/>
            <w:b/>
          </w:rPr>
          <w:t>年陕西省网民使用搜索服务人均月度访问次数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1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3-14  2017</w:t>
        </w:r>
        <w:r w:rsidR="00017CB4" w:rsidRPr="00EF56C6">
          <w:rPr>
            <w:rStyle w:val="a6"/>
            <w:rFonts w:ascii="Times New Roman" w:hAnsi="Times New Roman" w:cs="Times New Roman"/>
            <w:b/>
          </w:rPr>
          <w:t>年陕西省网民使用搜索服务人均单日有效浏览时间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_Toc524418119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3-15  2017</w:t>
        </w:r>
        <w:r w:rsidR="00017CB4" w:rsidRPr="00EF56C6">
          <w:rPr>
            <w:rStyle w:val="a6"/>
            <w:rFonts w:ascii="Times New Roman" w:hAnsi="Times New Roman" w:cs="Times New Roman"/>
            <w:b/>
          </w:rPr>
          <w:t>年陕西省网民使用搜索服务人均单次浏览页面</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3-16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月陕西省网民使用的主要搜索引擎网站</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3-17  2017</w:t>
        </w:r>
        <w:r w:rsidR="00017CB4" w:rsidRPr="00EF56C6">
          <w:rPr>
            <w:rStyle w:val="a6"/>
            <w:rFonts w:ascii="Times New Roman" w:hAnsi="Times New Roman" w:cs="Times New Roman"/>
            <w:b/>
          </w:rPr>
          <w:t>年陕西省使用在线视频服务月度覆盖人数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3-18  2017</w:t>
        </w:r>
        <w:r w:rsidR="00017CB4" w:rsidRPr="00EF56C6">
          <w:rPr>
            <w:rStyle w:val="a6"/>
            <w:rFonts w:ascii="Times New Roman" w:hAnsi="Times New Roman" w:cs="Times New Roman"/>
            <w:b/>
          </w:rPr>
          <w:t>年陕西省网民使用在线视频服务人均月度访问天数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3-19  2017</w:t>
        </w:r>
        <w:r w:rsidR="00017CB4" w:rsidRPr="00EF56C6">
          <w:rPr>
            <w:rStyle w:val="a6"/>
            <w:rFonts w:ascii="Times New Roman" w:hAnsi="Times New Roman" w:cs="Times New Roman"/>
            <w:b/>
          </w:rPr>
          <w:t>年陕西省网民使用在线视频服务人均月度访问次数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3-20  2017</w:t>
        </w:r>
        <w:r w:rsidR="00017CB4" w:rsidRPr="00EF56C6">
          <w:rPr>
            <w:rStyle w:val="a6"/>
            <w:rFonts w:ascii="Times New Roman" w:hAnsi="Times New Roman" w:cs="Times New Roman"/>
            <w:b/>
          </w:rPr>
          <w:t>年陕西省网民使用在线视频服务人均单日有效浏览时间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3-21  2017</w:t>
        </w:r>
        <w:r w:rsidR="00017CB4" w:rsidRPr="00EF56C6">
          <w:rPr>
            <w:rStyle w:val="a6"/>
            <w:rFonts w:ascii="Times New Roman" w:hAnsi="Times New Roman" w:cs="Times New Roman"/>
            <w:b/>
          </w:rPr>
          <w:t>年陕西省网民使用在线视频服务人均单次浏览页面</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3-22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月陕西省网民使用的主要在线视频网站</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3-23  2017</w:t>
        </w:r>
        <w:r w:rsidR="00017CB4" w:rsidRPr="00EF56C6">
          <w:rPr>
            <w:rStyle w:val="a6"/>
            <w:rFonts w:ascii="Times New Roman" w:hAnsi="Times New Roman" w:cs="Times New Roman"/>
            <w:b/>
          </w:rPr>
          <w:t>年陕西省网民使用新闻资讯服务月度覆盖人数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2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3-24  2017</w:t>
        </w:r>
        <w:r w:rsidR="00017CB4" w:rsidRPr="00EF56C6">
          <w:rPr>
            <w:rStyle w:val="a6"/>
            <w:rFonts w:ascii="Times New Roman" w:hAnsi="Times New Roman" w:cs="Times New Roman"/>
            <w:b/>
          </w:rPr>
          <w:t>年陕西省网民使用新闻资讯服务人均月度访问天数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_Toc524418129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3-25  2017</w:t>
        </w:r>
        <w:r w:rsidR="00017CB4" w:rsidRPr="00EF56C6">
          <w:rPr>
            <w:rStyle w:val="a6"/>
            <w:rFonts w:ascii="Times New Roman" w:hAnsi="Times New Roman" w:cs="Times New Roman"/>
            <w:b/>
          </w:rPr>
          <w:t>年陕西省网民使用新闻资讯服务人均月度访问次数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29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3-26  2017</w:t>
        </w:r>
        <w:r w:rsidR="00017CB4" w:rsidRPr="00EF56C6">
          <w:rPr>
            <w:rStyle w:val="a6"/>
            <w:rFonts w:ascii="Times New Roman" w:hAnsi="Times New Roman" w:cs="Times New Roman"/>
            <w:b/>
          </w:rPr>
          <w:t>年陕西省网民使用新闻资讯服务人均单日有效浏览时间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3-27  2017</w:t>
        </w:r>
        <w:r w:rsidR="00017CB4" w:rsidRPr="00EF56C6">
          <w:rPr>
            <w:rStyle w:val="a6"/>
            <w:rFonts w:ascii="Times New Roman" w:hAnsi="Times New Roman" w:cs="Times New Roman"/>
            <w:b/>
          </w:rPr>
          <w:t>年陕西省网民使用新闻资讯服务人均单次浏览页面</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3-28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月陕西省网民使用的主要新闻资讯网站</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3-29  2017</w:t>
        </w:r>
        <w:r w:rsidR="00017CB4" w:rsidRPr="00EF56C6">
          <w:rPr>
            <w:rStyle w:val="a6"/>
            <w:rFonts w:ascii="Times New Roman" w:hAnsi="Times New Roman" w:cs="Times New Roman"/>
            <w:b/>
          </w:rPr>
          <w:t>年陕西省网民使用社区交友服务月度覆盖人数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3-30  2017</w:t>
        </w:r>
        <w:r w:rsidR="00017CB4" w:rsidRPr="00EF56C6">
          <w:rPr>
            <w:rStyle w:val="a6"/>
            <w:rFonts w:ascii="Times New Roman" w:hAnsi="Times New Roman" w:cs="Times New Roman"/>
            <w:b/>
          </w:rPr>
          <w:t>年陕西省网民使用社区交友服务人均月度访问天数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3-31  2017</w:t>
        </w:r>
        <w:r w:rsidR="00017CB4" w:rsidRPr="00EF56C6">
          <w:rPr>
            <w:rStyle w:val="a6"/>
            <w:rFonts w:ascii="Times New Roman" w:hAnsi="Times New Roman" w:cs="Times New Roman"/>
            <w:b/>
          </w:rPr>
          <w:t>年陕西省网民使用社区交友服务人均月度访问次数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3-32  2017</w:t>
        </w:r>
        <w:r w:rsidR="00017CB4" w:rsidRPr="00EF56C6">
          <w:rPr>
            <w:rStyle w:val="a6"/>
            <w:rFonts w:ascii="Times New Roman" w:hAnsi="Times New Roman" w:cs="Times New Roman"/>
            <w:b/>
          </w:rPr>
          <w:t>年陕西省网民使用社区交友服务人均单日有效浏览时间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3-33  2017</w:t>
        </w:r>
        <w:r w:rsidR="00017CB4" w:rsidRPr="00EF56C6">
          <w:rPr>
            <w:rStyle w:val="a6"/>
            <w:rFonts w:ascii="Times New Roman" w:hAnsi="Times New Roman" w:cs="Times New Roman"/>
            <w:b/>
          </w:rPr>
          <w:t>年陕西省网民使用社区交友服务人均单次浏览页面</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3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3-34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月陕西省网民使用的主要社区交友网站</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_Toc524418139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3-35  2017</w:t>
        </w:r>
        <w:r w:rsidR="00017CB4" w:rsidRPr="00EF56C6">
          <w:rPr>
            <w:rStyle w:val="a6"/>
            <w:rFonts w:ascii="Times New Roman" w:hAnsi="Times New Roman" w:cs="Times New Roman"/>
            <w:b/>
          </w:rPr>
          <w:t>年陕西省网民使用电子商务服务月度覆盖人数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3-36  2017</w:t>
        </w:r>
        <w:r w:rsidR="00017CB4" w:rsidRPr="00EF56C6">
          <w:rPr>
            <w:rStyle w:val="a6"/>
            <w:rFonts w:ascii="Times New Roman" w:hAnsi="Times New Roman" w:cs="Times New Roman"/>
            <w:b/>
          </w:rPr>
          <w:t>年陕西省网民使用电子商务人均月度访问天数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3-37  2017</w:t>
        </w:r>
        <w:r w:rsidR="00017CB4" w:rsidRPr="00EF56C6">
          <w:rPr>
            <w:rStyle w:val="a6"/>
            <w:rFonts w:ascii="Times New Roman" w:hAnsi="Times New Roman" w:cs="Times New Roman"/>
            <w:b/>
          </w:rPr>
          <w:t>年陕西省网民使用电子商务服务人均月度访问次数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3-38  2017</w:t>
        </w:r>
        <w:r w:rsidR="00017CB4" w:rsidRPr="00EF56C6">
          <w:rPr>
            <w:rStyle w:val="a6"/>
            <w:rFonts w:ascii="Times New Roman" w:hAnsi="Times New Roman" w:cs="Times New Roman"/>
            <w:b/>
          </w:rPr>
          <w:t>年陕西省网民使用电子商务服务人均单日有效浏览时间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3-39  2017</w:t>
        </w:r>
        <w:r w:rsidR="00017CB4" w:rsidRPr="00EF56C6">
          <w:rPr>
            <w:rStyle w:val="a6"/>
            <w:rFonts w:ascii="Times New Roman" w:hAnsi="Times New Roman" w:cs="Times New Roman"/>
            <w:b/>
          </w:rPr>
          <w:t>年陕西省网民使用电子商务服务人均单次浏览页面</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3-40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月陕西省网民使用的主要电子商务网站</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  2017</w:t>
        </w:r>
        <w:r w:rsidR="00017CB4" w:rsidRPr="00EF56C6">
          <w:rPr>
            <w:rStyle w:val="a6"/>
            <w:rFonts w:ascii="Times New Roman" w:hAnsi="Times New Roman" w:cs="Times New Roman"/>
            <w:b/>
          </w:rPr>
          <w:t>年陕西省网民单机使用天数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  2017</w:t>
        </w:r>
        <w:r w:rsidR="00017CB4" w:rsidRPr="00EF56C6">
          <w:rPr>
            <w:rStyle w:val="a6"/>
            <w:rFonts w:ascii="Times New Roman" w:hAnsi="Times New Roman" w:cs="Times New Roman"/>
            <w:b/>
          </w:rPr>
          <w:t>年陕西省网民与全国网民单机使用天数对比</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  2017</w:t>
        </w:r>
        <w:r w:rsidR="00017CB4" w:rsidRPr="00EF56C6">
          <w:rPr>
            <w:rStyle w:val="a6"/>
            <w:rFonts w:ascii="Times New Roman" w:hAnsi="Times New Roman" w:cs="Times New Roman"/>
            <w:b/>
          </w:rPr>
          <w:t>年陕西省网民单机单日使用次数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39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4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  2017</w:t>
        </w:r>
        <w:r w:rsidR="00017CB4" w:rsidRPr="00EF56C6">
          <w:rPr>
            <w:rStyle w:val="a6"/>
            <w:rFonts w:ascii="Times New Roman" w:hAnsi="Times New Roman" w:cs="Times New Roman"/>
            <w:b/>
          </w:rPr>
          <w:t>年陕西省网民与全国网民单机单日使用次数对比</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_Toc524418149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  2017</w:t>
        </w:r>
        <w:r w:rsidR="00017CB4" w:rsidRPr="00EF56C6">
          <w:rPr>
            <w:rStyle w:val="a6"/>
            <w:rFonts w:ascii="Times New Roman" w:hAnsi="Times New Roman" w:cs="Times New Roman"/>
            <w:b/>
          </w:rPr>
          <w:t>年陕西省网民单机单次有效时间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4-6  2017</w:t>
        </w:r>
        <w:r w:rsidR="00017CB4" w:rsidRPr="00EF56C6">
          <w:rPr>
            <w:rStyle w:val="a6"/>
            <w:rFonts w:ascii="Times New Roman" w:hAnsi="Times New Roman" w:cs="Times New Roman"/>
            <w:b/>
          </w:rPr>
          <w:t>年陕西及全国网民单机单次有效使用时间对比</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4-7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月陕西省网民使用主要</w:t>
        </w:r>
        <w:r w:rsidR="00017CB4" w:rsidRPr="00EF56C6">
          <w:rPr>
            <w:rStyle w:val="a6"/>
            <w:rFonts w:ascii="Times New Roman" w:hAnsi="Times New Roman" w:cs="Times New Roman"/>
            <w:b/>
          </w:rPr>
          <w:t>APP</w:t>
        </w:r>
        <w:r w:rsidR="00017CB4" w:rsidRPr="00EF56C6">
          <w:rPr>
            <w:rStyle w:val="a6"/>
            <w:rFonts w:ascii="Times New Roman" w:hAnsi="Times New Roman" w:cs="Times New Roman"/>
            <w:b/>
          </w:rPr>
          <w:t>服务类型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4-8  2017</w:t>
        </w:r>
        <w:r w:rsidR="00017CB4" w:rsidRPr="00EF56C6">
          <w:rPr>
            <w:rStyle w:val="a6"/>
            <w:rFonts w:ascii="Times New Roman" w:hAnsi="Times New Roman" w:cs="Times New Roman"/>
            <w:b/>
          </w:rPr>
          <w:t>年度陕西省网民最常用</w:t>
        </w:r>
        <w:r w:rsidR="00017CB4" w:rsidRPr="00EF56C6">
          <w:rPr>
            <w:rStyle w:val="a6"/>
            <w:rFonts w:ascii="Times New Roman" w:hAnsi="Times New Roman" w:cs="Times New Roman"/>
            <w:b/>
          </w:rPr>
          <w:t>APP Top10</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4-9  2017</w:t>
        </w:r>
        <w:r w:rsidR="00017CB4" w:rsidRPr="00EF56C6">
          <w:rPr>
            <w:rStyle w:val="a6"/>
            <w:rFonts w:ascii="Times New Roman" w:hAnsi="Times New Roman" w:cs="Times New Roman"/>
            <w:b/>
          </w:rPr>
          <w:t>年陕西省网民使用通讯聊天服务月独立设备数比例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4-10  2017</w:t>
        </w:r>
        <w:r w:rsidR="00017CB4" w:rsidRPr="00EF56C6">
          <w:rPr>
            <w:rStyle w:val="a6"/>
            <w:rFonts w:ascii="Times New Roman" w:hAnsi="Times New Roman" w:cs="Times New Roman"/>
            <w:b/>
          </w:rPr>
          <w:t>年陕西省网民使用通讯聊天服务单机使用天数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4-11  2017</w:t>
        </w:r>
        <w:r w:rsidR="00017CB4" w:rsidRPr="00EF56C6">
          <w:rPr>
            <w:rStyle w:val="a6"/>
            <w:rFonts w:ascii="Times New Roman" w:hAnsi="Times New Roman" w:cs="Times New Roman"/>
            <w:b/>
          </w:rPr>
          <w:t>年陕西省网民使用通讯聊天服务单机单日使用次数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4-12  2017</w:t>
        </w:r>
        <w:r w:rsidR="00017CB4" w:rsidRPr="00EF56C6">
          <w:rPr>
            <w:rStyle w:val="a6"/>
            <w:rFonts w:ascii="Times New Roman" w:hAnsi="Times New Roman" w:cs="Times New Roman"/>
            <w:b/>
          </w:rPr>
          <w:t>年陕西省网民使用通讯聊天服务单机单次有效时间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4-13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月陕西省网民常用通讯聊天类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5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4-14  2017</w:t>
        </w:r>
        <w:r w:rsidR="00017CB4" w:rsidRPr="00EF56C6">
          <w:rPr>
            <w:rStyle w:val="a6"/>
            <w:rFonts w:ascii="Times New Roman" w:hAnsi="Times New Roman" w:cs="Times New Roman"/>
            <w:b/>
          </w:rPr>
          <w:t>年陕西省网民使用实用工具服务月独立设备数比例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_Toc524418159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4-15  2017</w:t>
        </w:r>
        <w:r w:rsidR="00017CB4" w:rsidRPr="00EF56C6">
          <w:rPr>
            <w:rStyle w:val="a6"/>
            <w:rFonts w:ascii="Times New Roman" w:hAnsi="Times New Roman" w:cs="Times New Roman"/>
            <w:b/>
          </w:rPr>
          <w:t>年陕西省网民使用实用工具服务单机使用天数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4-16  2017</w:t>
        </w:r>
        <w:r w:rsidR="00017CB4" w:rsidRPr="00EF56C6">
          <w:rPr>
            <w:rStyle w:val="a6"/>
            <w:rFonts w:ascii="Times New Roman" w:hAnsi="Times New Roman" w:cs="Times New Roman"/>
            <w:b/>
          </w:rPr>
          <w:t>年陕西省网民使用实用工具服务单机单日使用次数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4-17  2017</w:t>
        </w:r>
        <w:r w:rsidR="00017CB4" w:rsidRPr="00EF56C6">
          <w:rPr>
            <w:rStyle w:val="a6"/>
            <w:rFonts w:ascii="Times New Roman" w:hAnsi="Times New Roman" w:cs="Times New Roman"/>
            <w:b/>
          </w:rPr>
          <w:t>年陕西省网民使用实用工具服务单机单次有效时间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4-18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月陕西省网民常用实用工具类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4-19  2017</w:t>
        </w:r>
        <w:r w:rsidR="00017CB4" w:rsidRPr="00EF56C6">
          <w:rPr>
            <w:rStyle w:val="a6"/>
            <w:rFonts w:ascii="Times New Roman" w:hAnsi="Times New Roman" w:cs="Times New Roman"/>
            <w:b/>
          </w:rPr>
          <w:t>年陕西省网民使用视频服务月独立设备数比例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4-20  2017</w:t>
        </w:r>
        <w:r w:rsidR="00017CB4" w:rsidRPr="00EF56C6">
          <w:rPr>
            <w:rStyle w:val="a6"/>
            <w:rFonts w:ascii="Times New Roman" w:hAnsi="Times New Roman" w:cs="Times New Roman"/>
            <w:b/>
          </w:rPr>
          <w:t>年陕西省网民使用视频服务单机使用天数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4-21  2017</w:t>
        </w:r>
        <w:r w:rsidR="00017CB4" w:rsidRPr="00EF56C6">
          <w:rPr>
            <w:rStyle w:val="a6"/>
            <w:rFonts w:ascii="Times New Roman" w:hAnsi="Times New Roman" w:cs="Times New Roman"/>
            <w:b/>
          </w:rPr>
          <w:t>年陕西省网民使用视频服务单机单日使用次数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4-22  2017</w:t>
        </w:r>
        <w:r w:rsidR="00017CB4" w:rsidRPr="00EF56C6">
          <w:rPr>
            <w:rStyle w:val="a6"/>
            <w:rFonts w:ascii="Times New Roman" w:hAnsi="Times New Roman" w:cs="Times New Roman"/>
            <w:b/>
          </w:rPr>
          <w:t>年陕西省网民使用视频服务单机单次有效时间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49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4-23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月陕西省网民常用视频服务类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6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4-24  2017</w:t>
        </w:r>
        <w:r w:rsidR="00017CB4" w:rsidRPr="00EF56C6">
          <w:rPr>
            <w:rStyle w:val="a6"/>
            <w:rFonts w:ascii="Times New Roman" w:hAnsi="Times New Roman" w:cs="Times New Roman"/>
            <w:b/>
          </w:rPr>
          <w:t>年陕西省网民使用便捷生活服务月独立设备数比例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_Toc524418169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4-25  2017</w:t>
        </w:r>
        <w:r w:rsidR="00017CB4" w:rsidRPr="00EF56C6">
          <w:rPr>
            <w:rStyle w:val="a6"/>
            <w:rFonts w:ascii="Times New Roman" w:hAnsi="Times New Roman" w:cs="Times New Roman"/>
            <w:b/>
          </w:rPr>
          <w:t>年陕西省网民使用便捷生活服务单机使用天数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4-26  2017</w:t>
        </w:r>
        <w:r w:rsidR="00017CB4" w:rsidRPr="00EF56C6">
          <w:rPr>
            <w:rStyle w:val="a6"/>
            <w:rFonts w:ascii="Times New Roman" w:hAnsi="Times New Roman" w:cs="Times New Roman"/>
            <w:b/>
          </w:rPr>
          <w:t>年陕西省网民使用便捷生活服务单机单日使用次数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4-27  2017</w:t>
        </w:r>
        <w:r w:rsidR="00017CB4" w:rsidRPr="00EF56C6">
          <w:rPr>
            <w:rStyle w:val="a6"/>
            <w:rFonts w:ascii="Times New Roman" w:hAnsi="Times New Roman" w:cs="Times New Roman"/>
            <w:b/>
          </w:rPr>
          <w:t>年陕西省网民使用便捷生活服务单机单次有效时间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4-28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月陕西省网民常用便捷生活类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4-29  2017</w:t>
        </w:r>
        <w:r w:rsidR="00017CB4" w:rsidRPr="00EF56C6">
          <w:rPr>
            <w:rStyle w:val="a6"/>
            <w:rFonts w:ascii="Times New Roman" w:hAnsi="Times New Roman" w:cs="Times New Roman"/>
            <w:b/>
          </w:rPr>
          <w:t>年陕西省网民使用金融服务月独立设备数比例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4-30  2017</w:t>
        </w:r>
        <w:r w:rsidR="00017CB4" w:rsidRPr="00EF56C6">
          <w:rPr>
            <w:rStyle w:val="a6"/>
            <w:rFonts w:ascii="Times New Roman" w:hAnsi="Times New Roman" w:cs="Times New Roman"/>
            <w:b/>
          </w:rPr>
          <w:t>年陕西省网民使用金融服务单机使用天数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4-31  2017</w:t>
        </w:r>
        <w:r w:rsidR="00017CB4" w:rsidRPr="00EF56C6">
          <w:rPr>
            <w:rStyle w:val="a6"/>
            <w:rFonts w:ascii="Times New Roman" w:hAnsi="Times New Roman" w:cs="Times New Roman"/>
            <w:b/>
          </w:rPr>
          <w:t>年陕西省网民使用金融服务单机单日使用次数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4-32  2017</w:t>
        </w:r>
        <w:r w:rsidR="00017CB4" w:rsidRPr="00EF56C6">
          <w:rPr>
            <w:rStyle w:val="a6"/>
            <w:rFonts w:ascii="Times New Roman" w:hAnsi="Times New Roman" w:cs="Times New Roman"/>
            <w:b/>
          </w:rPr>
          <w:t>年陕西省网民使用金融服务单机单次有效时间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4-33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月陕西省网民常用金融服务类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7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4-34  2017</w:t>
        </w:r>
        <w:r w:rsidR="00017CB4" w:rsidRPr="00EF56C6">
          <w:rPr>
            <w:rStyle w:val="a6"/>
            <w:rFonts w:ascii="Times New Roman" w:hAnsi="Times New Roman" w:cs="Times New Roman"/>
            <w:b/>
          </w:rPr>
          <w:t>年陕西省网民使用电子商务服务月独立设备数比例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_Toc524418179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4-35  2017</w:t>
        </w:r>
        <w:r w:rsidR="00017CB4" w:rsidRPr="00EF56C6">
          <w:rPr>
            <w:rStyle w:val="a6"/>
            <w:rFonts w:ascii="Times New Roman" w:hAnsi="Times New Roman" w:cs="Times New Roman"/>
            <w:b/>
          </w:rPr>
          <w:t>年陕西省网民使用电子商务服务单机使用天数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4-36  2017</w:t>
        </w:r>
        <w:r w:rsidR="00017CB4" w:rsidRPr="00EF56C6">
          <w:rPr>
            <w:rStyle w:val="a6"/>
            <w:rFonts w:ascii="Times New Roman" w:hAnsi="Times New Roman" w:cs="Times New Roman"/>
            <w:b/>
          </w:rPr>
          <w:t>年陕西省网民使用电子商务服务单机单日使用次数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4-37  2017</w:t>
        </w:r>
        <w:r w:rsidR="00017CB4" w:rsidRPr="00EF56C6">
          <w:rPr>
            <w:rStyle w:val="a6"/>
            <w:rFonts w:ascii="Times New Roman" w:hAnsi="Times New Roman" w:cs="Times New Roman"/>
            <w:b/>
          </w:rPr>
          <w:t>年陕西省网民使用电子商务服务单机单次有效时间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4-38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月陕西省网民常用电子商务类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4-39  2017</w:t>
        </w:r>
        <w:r w:rsidR="00017CB4" w:rsidRPr="00EF56C6">
          <w:rPr>
            <w:rStyle w:val="a6"/>
            <w:rFonts w:ascii="Times New Roman" w:hAnsi="Times New Roman" w:cs="Times New Roman"/>
            <w:b/>
          </w:rPr>
          <w:t>年陕西省网民使用游戏服务月独立设备数比例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4-40  2017</w:t>
        </w:r>
        <w:r w:rsidR="00017CB4" w:rsidRPr="00EF56C6">
          <w:rPr>
            <w:rStyle w:val="a6"/>
            <w:rFonts w:ascii="Times New Roman" w:hAnsi="Times New Roman" w:cs="Times New Roman"/>
            <w:b/>
          </w:rPr>
          <w:t>年陕西省网民使用游戏服务单机使用天数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4-41  2017</w:t>
        </w:r>
        <w:r w:rsidR="00017CB4" w:rsidRPr="00EF56C6">
          <w:rPr>
            <w:rStyle w:val="a6"/>
            <w:rFonts w:ascii="Times New Roman" w:hAnsi="Times New Roman" w:cs="Times New Roman"/>
            <w:b/>
          </w:rPr>
          <w:t>年陕西省网民使用游戏服务单机单日使用次数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59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4-42  2017</w:t>
        </w:r>
        <w:r w:rsidR="00017CB4" w:rsidRPr="00EF56C6">
          <w:rPr>
            <w:rStyle w:val="a6"/>
            <w:rFonts w:ascii="Times New Roman" w:hAnsi="Times New Roman" w:cs="Times New Roman"/>
            <w:b/>
          </w:rPr>
          <w:t>年陕西省网民使用游戏服务单机单次有效时间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4-43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月陕西省网民常用游戏类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8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4-44  2017</w:t>
        </w:r>
        <w:r w:rsidR="00017CB4" w:rsidRPr="00EF56C6">
          <w:rPr>
            <w:rStyle w:val="a6"/>
            <w:rFonts w:ascii="Times New Roman" w:hAnsi="Times New Roman" w:cs="Times New Roman"/>
            <w:b/>
          </w:rPr>
          <w:t>年陕西省网民使用音乐音频服务月独立设备数比例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_Toc524418189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4-45  2017</w:t>
        </w:r>
        <w:r w:rsidR="00017CB4" w:rsidRPr="00EF56C6">
          <w:rPr>
            <w:rStyle w:val="a6"/>
            <w:rFonts w:ascii="Times New Roman" w:hAnsi="Times New Roman" w:cs="Times New Roman"/>
            <w:b/>
          </w:rPr>
          <w:t>年陕西省网民使用音乐音频服务单机使用天数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4-46  2017</w:t>
        </w:r>
        <w:r w:rsidR="00017CB4" w:rsidRPr="00EF56C6">
          <w:rPr>
            <w:rStyle w:val="a6"/>
            <w:rFonts w:ascii="Times New Roman" w:hAnsi="Times New Roman" w:cs="Times New Roman"/>
            <w:b/>
          </w:rPr>
          <w:t>年陕西省网民使用音乐音频服务单机单日使用次数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4-47  2017</w:t>
        </w:r>
        <w:r w:rsidR="00017CB4" w:rsidRPr="00EF56C6">
          <w:rPr>
            <w:rStyle w:val="a6"/>
            <w:rFonts w:ascii="Times New Roman" w:hAnsi="Times New Roman" w:cs="Times New Roman"/>
            <w:b/>
          </w:rPr>
          <w:t>年陕西省网民使用音乐音频服务单机单次有效时间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4-48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月陕西省网民常用音乐音频类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4-49  2017</w:t>
        </w:r>
        <w:r w:rsidR="00017CB4" w:rsidRPr="00EF56C6">
          <w:rPr>
            <w:rStyle w:val="a6"/>
            <w:rFonts w:ascii="Times New Roman" w:hAnsi="Times New Roman" w:cs="Times New Roman"/>
            <w:b/>
          </w:rPr>
          <w:t>年陕西省网民使用应用分发服务月独立设备数比例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4-50  2017</w:t>
        </w:r>
        <w:r w:rsidR="00017CB4" w:rsidRPr="00EF56C6">
          <w:rPr>
            <w:rStyle w:val="a6"/>
            <w:rFonts w:ascii="Times New Roman" w:hAnsi="Times New Roman" w:cs="Times New Roman"/>
            <w:b/>
          </w:rPr>
          <w:t>年陕西省网民使用应用分发服务单机使用天数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4-51  2017</w:t>
        </w:r>
        <w:r w:rsidR="00017CB4" w:rsidRPr="00EF56C6">
          <w:rPr>
            <w:rStyle w:val="a6"/>
            <w:rFonts w:ascii="Times New Roman" w:hAnsi="Times New Roman" w:cs="Times New Roman"/>
            <w:b/>
          </w:rPr>
          <w:t>年陕西省网民使用应用分发服务单机单日使用次数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4-52  2017</w:t>
        </w:r>
        <w:r w:rsidR="00017CB4" w:rsidRPr="00EF56C6">
          <w:rPr>
            <w:rStyle w:val="a6"/>
            <w:rFonts w:ascii="Times New Roman" w:hAnsi="Times New Roman" w:cs="Times New Roman"/>
            <w:b/>
          </w:rPr>
          <w:t>年陕西省网民使用应用分发服务单机单次有效时间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4-53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月陕西省网民常用应用分发类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19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4-54  2017</w:t>
        </w:r>
        <w:r w:rsidR="00017CB4" w:rsidRPr="00EF56C6">
          <w:rPr>
            <w:rStyle w:val="a6"/>
            <w:rFonts w:ascii="Times New Roman" w:hAnsi="Times New Roman" w:cs="Times New Roman"/>
            <w:b/>
          </w:rPr>
          <w:t>年陕西省网民使用综合资讯服务月独立设备数比例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_Toc524418199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4-55  2017</w:t>
        </w:r>
        <w:r w:rsidR="00017CB4" w:rsidRPr="00EF56C6">
          <w:rPr>
            <w:rStyle w:val="a6"/>
            <w:rFonts w:ascii="Times New Roman" w:hAnsi="Times New Roman" w:cs="Times New Roman"/>
            <w:b/>
          </w:rPr>
          <w:t>年陕西省网民使用综合资讯服务单机使用天数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4-56  2017</w:t>
        </w:r>
        <w:r w:rsidR="00017CB4" w:rsidRPr="00EF56C6">
          <w:rPr>
            <w:rStyle w:val="a6"/>
            <w:rFonts w:ascii="Times New Roman" w:hAnsi="Times New Roman" w:cs="Times New Roman"/>
            <w:b/>
          </w:rPr>
          <w:t>年陕西省网民使用综合资讯服务单机单日使用次数</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4-57  2017</w:t>
        </w:r>
        <w:r w:rsidR="00017CB4" w:rsidRPr="00EF56C6">
          <w:rPr>
            <w:rStyle w:val="a6"/>
            <w:rFonts w:ascii="Times New Roman" w:hAnsi="Times New Roman" w:cs="Times New Roman"/>
            <w:b/>
          </w:rPr>
          <w:t>年陕西省网民使用综合资讯服务单机单次有效时间</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4-58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月陕西省网民常用综合资讯类</w:t>
        </w:r>
        <w:r w:rsidR="00017CB4" w:rsidRPr="00EF56C6">
          <w:rPr>
            <w:rStyle w:val="a6"/>
            <w:rFonts w:ascii="Times New Roman" w:hAnsi="Times New Roman" w:cs="Times New Roman"/>
            <w:b/>
          </w:rPr>
          <w:t>APP</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  2014-2017</w:t>
        </w:r>
        <w:r w:rsidR="00017CB4" w:rsidRPr="00EF56C6">
          <w:rPr>
            <w:rStyle w:val="a6"/>
            <w:rFonts w:ascii="Times New Roman" w:hAnsi="Times New Roman" w:cs="Times New Roman"/>
            <w:b/>
          </w:rPr>
          <w:t>年陕西省光缆线路长度</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5-2  2017</w:t>
        </w:r>
        <w:r w:rsidR="00017CB4" w:rsidRPr="00EF56C6">
          <w:rPr>
            <w:rStyle w:val="a6"/>
            <w:rFonts w:ascii="Times New Roman" w:hAnsi="Times New Roman" w:cs="Times New Roman"/>
            <w:b/>
          </w:rPr>
          <w:t>年陕西省互联网宽带接入端口数量构成</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69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5-3  2013-2017</w:t>
        </w:r>
        <w:r w:rsidR="00017CB4" w:rsidRPr="00EF56C6">
          <w:rPr>
            <w:rStyle w:val="a6"/>
            <w:rFonts w:ascii="Times New Roman" w:hAnsi="Times New Roman" w:cs="Times New Roman"/>
            <w:b/>
          </w:rPr>
          <w:t>年陕西省</w:t>
        </w:r>
        <w:r w:rsidR="00017CB4" w:rsidRPr="00EF56C6">
          <w:rPr>
            <w:rStyle w:val="a6"/>
            <w:rFonts w:ascii="Times New Roman" w:hAnsi="Times New Roman" w:cs="Times New Roman"/>
            <w:b/>
          </w:rPr>
          <w:t>IPv4</w:t>
        </w:r>
        <w:r w:rsidR="00017CB4" w:rsidRPr="00EF56C6">
          <w:rPr>
            <w:rStyle w:val="a6"/>
            <w:rFonts w:ascii="Times New Roman" w:hAnsi="Times New Roman" w:cs="Times New Roman"/>
            <w:b/>
          </w:rPr>
          <w:t>地址数量及占全国比例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5-4  2013-2017</w:t>
        </w:r>
        <w:r w:rsidR="00017CB4" w:rsidRPr="00EF56C6">
          <w:rPr>
            <w:rStyle w:val="a6"/>
            <w:rFonts w:ascii="Times New Roman" w:hAnsi="Times New Roman" w:cs="Times New Roman"/>
            <w:b/>
          </w:rPr>
          <w:t>年陕西省固定电话用户规模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5-5  2013-2017</w:t>
        </w:r>
        <w:r w:rsidR="00017CB4" w:rsidRPr="00EF56C6">
          <w:rPr>
            <w:rStyle w:val="a6"/>
            <w:rFonts w:ascii="Times New Roman" w:hAnsi="Times New Roman" w:cs="Times New Roman"/>
            <w:b/>
          </w:rPr>
          <w:t>年陕西省宽带用户规模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0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5-6  2017</w:t>
        </w:r>
        <w:r w:rsidR="00017CB4" w:rsidRPr="00EF56C6">
          <w:rPr>
            <w:rStyle w:val="a6"/>
            <w:rFonts w:ascii="Times New Roman" w:hAnsi="Times New Roman" w:cs="Times New Roman"/>
            <w:b/>
          </w:rPr>
          <w:t>年</w:t>
        </w:r>
        <w:r w:rsidR="00017CB4" w:rsidRPr="00EF56C6">
          <w:rPr>
            <w:rStyle w:val="a6"/>
            <w:rFonts w:ascii="Times New Roman" w:hAnsi="Times New Roman" w:cs="Times New Roman"/>
            <w:b/>
          </w:rPr>
          <w:t>12</w:t>
        </w:r>
        <w:r w:rsidR="00017CB4" w:rsidRPr="00EF56C6">
          <w:rPr>
            <w:rStyle w:val="a6"/>
            <w:rFonts w:ascii="Times New Roman" w:hAnsi="Times New Roman" w:cs="Times New Roman"/>
            <w:b/>
          </w:rPr>
          <w:t>月（固定）互联网宽带用户接入速率分布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_Toc524418209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5-7  2014-2017</w:t>
        </w:r>
        <w:r w:rsidR="00017CB4" w:rsidRPr="00EF56C6">
          <w:rPr>
            <w:rStyle w:val="a6"/>
            <w:rFonts w:ascii="Times New Roman" w:hAnsi="Times New Roman" w:cs="Times New Roman"/>
            <w:b/>
          </w:rPr>
          <w:t>年陕西省移动基站数量</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5-8  2013-2017</w:t>
        </w:r>
        <w:r w:rsidR="00017CB4" w:rsidRPr="00EF56C6">
          <w:rPr>
            <w:rStyle w:val="a6"/>
            <w:rFonts w:ascii="Times New Roman" w:hAnsi="Times New Roman" w:cs="Times New Roman"/>
            <w:b/>
          </w:rPr>
          <w:t>年陕西省移动电话用户规模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5-9  2015-2017</w:t>
        </w:r>
        <w:r w:rsidR="00017CB4" w:rsidRPr="00EF56C6">
          <w:rPr>
            <w:rStyle w:val="a6"/>
            <w:rFonts w:ascii="Times New Roman" w:hAnsi="Times New Roman" w:cs="Times New Roman"/>
            <w:b/>
          </w:rPr>
          <w:t>年陕西省移动电话用户类型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5-10  2013-2017</w:t>
        </w:r>
        <w:r w:rsidR="00017CB4" w:rsidRPr="00EF56C6">
          <w:rPr>
            <w:rStyle w:val="a6"/>
            <w:rFonts w:ascii="Times New Roman" w:hAnsi="Times New Roman" w:cs="Times New Roman"/>
            <w:b/>
          </w:rPr>
          <w:t>年陕西省域名数量及占全国比例</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73</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5-11  2017</w:t>
        </w:r>
        <w:r w:rsidR="00017CB4" w:rsidRPr="00EF56C6">
          <w:rPr>
            <w:rStyle w:val="a6"/>
            <w:rFonts w:ascii="Times New Roman" w:hAnsi="Times New Roman" w:cs="Times New Roman"/>
            <w:b/>
          </w:rPr>
          <w:t>年陕西省域名构成情况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5-12  2017</w:t>
        </w:r>
        <w:r w:rsidR="00017CB4" w:rsidRPr="00EF56C6">
          <w:rPr>
            <w:rStyle w:val="a6"/>
            <w:rFonts w:ascii="Times New Roman" w:hAnsi="Times New Roman" w:cs="Times New Roman"/>
            <w:b/>
          </w:rPr>
          <w:t>年陕西省备案网站接入信息分布情况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74</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5-13  2017</w:t>
        </w:r>
        <w:r w:rsidR="00017CB4" w:rsidRPr="00EF56C6">
          <w:rPr>
            <w:rStyle w:val="a6"/>
            <w:rFonts w:ascii="Times New Roman" w:hAnsi="Times New Roman" w:cs="Times New Roman"/>
            <w:b/>
          </w:rPr>
          <w:t>年陕西省备案网站主体数量分布情况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75</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5-14  2017</w:t>
        </w:r>
        <w:r w:rsidR="00017CB4" w:rsidRPr="00EF56C6">
          <w:rPr>
            <w:rStyle w:val="a6"/>
            <w:rFonts w:ascii="Times New Roman" w:hAnsi="Times New Roman" w:cs="Times New Roman"/>
            <w:b/>
          </w:rPr>
          <w:t>年陕西省基础运营商接入网站比较</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8"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5-15  2017</w:t>
        </w:r>
        <w:r w:rsidR="00017CB4" w:rsidRPr="00EF56C6">
          <w:rPr>
            <w:rStyle w:val="a6"/>
            <w:rFonts w:ascii="Times New Roman" w:hAnsi="Times New Roman" w:cs="Times New Roman"/>
            <w:b/>
          </w:rPr>
          <w:t>年陕西省增值电信企业业务开展情况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_Toc524418218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76</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19"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5-1</w:t>
        </w:r>
        <w:r w:rsidR="00017CB4">
          <w:rPr>
            <w:rStyle w:val="a6"/>
            <w:rFonts w:ascii="Times New Roman" w:hAnsi="Times New Roman" w:cs="Times New Roman" w:hint="eastAsia"/>
            <w:b/>
          </w:rPr>
          <w:t>6</w:t>
        </w:r>
        <w:r w:rsidR="00017CB4" w:rsidRPr="00EF56C6">
          <w:rPr>
            <w:rStyle w:val="a6"/>
            <w:rFonts w:ascii="Times New Roman" w:hAnsi="Times New Roman" w:cs="Times New Roman"/>
            <w:b/>
          </w:rPr>
          <w:t xml:space="preserve">  2017</w:t>
        </w:r>
        <w:r w:rsidR="00017CB4" w:rsidRPr="00EF56C6">
          <w:rPr>
            <w:rStyle w:val="a6"/>
            <w:rFonts w:ascii="Times New Roman" w:hAnsi="Times New Roman" w:cs="Times New Roman"/>
            <w:b/>
          </w:rPr>
          <w:t>年陕西省主要增值电信企业接入网站情况</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_Toc524418219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77</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0"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6-1  2017</w:t>
        </w:r>
        <w:r w:rsidR="00017CB4" w:rsidRPr="00EF56C6">
          <w:rPr>
            <w:rStyle w:val="a6"/>
            <w:rFonts w:ascii="Times New Roman" w:hAnsi="Times New Roman" w:cs="Times New Roman"/>
            <w:b/>
          </w:rPr>
          <w:t>年陕西省木马或僵尸程序受控主机</w:t>
        </w:r>
        <w:r w:rsidR="00017CB4" w:rsidRPr="00EF56C6">
          <w:rPr>
            <w:rStyle w:val="a6"/>
            <w:rFonts w:ascii="Times New Roman" w:hAnsi="Times New Roman" w:cs="Times New Roman"/>
            <w:b/>
          </w:rPr>
          <w:t>IP</w:t>
        </w:r>
        <w:r w:rsidR="00017CB4" w:rsidRPr="00EF56C6">
          <w:rPr>
            <w:rStyle w:val="a6"/>
            <w:rFonts w:ascii="Times New Roman" w:hAnsi="Times New Roman" w:cs="Times New Roman"/>
            <w:b/>
          </w:rPr>
          <w:t>数量月度统计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_Toc524418220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78</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1"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6-2  2017</w:t>
        </w:r>
        <w:r w:rsidR="00017CB4" w:rsidRPr="00EF56C6">
          <w:rPr>
            <w:rStyle w:val="a6"/>
            <w:rFonts w:ascii="Times New Roman" w:hAnsi="Times New Roman" w:cs="Times New Roman"/>
            <w:b/>
          </w:rPr>
          <w:t>年陕西省木马或僵尸程序控制服务器</w:t>
        </w:r>
        <w:r w:rsidR="00017CB4" w:rsidRPr="00EF56C6">
          <w:rPr>
            <w:rStyle w:val="a6"/>
            <w:rFonts w:ascii="Times New Roman" w:hAnsi="Times New Roman" w:cs="Times New Roman"/>
            <w:b/>
          </w:rPr>
          <w:t>IP</w:t>
        </w:r>
        <w:r w:rsidR="00017CB4" w:rsidRPr="00EF56C6">
          <w:rPr>
            <w:rStyle w:val="a6"/>
            <w:rFonts w:ascii="Times New Roman" w:hAnsi="Times New Roman" w:cs="Times New Roman"/>
            <w:b/>
          </w:rPr>
          <w:t>数量月度统计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_Toc524418221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2"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6-3  2017</w:t>
        </w:r>
        <w:r w:rsidR="00017CB4" w:rsidRPr="00EF56C6">
          <w:rPr>
            <w:rStyle w:val="a6"/>
            <w:rFonts w:ascii="Times New Roman" w:hAnsi="Times New Roman" w:cs="Times New Roman"/>
            <w:b/>
          </w:rPr>
          <w:t>年陕西省感染飞客蠕虫主机</w:t>
        </w:r>
        <w:r w:rsidR="00017CB4" w:rsidRPr="00EF56C6">
          <w:rPr>
            <w:rStyle w:val="a6"/>
            <w:rFonts w:ascii="Times New Roman" w:hAnsi="Times New Roman" w:cs="Times New Roman"/>
            <w:b/>
          </w:rPr>
          <w:t>IP</w:t>
        </w:r>
        <w:r w:rsidR="00017CB4" w:rsidRPr="00EF56C6">
          <w:rPr>
            <w:rStyle w:val="a6"/>
            <w:rFonts w:ascii="Times New Roman" w:hAnsi="Times New Roman" w:cs="Times New Roman"/>
            <w:b/>
          </w:rPr>
          <w:t>数量月度统计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_Toc524418222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79</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3"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6-4  2017</w:t>
        </w:r>
        <w:r w:rsidR="00017CB4" w:rsidRPr="00EF56C6">
          <w:rPr>
            <w:rStyle w:val="a6"/>
            <w:rFonts w:ascii="Times New Roman" w:hAnsi="Times New Roman" w:cs="Times New Roman"/>
            <w:b/>
          </w:rPr>
          <w:t>年陕西省网站被篡改数量月度统计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_Toc524418223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80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4"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6-5  2017</w:t>
        </w:r>
        <w:r w:rsidR="00017CB4" w:rsidRPr="00EF56C6">
          <w:rPr>
            <w:rStyle w:val="a6"/>
            <w:rFonts w:ascii="Times New Roman" w:hAnsi="Times New Roman" w:cs="Times New Roman"/>
            <w:b/>
          </w:rPr>
          <w:t>年陕西省被植入后门网站数量月度统计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_Toc524418224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80</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5"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7-1  2013-2017</w:t>
        </w:r>
        <w:r w:rsidR="00017CB4" w:rsidRPr="00EF56C6">
          <w:rPr>
            <w:rStyle w:val="a6"/>
            <w:rFonts w:ascii="Times New Roman" w:hAnsi="Times New Roman" w:cs="Times New Roman"/>
            <w:b/>
          </w:rPr>
          <w:t>年我国网民总体规模及渗透率</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_Toc524418225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81</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6"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7-2  2013-2017</w:t>
        </w:r>
        <w:r w:rsidR="00017CB4" w:rsidRPr="00EF56C6">
          <w:rPr>
            <w:rStyle w:val="a6"/>
            <w:rFonts w:ascii="Times New Roman" w:hAnsi="Times New Roman" w:cs="Times New Roman"/>
            <w:b/>
          </w:rPr>
          <w:t>年我国</w:t>
        </w:r>
        <w:r w:rsidR="00017CB4" w:rsidRPr="00EF56C6">
          <w:rPr>
            <w:rStyle w:val="a6"/>
            <w:rFonts w:ascii="Times New Roman" w:hAnsi="Times New Roman" w:cs="Times New Roman"/>
            <w:b/>
          </w:rPr>
          <w:t>PC</w:t>
        </w:r>
        <w:r w:rsidR="00017CB4" w:rsidRPr="00EF56C6">
          <w:rPr>
            <w:rStyle w:val="a6"/>
            <w:rFonts w:ascii="Times New Roman" w:hAnsi="Times New Roman" w:cs="Times New Roman"/>
            <w:b/>
          </w:rPr>
          <w:t>和移动网络经济市场营收规模</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_Toc524418226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82</w:t>
        </w:r>
        <w:r w:rsidRPr="00EF56C6">
          <w:rPr>
            <w:rFonts w:ascii="Times New Roman" w:hAnsi="Times New Roman" w:cs="Times New Roman"/>
            <w:b/>
            <w:webHidden/>
          </w:rPr>
          <w:fldChar w:fldCharType="end"/>
        </w:r>
      </w:hyperlink>
    </w:p>
    <w:p w:rsidR="00017CB4" w:rsidRPr="00EF56C6" w:rsidRDefault="00BD4215" w:rsidP="00EF56C6">
      <w:pPr>
        <w:pStyle w:val="60"/>
        <w:spacing w:line="480" w:lineRule="exact"/>
        <w:rPr>
          <w:rFonts w:ascii="Times New Roman" w:eastAsiaTheme="minorEastAsia" w:hAnsi="Times New Roman" w:cs="Times New Roman"/>
          <w:b/>
          <w:szCs w:val="22"/>
        </w:rPr>
      </w:pPr>
      <w:hyperlink w:anchor="_Toc524418227" w:history="1">
        <w:r w:rsidR="00017CB4" w:rsidRPr="00EF56C6">
          <w:rPr>
            <w:rStyle w:val="a6"/>
            <w:rFonts w:ascii="Times New Roman" w:hAnsi="Times New Roman" w:cs="Times New Roman"/>
            <w:b/>
          </w:rPr>
          <w:t>图</w:t>
        </w:r>
        <w:r w:rsidR="00017CB4" w:rsidRPr="00EF56C6">
          <w:rPr>
            <w:rStyle w:val="a6"/>
            <w:rFonts w:ascii="Times New Roman" w:hAnsi="Times New Roman" w:cs="Times New Roman"/>
            <w:b/>
          </w:rPr>
          <w:t xml:space="preserve">7-3  </w:t>
        </w:r>
        <w:r w:rsidR="00017CB4" w:rsidRPr="00EF56C6">
          <w:rPr>
            <w:rStyle w:val="a6"/>
            <w:rFonts w:ascii="Times New Roman" w:hAnsi="Times New Roman" w:cs="Times New Roman"/>
            <w:b/>
          </w:rPr>
          <w:t>不同流量属性的表现示意图</w:t>
        </w:r>
        <w:r w:rsidR="00017CB4" w:rsidRPr="00EF56C6">
          <w:rPr>
            <w:rFonts w:ascii="Times New Roman" w:hAnsi="Times New Roman" w:cs="Times New Roman"/>
            <w:b/>
            <w:webHidden/>
          </w:rPr>
          <w:tab/>
        </w:r>
        <w:r w:rsidRPr="00EF56C6">
          <w:rPr>
            <w:rFonts w:ascii="Times New Roman" w:hAnsi="Times New Roman" w:cs="Times New Roman"/>
            <w:b/>
            <w:webHidden/>
          </w:rPr>
          <w:fldChar w:fldCharType="begin"/>
        </w:r>
        <w:r w:rsidR="00017CB4" w:rsidRPr="00EF56C6">
          <w:rPr>
            <w:rFonts w:ascii="Times New Roman" w:hAnsi="Times New Roman" w:cs="Times New Roman"/>
            <w:b/>
            <w:webHidden/>
          </w:rPr>
          <w:instrText xml:space="preserve"> PAGEREF _Toc524418227 \h </w:instrText>
        </w:r>
        <w:r w:rsidRPr="00EF56C6">
          <w:rPr>
            <w:rFonts w:ascii="Times New Roman" w:hAnsi="Times New Roman" w:cs="Times New Roman"/>
            <w:b/>
            <w:webHidden/>
          </w:rPr>
        </w:r>
        <w:r w:rsidRPr="00EF56C6">
          <w:rPr>
            <w:rFonts w:ascii="Times New Roman" w:hAnsi="Times New Roman" w:cs="Times New Roman"/>
            <w:b/>
            <w:webHidden/>
          </w:rPr>
          <w:fldChar w:fldCharType="separate"/>
        </w:r>
        <w:r w:rsidR="001175DB">
          <w:rPr>
            <w:rFonts w:ascii="Times New Roman" w:hAnsi="Times New Roman" w:cs="Times New Roman"/>
            <w:b/>
            <w:webHidden/>
          </w:rPr>
          <w:t>82</w:t>
        </w:r>
        <w:r w:rsidRPr="00EF56C6">
          <w:rPr>
            <w:rFonts w:ascii="Times New Roman" w:hAnsi="Times New Roman" w:cs="Times New Roman"/>
            <w:b/>
            <w:webHidden/>
          </w:rPr>
          <w:fldChar w:fldCharType="end"/>
        </w:r>
      </w:hyperlink>
    </w:p>
    <w:p w:rsidR="005C304E" w:rsidRPr="005C304E" w:rsidRDefault="00BD4215" w:rsidP="00017CB4">
      <w:pPr>
        <w:pStyle w:val="60"/>
        <w:spacing w:line="480" w:lineRule="exact"/>
      </w:pPr>
      <w:r w:rsidRPr="00017CB4">
        <w:rPr>
          <w:rStyle w:val="a6"/>
          <w:rFonts w:ascii="Times New Roman" w:hAnsi="Times New Roman" w:cs="Times New Roman"/>
          <w:b/>
          <w:color w:val="auto"/>
        </w:rPr>
        <w:fldChar w:fldCharType="end"/>
      </w:r>
    </w:p>
    <w:p w:rsidR="00326979" w:rsidRPr="009D423B" w:rsidRDefault="00326979" w:rsidP="00E063CB">
      <w:pPr>
        <w:rPr>
          <w:rFonts w:ascii="微软雅黑" w:eastAsia="微软雅黑" w:hAnsi="微软雅黑" w:cs="STHeiti"/>
          <w:b/>
          <w:szCs w:val="21"/>
        </w:rPr>
        <w:sectPr w:rsidR="00326979" w:rsidRPr="009D423B" w:rsidSect="00C43FF3">
          <w:footerReference w:type="default" r:id="rId8"/>
          <w:pgSz w:w="11906" w:h="16838"/>
          <w:pgMar w:top="1440" w:right="1800" w:bottom="1440" w:left="1800" w:header="851" w:footer="992" w:gutter="0"/>
          <w:pgNumType w:fmt="upperRoman" w:start="1"/>
          <w:cols w:space="425"/>
          <w:docGrid w:type="lines" w:linePitch="312"/>
        </w:sectPr>
      </w:pPr>
    </w:p>
    <w:p w:rsidR="006A0E50" w:rsidRDefault="006A0E50" w:rsidP="00E063CB">
      <w:pPr>
        <w:spacing w:line="720" w:lineRule="auto"/>
        <w:jc w:val="center"/>
        <w:outlineLvl w:val="0"/>
        <w:rPr>
          <w:rFonts w:ascii="微软雅黑" w:eastAsia="微软雅黑" w:hAnsi="微软雅黑" w:cs="STHeiti"/>
          <w:b/>
          <w:sz w:val="28"/>
          <w:szCs w:val="28"/>
        </w:rPr>
      </w:pPr>
      <w:bookmarkStart w:id="0" w:name="_Toc524417962"/>
      <w:r>
        <w:rPr>
          <w:rFonts w:ascii="微软雅黑" w:eastAsia="微软雅黑" w:hAnsi="微软雅黑" w:cs="STHeiti" w:hint="eastAsia"/>
          <w:b/>
          <w:sz w:val="28"/>
          <w:szCs w:val="28"/>
        </w:rPr>
        <w:t>第一部分  报告摘要</w:t>
      </w:r>
      <w:bookmarkEnd w:id="0"/>
    </w:p>
    <w:p w:rsidR="006A0E50" w:rsidRDefault="006A0E50" w:rsidP="00635202">
      <w:pPr>
        <w:numPr>
          <w:ilvl w:val="0"/>
          <w:numId w:val="2"/>
        </w:numPr>
        <w:spacing w:line="400" w:lineRule="exact"/>
        <w:rPr>
          <w:rFonts w:ascii="微软雅黑" w:eastAsia="微软雅黑" w:hAnsi="微软雅黑"/>
          <w:b/>
          <w:szCs w:val="21"/>
        </w:rPr>
      </w:pPr>
      <w:r>
        <w:rPr>
          <w:rFonts w:ascii="微软雅黑" w:eastAsia="微软雅黑" w:hAnsi="微软雅黑" w:hint="eastAsia"/>
          <w:b/>
          <w:szCs w:val="21"/>
        </w:rPr>
        <w:t>陕西省网民</w:t>
      </w:r>
      <w:r w:rsidR="005A3D31">
        <w:rPr>
          <w:rFonts w:ascii="微软雅黑" w:eastAsia="微软雅黑" w:hAnsi="微软雅黑" w:hint="eastAsia"/>
          <w:b/>
          <w:szCs w:val="21"/>
        </w:rPr>
        <w:t>基本</w:t>
      </w:r>
      <w:r>
        <w:rPr>
          <w:rFonts w:ascii="微软雅黑" w:eastAsia="微软雅黑" w:hAnsi="微软雅黑" w:hint="eastAsia"/>
          <w:b/>
          <w:szCs w:val="21"/>
        </w:rPr>
        <w:t>属性：</w:t>
      </w:r>
    </w:p>
    <w:p w:rsidR="006A0E50" w:rsidRDefault="00897D91" w:rsidP="00635202">
      <w:pPr>
        <w:snapToGrid w:val="0"/>
        <w:ind w:firstLineChars="200" w:firstLine="420"/>
        <w:rPr>
          <w:rFonts w:ascii="微软雅黑" w:eastAsia="微软雅黑" w:hAnsi="微软雅黑"/>
          <w:szCs w:val="21"/>
        </w:rPr>
      </w:pPr>
      <w:r>
        <w:rPr>
          <w:rFonts w:ascii="微软雅黑" w:eastAsia="微软雅黑" w:hAnsi="微软雅黑" w:hint="eastAsia"/>
          <w:szCs w:val="21"/>
        </w:rPr>
        <w:t>2017年，</w:t>
      </w:r>
      <w:r w:rsidR="00684B99">
        <w:rPr>
          <w:rFonts w:ascii="微软雅黑" w:eastAsia="微软雅黑" w:hAnsi="微软雅黑" w:hint="eastAsia"/>
          <w:szCs w:val="21"/>
        </w:rPr>
        <w:t>全</w:t>
      </w:r>
      <w:r>
        <w:rPr>
          <w:rFonts w:ascii="微软雅黑" w:eastAsia="微软雅黑" w:hAnsi="微软雅黑" w:hint="eastAsia"/>
          <w:szCs w:val="21"/>
        </w:rPr>
        <w:t>省</w:t>
      </w:r>
      <w:r w:rsidR="00085A34" w:rsidRPr="009D423B">
        <w:rPr>
          <w:rFonts w:ascii="微软雅黑" w:eastAsia="微软雅黑" w:hAnsi="微软雅黑"/>
          <w:szCs w:val="21"/>
        </w:rPr>
        <w:t>男性</w:t>
      </w:r>
      <w:r w:rsidR="00085A34" w:rsidRPr="009D423B">
        <w:rPr>
          <w:rFonts w:ascii="微软雅黑" w:eastAsia="微软雅黑" w:hAnsi="微软雅黑" w:hint="eastAsia"/>
          <w:szCs w:val="21"/>
        </w:rPr>
        <w:t>与</w:t>
      </w:r>
      <w:r w:rsidR="00085A34" w:rsidRPr="009D423B">
        <w:rPr>
          <w:rFonts w:ascii="微软雅黑" w:eastAsia="微软雅黑" w:hAnsi="微软雅黑"/>
          <w:szCs w:val="21"/>
        </w:rPr>
        <w:t>女性</w:t>
      </w:r>
      <w:r>
        <w:rPr>
          <w:rFonts w:ascii="微软雅黑" w:eastAsia="微软雅黑" w:hAnsi="微软雅黑"/>
          <w:szCs w:val="21"/>
        </w:rPr>
        <w:t>网民</w:t>
      </w:r>
      <w:r w:rsidR="00085A34" w:rsidRPr="009D423B">
        <w:rPr>
          <w:rFonts w:ascii="微软雅黑" w:eastAsia="微软雅黑" w:hAnsi="微软雅黑"/>
          <w:szCs w:val="21"/>
        </w:rPr>
        <w:t>比例</w:t>
      </w:r>
      <w:r w:rsidR="00085A34" w:rsidRPr="009D423B">
        <w:rPr>
          <w:rFonts w:ascii="微软雅黑" w:eastAsia="微软雅黑" w:hAnsi="微软雅黑" w:hint="eastAsia"/>
          <w:szCs w:val="21"/>
        </w:rPr>
        <w:t>为5</w:t>
      </w:r>
      <w:r w:rsidR="00085A34">
        <w:rPr>
          <w:rFonts w:ascii="微软雅黑" w:eastAsia="微软雅黑" w:hAnsi="微软雅黑" w:hint="eastAsia"/>
          <w:szCs w:val="21"/>
        </w:rPr>
        <w:t>2</w:t>
      </w:r>
      <w:r w:rsidR="00085A34" w:rsidRPr="009D423B">
        <w:rPr>
          <w:rFonts w:ascii="微软雅黑" w:eastAsia="微软雅黑" w:hAnsi="微软雅黑" w:hint="eastAsia"/>
          <w:szCs w:val="21"/>
        </w:rPr>
        <w:t>：</w:t>
      </w:r>
      <w:r w:rsidR="00085A34">
        <w:rPr>
          <w:rFonts w:ascii="微软雅黑" w:eastAsia="微软雅黑" w:hAnsi="微软雅黑" w:hint="eastAsia"/>
          <w:szCs w:val="21"/>
        </w:rPr>
        <w:t>48</w:t>
      </w:r>
      <w:r>
        <w:rPr>
          <w:rFonts w:ascii="微软雅黑" w:eastAsia="微软雅黑" w:hAnsi="微软雅黑" w:hint="eastAsia"/>
          <w:szCs w:val="21"/>
        </w:rPr>
        <w:t>，女性网民占比</w:t>
      </w:r>
      <w:r w:rsidR="004D258A">
        <w:rPr>
          <w:rFonts w:ascii="微软雅黑" w:eastAsia="微软雅黑" w:hAnsi="微软雅黑" w:hint="eastAsia"/>
          <w:szCs w:val="21"/>
        </w:rPr>
        <w:t>同</w:t>
      </w:r>
      <w:r>
        <w:rPr>
          <w:rFonts w:ascii="微软雅黑" w:eastAsia="微软雅黑" w:hAnsi="微软雅黑" w:hint="eastAsia"/>
          <w:szCs w:val="21"/>
        </w:rPr>
        <w:t>2016年</w:t>
      </w:r>
      <w:r w:rsidR="004D258A">
        <w:rPr>
          <w:rFonts w:ascii="微软雅黑" w:eastAsia="微软雅黑" w:hAnsi="微软雅黑" w:hint="eastAsia"/>
          <w:szCs w:val="21"/>
        </w:rPr>
        <w:t>相比</w:t>
      </w:r>
      <w:r>
        <w:rPr>
          <w:rFonts w:ascii="微软雅黑" w:eastAsia="微软雅黑" w:hAnsi="微软雅黑" w:hint="eastAsia"/>
          <w:szCs w:val="21"/>
        </w:rPr>
        <w:t>提升了1.2个百分点</w:t>
      </w:r>
      <w:r w:rsidR="00085A34">
        <w:rPr>
          <w:rFonts w:ascii="微软雅黑" w:eastAsia="微软雅黑" w:hAnsi="微软雅黑" w:hint="eastAsia"/>
          <w:szCs w:val="21"/>
        </w:rPr>
        <w:t>；</w:t>
      </w:r>
      <w:r w:rsidR="006A0E50">
        <w:rPr>
          <w:rFonts w:ascii="微软雅黑" w:eastAsia="微软雅黑" w:hAnsi="微软雅黑" w:hint="eastAsia"/>
          <w:szCs w:val="21"/>
        </w:rPr>
        <w:t>全省网民</w:t>
      </w:r>
      <w:r w:rsidRPr="009D423B">
        <w:rPr>
          <w:rFonts w:ascii="微软雅黑" w:eastAsia="微软雅黑" w:hAnsi="微软雅黑" w:hint="eastAsia"/>
          <w:szCs w:val="21"/>
        </w:rPr>
        <w:t>年龄主要集中在19</w:t>
      </w:r>
      <w:r>
        <w:rPr>
          <w:rFonts w:ascii="微软雅黑" w:eastAsia="微软雅黑" w:hAnsi="微软雅黑" w:hint="eastAsia"/>
          <w:szCs w:val="21"/>
        </w:rPr>
        <w:t>-24岁和25-</w:t>
      </w:r>
      <w:r w:rsidRPr="009D423B">
        <w:rPr>
          <w:rFonts w:ascii="微软雅黑" w:eastAsia="微软雅黑" w:hAnsi="微软雅黑"/>
          <w:szCs w:val="21"/>
        </w:rPr>
        <w:t>30岁</w:t>
      </w:r>
      <w:r>
        <w:rPr>
          <w:rFonts w:ascii="微软雅黑" w:eastAsia="微软雅黑" w:hAnsi="微软雅黑"/>
          <w:szCs w:val="21"/>
        </w:rPr>
        <w:t>两个</w:t>
      </w:r>
      <w:r w:rsidRPr="009D423B">
        <w:rPr>
          <w:rFonts w:ascii="微软雅黑" w:eastAsia="微软雅黑" w:hAnsi="微软雅黑"/>
          <w:szCs w:val="21"/>
        </w:rPr>
        <w:t>年龄段，</w:t>
      </w:r>
      <w:r>
        <w:rPr>
          <w:rFonts w:ascii="微软雅黑" w:eastAsia="微软雅黑" w:hAnsi="微软雅黑"/>
          <w:szCs w:val="21"/>
        </w:rPr>
        <w:t>两者</w:t>
      </w:r>
      <w:r w:rsidRPr="009D423B">
        <w:rPr>
          <w:rFonts w:ascii="微软雅黑" w:eastAsia="微软雅黑" w:hAnsi="微软雅黑"/>
          <w:szCs w:val="21"/>
        </w:rPr>
        <w:t>合计占比</w:t>
      </w:r>
      <w:r>
        <w:rPr>
          <w:rFonts w:ascii="微软雅黑" w:eastAsia="微软雅黑" w:hAnsi="微软雅黑" w:hint="eastAsia"/>
          <w:szCs w:val="21"/>
        </w:rPr>
        <w:t>接近一半；网民整体受教育程度较高，拥有大学</w:t>
      </w:r>
      <w:r w:rsidR="006A0E50">
        <w:rPr>
          <w:rFonts w:ascii="微软雅黑" w:eastAsia="微软雅黑" w:hAnsi="微软雅黑" w:hint="eastAsia"/>
          <w:szCs w:val="21"/>
        </w:rPr>
        <w:t>专科及以上学历的比例高达86.2</w:t>
      </w:r>
      <w:r w:rsidR="006A0E50">
        <w:rPr>
          <w:rFonts w:ascii="微软雅黑" w:eastAsia="微软雅黑" w:hAnsi="微软雅黑"/>
          <w:szCs w:val="21"/>
        </w:rPr>
        <w:t>%</w:t>
      </w:r>
      <w:r>
        <w:rPr>
          <w:rFonts w:ascii="微软雅黑" w:eastAsia="微软雅黑" w:hAnsi="微软雅黑" w:hint="eastAsia"/>
          <w:szCs w:val="21"/>
        </w:rPr>
        <w:t>；</w:t>
      </w:r>
      <w:r>
        <w:rPr>
          <w:rFonts w:ascii="微软雅黑" w:eastAsia="微软雅黑" w:hAnsi="微软雅黑"/>
          <w:szCs w:val="21"/>
        </w:rPr>
        <w:t>全</w:t>
      </w:r>
      <w:r w:rsidR="006A0E50">
        <w:rPr>
          <w:rFonts w:ascii="微软雅黑" w:eastAsia="微软雅黑" w:hAnsi="微软雅黑"/>
          <w:szCs w:val="21"/>
        </w:rPr>
        <w:t>省网民个人月收入主要集中在1000~</w:t>
      </w:r>
      <w:r w:rsidR="006A0E50">
        <w:rPr>
          <w:rFonts w:ascii="微软雅黑" w:eastAsia="微软雅黑" w:hAnsi="微软雅黑" w:hint="eastAsia"/>
          <w:szCs w:val="21"/>
        </w:rPr>
        <w:t>3</w:t>
      </w:r>
      <w:r w:rsidR="006A0E50">
        <w:rPr>
          <w:rFonts w:ascii="微软雅黑" w:eastAsia="微软雅黑" w:hAnsi="微软雅黑"/>
          <w:szCs w:val="21"/>
        </w:rPr>
        <w:t>000元的区间，占比为4</w:t>
      </w:r>
      <w:r w:rsidR="006A0E50">
        <w:rPr>
          <w:rFonts w:ascii="微软雅黑" w:eastAsia="微软雅黑" w:hAnsi="微软雅黑" w:hint="eastAsia"/>
          <w:szCs w:val="21"/>
        </w:rPr>
        <w:t>6.8</w:t>
      </w:r>
      <w:r w:rsidR="006A0E50">
        <w:rPr>
          <w:rFonts w:ascii="微软雅黑" w:eastAsia="微软雅黑" w:hAnsi="微软雅黑"/>
          <w:szCs w:val="21"/>
        </w:rPr>
        <w:t>%；家庭月收入主要集中在2000~</w:t>
      </w:r>
      <w:r w:rsidR="006A0E50">
        <w:rPr>
          <w:rFonts w:ascii="微软雅黑" w:eastAsia="微软雅黑" w:hAnsi="微软雅黑" w:hint="eastAsia"/>
          <w:szCs w:val="21"/>
        </w:rPr>
        <w:t>6</w:t>
      </w:r>
      <w:r w:rsidR="006A0E50">
        <w:rPr>
          <w:rFonts w:ascii="微软雅黑" w:eastAsia="微软雅黑" w:hAnsi="微软雅黑"/>
          <w:szCs w:val="21"/>
        </w:rPr>
        <w:t>000元区间内，占</w:t>
      </w:r>
      <w:r w:rsidR="006A0E50">
        <w:rPr>
          <w:rFonts w:ascii="微软雅黑" w:eastAsia="微软雅黑" w:hAnsi="微软雅黑" w:hint="eastAsia"/>
          <w:szCs w:val="21"/>
        </w:rPr>
        <w:t>比</w:t>
      </w:r>
      <w:r w:rsidR="006A0E50">
        <w:rPr>
          <w:rFonts w:ascii="微软雅黑" w:eastAsia="微软雅黑" w:hAnsi="微软雅黑"/>
          <w:szCs w:val="21"/>
        </w:rPr>
        <w:t>达</w:t>
      </w:r>
      <w:r w:rsidR="006A0E50">
        <w:rPr>
          <w:rFonts w:ascii="微软雅黑" w:eastAsia="微软雅黑" w:hAnsi="微软雅黑" w:hint="eastAsia"/>
          <w:szCs w:val="21"/>
        </w:rPr>
        <w:t>58.2</w:t>
      </w:r>
      <w:r w:rsidR="006A0E50">
        <w:rPr>
          <w:rFonts w:ascii="微软雅黑" w:eastAsia="微软雅黑" w:hAnsi="微软雅黑"/>
          <w:szCs w:val="21"/>
        </w:rPr>
        <w:t>%。</w:t>
      </w:r>
    </w:p>
    <w:p w:rsidR="006A0E50" w:rsidRDefault="006A0E50" w:rsidP="00635202">
      <w:pPr>
        <w:numPr>
          <w:ilvl w:val="0"/>
          <w:numId w:val="2"/>
        </w:numPr>
        <w:spacing w:before="240" w:line="400" w:lineRule="exact"/>
        <w:rPr>
          <w:rFonts w:ascii="微软雅黑" w:eastAsia="微软雅黑" w:hAnsi="微软雅黑"/>
          <w:b/>
          <w:szCs w:val="21"/>
        </w:rPr>
      </w:pPr>
      <w:r>
        <w:rPr>
          <w:rFonts w:ascii="微软雅黑" w:eastAsia="微软雅黑" w:hAnsi="微软雅黑" w:hint="eastAsia"/>
          <w:b/>
          <w:szCs w:val="21"/>
        </w:rPr>
        <w:t>陕西省网民</w:t>
      </w:r>
      <w:r w:rsidR="00635202">
        <w:rPr>
          <w:rFonts w:ascii="微软雅黑" w:eastAsia="微软雅黑" w:hAnsi="微软雅黑" w:hint="eastAsia"/>
          <w:b/>
          <w:szCs w:val="21"/>
        </w:rPr>
        <w:t>在</w:t>
      </w:r>
      <w:r w:rsidR="000B723F">
        <w:rPr>
          <w:rFonts w:ascii="微软雅黑" w:eastAsia="微软雅黑" w:hAnsi="微软雅黑" w:hint="eastAsia"/>
          <w:b/>
          <w:szCs w:val="21"/>
        </w:rPr>
        <w:t>PC</w:t>
      </w:r>
      <w:r w:rsidR="00635202">
        <w:rPr>
          <w:rFonts w:ascii="微软雅黑" w:eastAsia="微软雅黑" w:hAnsi="微软雅黑" w:hint="eastAsia"/>
          <w:b/>
          <w:szCs w:val="21"/>
        </w:rPr>
        <w:t>端</w:t>
      </w:r>
      <w:r>
        <w:rPr>
          <w:rFonts w:ascii="微软雅黑" w:eastAsia="微软雅黑" w:hAnsi="微软雅黑" w:hint="eastAsia"/>
          <w:b/>
          <w:szCs w:val="21"/>
        </w:rPr>
        <w:t>网络应用情况：</w:t>
      </w:r>
    </w:p>
    <w:p w:rsidR="006A0E50" w:rsidRDefault="006A0E50" w:rsidP="006A0E50">
      <w:pPr>
        <w:snapToGrid w:val="0"/>
        <w:ind w:firstLineChars="200" w:firstLine="420"/>
        <w:rPr>
          <w:rFonts w:ascii="微软雅黑" w:eastAsia="微软雅黑" w:hAnsi="微软雅黑"/>
          <w:szCs w:val="21"/>
        </w:rPr>
      </w:pPr>
      <w:r>
        <w:rPr>
          <w:rFonts w:ascii="微软雅黑" w:eastAsia="微软雅黑" w:hAnsi="微软雅黑"/>
          <w:szCs w:val="21"/>
        </w:rPr>
        <w:t>2017年，在</w:t>
      </w:r>
      <w:r w:rsidR="00684B99">
        <w:rPr>
          <w:rFonts w:ascii="微软雅黑" w:eastAsia="微软雅黑" w:hAnsi="微软雅黑" w:hint="eastAsia"/>
          <w:szCs w:val="21"/>
        </w:rPr>
        <w:t>全</w:t>
      </w:r>
      <w:r>
        <w:rPr>
          <w:rFonts w:ascii="微软雅黑" w:eastAsia="微软雅黑" w:hAnsi="微软雅黑"/>
          <w:szCs w:val="21"/>
        </w:rPr>
        <w:t>省网民常用网络服务中，搜索服务、在线视频、新闻资讯、电子商务和社区交友的月度覆盖人数比例均超过</w:t>
      </w:r>
      <w:r>
        <w:rPr>
          <w:rFonts w:ascii="微软雅黑" w:eastAsia="微软雅黑" w:hAnsi="微软雅黑" w:hint="eastAsia"/>
          <w:szCs w:val="21"/>
        </w:rPr>
        <w:t>80%</w:t>
      </w:r>
      <w:r>
        <w:rPr>
          <w:rFonts w:ascii="微软雅黑" w:eastAsia="微软雅黑" w:hAnsi="微软雅黑"/>
          <w:szCs w:val="21"/>
        </w:rPr>
        <w:t>，继续保持着较高的渗透</w:t>
      </w:r>
      <w:r>
        <w:rPr>
          <w:rFonts w:ascii="微软雅黑" w:eastAsia="微软雅黑" w:hAnsi="微软雅黑" w:hint="eastAsia"/>
          <w:szCs w:val="21"/>
        </w:rPr>
        <w:t>。</w:t>
      </w:r>
      <w:r>
        <w:rPr>
          <w:rFonts w:ascii="微软雅黑" w:eastAsia="微软雅黑" w:hAnsi="微软雅黑"/>
          <w:szCs w:val="21"/>
        </w:rPr>
        <w:t>其中</w:t>
      </w:r>
      <w:r>
        <w:rPr>
          <w:rFonts w:ascii="微软雅黑" w:eastAsia="微软雅黑" w:hAnsi="微软雅黑" w:hint="eastAsia"/>
          <w:szCs w:val="21"/>
        </w:rPr>
        <w:t>，</w:t>
      </w:r>
      <w:r>
        <w:rPr>
          <w:rFonts w:ascii="微软雅黑" w:eastAsia="微软雅黑" w:hAnsi="微软雅黑"/>
          <w:szCs w:val="21"/>
        </w:rPr>
        <w:t>搜索服务的</w:t>
      </w:r>
      <w:r>
        <w:rPr>
          <w:rFonts w:ascii="微软雅黑" w:eastAsia="微软雅黑" w:hAnsi="微软雅黑" w:hint="eastAsia"/>
          <w:szCs w:val="21"/>
        </w:rPr>
        <w:t>网民</w:t>
      </w:r>
      <w:r>
        <w:rPr>
          <w:rFonts w:ascii="微软雅黑" w:eastAsia="微软雅黑" w:hAnsi="微软雅黑"/>
          <w:szCs w:val="21"/>
        </w:rPr>
        <w:t>月度覆盖比例高达99.</w:t>
      </w:r>
      <w:r>
        <w:rPr>
          <w:rFonts w:ascii="微软雅黑" w:eastAsia="微软雅黑" w:hAnsi="微软雅黑" w:hint="eastAsia"/>
          <w:szCs w:val="21"/>
        </w:rPr>
        <w:t>7</w:t>
      </w:r>
      <w:r>
        <w:rPr>
          <w:rFonts w:ascii="微软雅黑" w:eastAsia="微软雅黑" w:hAnsi="微软雅黑"/>
          <w:szCs w:val="21"/>
        </w:rPr>
        <w:t>%，几乎是每个网民都要使用到的网络服务类型。</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搜索服务：</w:t>
      </w:r>
      <w:r>
        <w:rPr>
          <w:rFonts w:ascii="微软雅黑" w:eastAsia="微软雅黑" w:hAnsi="微软雅黑"/>
          <w:szCs w:val="21"/>
        </w:rPr>
        <w:t>搜索服务历来是互联网领域众多网络服务中渗滤率最高的一项服务类型</w:t>
      </w:r>
      <w:r>
        <w:rPr>
          <w:rFonts w:ascii="微软雅黑" w:eastAsia="微软雅黑" w:hAnsi="微软雅黑" w:hint="eastAsia"/>
          <w:szCs w:val="21"/>
        </w:rPr>
        <w:t>。</w:t>
      </w:r>
      <w:r>
        <w:rPr>
          <w:rFonts w:ascii="微软雅黑" w:eastAsia="微软雅黑" w:hAnsi="微软雅黑"/>
          <w:szCs w:val="21"/>
        </w:rPr>
        <w:t>2017年，</w:t>
      </w:r>
      <w:r w:rsidR="00684B99">
        <w:rPr>
          <w:rFonts w:ascii="微软雅黑" w:eastAsia="微软雅黑" w:hAnsi="微软雅黑" w:hint="eastAsia"/>
          <w:szCs w:val="21"/>
        </w:rPr>
        <w:t>全</w:t>
      </w:r>
      <w:r>
        <w:rPr>
          <w:rFonts w:ascii="微软雅黑" w:eastAsia="微软雅黑" w:hAnsi="微软雅黑"/>
          <w:szCs w:val="21"/>
        </w:rPr>
        <w:t>省使用搜索服务的网民</w:t>
      </w:r>
      <w:r>
        <w:rPr>
          <w:rFonts w:ascii="微软雅黑" w:eastAsia="微软雅黑" w:hAnsi="微软雅黑" w:hint="eastAsia"/>
          <w:szCs w:val="21"/>
        </w:rPr>
        <w:t>月度覆盖比例</w:t>
      </w:r>
      <w:r>
        <w:rPr>
          <w:rFonts w:ascii="微软雅黑" w:eastAsia="微软雅黑" w:hAnsi="微软雅黑"/>
          <w:szCs w:val="21"/>
        </w:rPr>
        <w:t>维持在</w:t>
      </w:r>
      <w:r>
        <w:rPr>
          <w:rFonts w:ascii="微软雅黑" w:eastAsia="微软雅黑" w:hAnsi="微软雅黑" w:hint="eastAsia"/>
          <w:szCs w:val="21"/>
        </w:rPr>
        <w:t>99%以上，</w:t>
      </w:r>
      <w:r>
        <w:rPr>
          <w:rFonts w:ascii="微软雅黑" w:eastAsia="微软雅黑" w:hAnsi="微软雅黑"/>
          <w:szCs w:val="21"/>
        </w:rPr>
        <w:t>高于在线视频、新闻资讯等主流的网络服务类型10</w:t>
      </w:r>
      <w:r>
        <w:rPr>
          <w:rFonts w:ascii="微软雅黑" w:eastAsia="微软雅黑" w:hAnsi="微软雅黑" w:hint="eastAsia"/>
          <w:szCs w:val="21"/>
        </w:rPr>
        <w:t>余</w:t>
      </w:r>
      <w:r>
        <w:rPr>
          <w:rFonts w:ascii="微软雅黑" w:eastAsia="微软雅黑" w:hAnsi="微软雅黑"/>
          <w:szCs w:val="21"/>
        </w:rPr>
        <w:t>个百分点不等</w:t>
      </w:r>
      <w:r>
        <w:rPr>
          <w:rFonts w:ascii="微软雅黑" w:eastAsia="微软雅黑" w:hAnsi="微软雅黑" w:hint="eastAsia"/>
          <w:szCs w:val="21"/>
        </w:rPr>
        <w:t>。搜索服务</w:t>
      </w:r>
      <w:r>
        <w:rPr>
          <w:rFonts w:ascii="微软雅黑" w:eastAsia="微软雅黑" w:hAnsi="微软雅黑"/>
          <w:szCs w:val="21"/>
        </w:rPr>
        <w:t>也是PC端为数不多的用户</w:t>
      </w:r>
      <w:r>
        <w:rPr>
          <w:rFonts w:ascii="微软雅黑" w:eastAsia="微软雅黑" w:hAnsi="微软雅黑" w:hint="eastAsia"/>
          <w:szCs w:val="21"/>
        </w:rPr>
        <w:t>能</w:t>
      </w:r>
      <w:r>
        <w:rPr>
          <w:rFonts w:ascii="微软雅黑" w:eastAsia="微软雅黑" w:hAnsi="微软雅黑"/>
          <w:szCs w:val="21"/>
        </w:rPr>
        <w:t>保持稳定或增长的服务类型</w:t>
      </w:r>
      <w:r>
        <w:rPr>
          <w:rFonts w:ascii="微软雅黑" w:eastAsia="微软雅黑" w:hAnsi="微软雅黑" w:hint="eastAsia"/>
          <w:szCs w:val="21"/>
        </w:rPr>
        <w:t>。</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在线视频：</w:t>
      </w:r>
      <w:r>
        <w:rPr>
          <w:rFonts w:ascii="微软雅黑" w:eastAsia="微软雅黑" w:hAnsi="微软雅黑"/>
          <w:szCs w:val="21"/>
        </w:rPr>
        <w:t>2017年，</w:t>
      </w:r>
      <w:r w:rsidR="00684B99">
        <w:rPr>
          <w:rFonts w:ascii="微软雅黑" w:eastAsia="微软雅黑" w:hAnsi="微软雅黑" w:hint="eastAsia"/>
          <w:szCs w:val="21"/>
        </w:rPr>
        <w:t>全</w:t>
      </w:r>
      <w:r>
        <w:rPr>
          <w:rFonts w:ascii="微软雅黑" w:eastAsia="微软雅黑" w:hAnsi="微软雅黑"/>
          <w:szCs w:val="21"/>
        </w:rPr>
        <w:t>省使用在线视频服务的网民规模较</w:t>
      </w:r>
      <w:r>
        <w:rPr>
          <w:rFonts w:ascii="微软雅黑" w:eastAsia="微软雅黑" w:hAnsi="微软雅黑" w:hint="eastAsia"/>
          <w:szCs w:val="21"/>
        </w:rPr>
        <w:t>2016年呈下降趋势。全年来看，在线视频服务的月度覆盖比例下降比较明显，由1月的95.1%回落至12月的85.4%，降幅接近10%。</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新闻资讯：</w:t>
      </w:r>
      <w:r>
        <w:rPr>
          <w:rFonts w:ascii="微软雅黑" w:eastAsia="微软雅黑" w:hAnsi="微软雅黑" w:hint="eastAsia"/>
          <w:szCs w:val="21"/>
        </w:rPr>
        <w:t>2017年，全省网民中使用新闻资讯服务月度覆盖比例基本保持稳定，全年均值达87.8%，是属于月度覆盖比例较高的应用类型。整体来看，2017年以9月份的月度覆盖比例最高，达到91.7%；2月份相对较低，仅84.6%。</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社区交友：</w:t>
      </w:r>
      <w:r w:rsidR="00EA0D3B">
        <w:rPr>
          <w:rFonts w:ascii="微软雅黑" w:eastAsia="微软雅黑" w:hAnsi="微软雅黑" w:hint="eastAsia"/>
          <w:szCs w:val="21"/>
        </w:rPr>
        <w:t>社区交友服务是广大网民比较青睐的网络服务之一，但近年来由于移动互联网的快速发展，PC端用户不断呈现出向移动端迁移的趋势。</w:t>
      </w:r>
      <w:r>
        <w:rPr>
          <w:rFonts w:ascii="微软雅黑" w:eastAsia="微软雅黑" w:hAnsi="微软雅黑" w:hint="eastAsia"/>
          <w:szCs w:val="21"/>
        </w:rPr>
        <w:t>2017年，</w:t>
      </w:r>
      <w:r w:rsidR="00684B99">
        <w:rPr>
          <w:rFonts w:ascii="微软雅黑" w:eastAsia="微软雅黑" w:hAnsi="微软雅黑" w:hint="eastAsia"/>
          <w:szCs w:val="21"/>
        </w:rPr>
        <w:t>全省</w:t>
      </w:r>
      <w:r>
        <w:rPr>
          <w:rFonts w:ascii="微软雅黑" w:eastAsia="微软雅黑" w:hAnsi="微软雅黑"/>
          <w:szCs w:val="21"/>
        </w:rPr>
        <w:t>使用社区交友服务的网民月度</w:t>
      </w:r>
      <w:r>
        <w:rPr>
          <w:rFonts w:ascii="微软雅黑" w:eastAsia="微软雅黑" w:hAnsi="微软雅黑" w:hint="eastAsia"/>
          <w:szCs w:val="21"/>
        </w:rPr>
        <w:t>覆盖比例整体保持平稳</w:t>
      </w:r>
      <w:r>
        <w:rPr>
          <w:rFonts w:ascii="微软雅黑" w:eastAsia="微软雅黑" w:hAnsi="微软雅黑"/>
          <w:szCs w:val="21"/>
        </w:rPr>
        <w:t>，全年</w:t>
      </w:r>
      <w:r>
        <w:rPr>
          <w:rFonts w:ascii="微软雅黑" w:eastAsia="微软雅黑" w:hAnsi="微软雅黑" w:hint="eastAsia"/>
          <w:szCs w:val="21"/>
        </w:rPr>
        <w:t>月度覆盖比例</w:t>
      </w:r>
      <w:r>
        <w:rPr>
          <w:rFonts w:ascii="微软雅黑" w:eastAsia="微软雅黑" w:hAnsi="微软雅黑"/>
          <w:szCs w:val="21"/>
        </w:rPr>
        <w:t>均值达到</w:t>
      </w:r>
      <w:r>
        <w:rPr>
          <w:rFonts w:ascii="微软雅黑" w:eastAsia="微软雅黑" w:hAnsi="微软雅黑" w:hint="eastAsia"/>
          <w:szCs w:val="21"/>
        </w:rPr>
        <w:t>80.2%，仍然属于渗透率较高的网络服务类型。</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电子商务：</w:t>
      </w:r>
      <w:r>
        <w:rPr>
          <w:rFonts w:ascii="微软雅黑" w:eastAsia="微软雅黑" w:hAnsi="微软雅黑"/>
          <w:szCs w:val="21"/>
        </w:rPr>
        <w:t>2017年，</w:t>
      </w:r>
      <w:r w:rsidR="00684B99">
        <w:rPr>
          <w:rFonts w:ascii="微软雅黑" w:eastAsia="微软雅黑" w:hAnsi="微软雅黑" w:hint="eastAsia"/>
          <w:szCs w:val="21"/>
        </w:rPr>
        <w:t>全</w:t>
      </w:r>
      <w:r>
        <w:rPr>
          <w:rFonts w:ascii="微软雅黑" w:eastAsia="微软雅黑" w:hAnsi="微软雅黑"/>
          <w:szCs w:val="21"/>
        </w:rPr>
        <w:t>省使用</w:t>
      </w:r>
      <w:r>
        <w:rPr>
          <w:rFonts w:ascii="微软雅黑" w:eastAsia="微软雅黑" w:hAnsi="微软雅黑" w:hint="eastAsia"/>
          <w:szCs w:val="21"/>
        </w:rPr>
        <w:t>电子商务</w:t>
      </w:r>
      <w:r>
        <w:rPr>
          <w:rFonts w:ascii="微软雅黑" w:eastAsia="微软雅黑" w:hAnsi="微软雅黑"/>
          <w:szCs w:val="21"/>
        </w:rPr>
        <w:t>的网民</w:t>
      </w:r>
      <w:r>
        <w:rPr>
          <w:rFonts w:ascii="微软雅黑" w:eastAsia="微软雅黑" w:hAnsi="微软雅黑" w:hint="eastAsia"/>
          <w:szCs w:val="21"/>
        </w:rPr>
        <w:t>月度覆盖比例</w:t>
      </w:r>
      <w:r>
        <w:rPr>
          <w:rFonts w:ascii="微软雅黑" w:eastAsia="微软雅黑" w:hAnsi="微软雅黑"/>
          <w:szCs w:val="21"/>
        </w:rPr>
        <w:t>保持</w:t>
      </w:r>
      <w:r>
        <w:rPr>
          <w:rFonts w:ascii="微软雅黑" w:eastAsia="微软雅黑" w:hAnsi="微软雅黑" w:hint="eastAsia"/>
          <w:szCs w:val="21"/>
        </w:rPr>
        <w:t>平稳，这主要与电子商务已经步入成熟发展阶段，有着相对稳定的使用习惯是密切相关的。全年来看，</w:t>
      </w:r>
      <w:r w:rsidR="00684B99">
        <w:rPr>
          <w:rFonts w:ascii="微软雅黑" w:eastAsia="微软雅黑" w:hAnsi="微软雅黑" w:hint="eastAsia"/>
          <w:szCs w:val="21"/>
        </w:rPr>
        <w:t>全</w:t>
      </w:r>
      <w:r>
        <w:rPr>
          <w:rFonts w:ascii="微软雅黑" w:eastAsia="微软雅黑" w:hAnsi="微软雅黑" w:hint="eastAsia"/>
          <w:szCs w:val="21"/>
        </w:rPr>
        <w:t>省网民月度覆盖比例平均值为81.0%，也是PC端渗透率较高的网络服务类型之一。</w:t>
      </w:r>
    </w:p>
    <w:p w:rsidR="006A0E50" w:rsidRDefault="006A0E50" w:rsidP="00635202">
      <w:pPr>
        <w:numPr>
          <w:ilvl w:val="0"/>
          <w:numId w:val="2"/>
        </w:numPr>
        <w:spacing w:before="240" w:line="400" w:lineRule="exact"/>
        <w:rPr>
          <w:rFonts w:ascii="微软雅黑" w:eastAsia="微软雅黑" w:hAnsi="微软雅黑"/>
          <w:szCs w:val="21"/>
        </w:rPr>
      </w:pPr>
      <w:r>
        <w:rPr>
          <w:rFonts w:ascii="微软雅黑" w:eastAsia="微软雅黑" w:hAnsi="微软雅黑" w:hint="eastAsia"/>
          <w:b/>
          <w:szCs w:val="21"/>
        </w:rPr>
        <w:t>陕西省网民</w:t>
      </w:r>
      <w:r w:rsidR="000B723F">
        <w:rPr>
          <w:rFonts w:ascii="微软雅黑" w:eastAsia="微软雅黑" w:hAnsi="微软雅黑" w:hint="eastAsia"/>
          <w:b/>
          <w:szCs w:val="21"/>
        </w:rPr>
        <w:t>移动端</w:t>
      </w:r>
      <w:r>
        <w:rPr>
          <w:rFonts w:ascii="微软雅黑" w:eastAsia="微软雅黑" w:hAnsi="微软雅黑" w:hint="eastAsia"/>
          <w:b/>
          <w:szCs w:val="21"/>
        </w:rPr>
        <w:t>网络应用情况：</w:t>
      </w:r>
    </w:p>
    <w:p w:rsidR="006A0E50" w:rsidRDefault="006A0E50" w:rsidP="00635202">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省网民在移动端使用的月独立设备数量</w:t>
      </w:r>
      <w:r w:rsidR="00684B99">
        <w:rPr>
          <w:rFonts w:ascii="微软雅黑" w:eastAsia="微软雅黑" w:hAnsi="微软雅黑" w:hint="eastAsia"/>
          <w:szCs w:val="21"/>
        </w:rPr>
        <w:t>保持</w:t>
      </w:r>
      <w:r>
        <w:rPr>
          <w:rFonts w:ascii="微软雅黑" w:eastAsia="微软雅黑" w:hAnsi="微软雅黑" w:hint="eastAsia"/>
          <w:szCs w:val="21"/>
        </w:rPr>
        <w:t>增长</w:t>
      </w:r>
      <w:r w:rsidR="00684B99">
        <w:rPr>
          <w:rFonts w:ascii="微软雅黑" w:eastAsia="微软雅黑" w:hAnsi="微软雅黑" w:hint="eastAsia"/>
          <w:szCs w:val="21"/>
        </w:rPr>
        <w:t>。</w:t>
      </w:r>
      <w:r>
        <w:rPr>
          <w:rFonts w:ascii="微软雅黑" w:eastAsia="微软雅黑" w:hAnsi="微软雅黑" w:hint="eastAsia"/>
          <w:szCs w:val="21"/>
        </w:rPr>
        <w:t>截至2017年12月，全省网民在移动端使用的月独立设备数量达到3717.8万台，较2016年12月增长13.5%。在用户基数的不断扩大情况下，</w:t>
      </w:r>
      <w:r w:rsidR="00D75BCD">
        <w:rPr>
          <w:rFonts w:ascii="微软雅黑" w:eastAsia="微软雅黑" w:hAnsi="微软雅黑" w:hint="eastAsia"/>
          <w:szCs w:val="21"/>
        </w:rPr>
        <w:t>全</w:t>
      </w:r>
      <w:r>
        <w:rPr>
          <w:rFonts w:ascii="微软雅黑" w:eastAsia="微软雅黑" w:hAnsi="微软雅黑" w:hint="eastAsia"/>
          <w:szCs w:val="21"/>
        </w:rPr>
        <w:t>省移动端各类应用的用户绝对数量也持续增长，在人均指标保持稳定或小幅度增长情况下，移动端各类总量指标均呈现出较好的增长态势。</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通讯聊天：</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省网民使用通讯聊天A</w:t>
      </w:r>
      <w:r>
        <w:rPr>
          <w:rFonts w:ascii="微软雅黑" w:eastAsia="微软雅黑" w:hAnsi="微软雅黑"/>
          <w:szCs w:val="21"/>
        </w:rPr>
        <w:t>PP</w:t>
      </w:r>
      <w:r>
        <w:rPr>
          <w:rFonts w:ascii="微软雅黑" w:eastAsia="微软雅黑" w:hAnsi="微软雅黑" w:hint="eastAsia"/>
          <w:szCs w:val="21"/>
        </w:rPr>
        <w:t>的月独立设备数继续保持稳步增长。截至12月，月独立设备数达3486.7万台，与2016年12月相比增长幅度为16.5%</w:t>
      </w:r>
      <w:r w:rsidR="00D75BCD">
        <w:rPr>
          <w:rFonts w:ascii="微软雅黑" w:eastAsia="微软雅黑" w:hAnsi="微软雅黑" w:hint="eastAsia"/>
          <w:szCs w:val="21"/>
        </w:rPr>
        <w:t>。从全</w:t>
      </w:r>
      <w:r>
        <w:rPr>
          <w:rFonts w:ascii="微软雅黑" w:eastAsia="微软雅黑" w:hAnsi="微软雅黑" w:hint="eastAsia"/>
          <w:szCs w:val="21"/>
        </w:rPr>
        <w:t>省网民使用通讯聊天A</w:t>
      </w:r>
      <w:r>
        <w:rPr>
          <w:rFonts w:ascii="微软雅黑" w:eastAsia="微软雅黑" w:hAnsi="微软雅黑"/>
          <w:szCs w:val="21"/>
        </w:rPr>
        <w:t>PP的</w:t>
      </w:r>
      <w:r>
        <w:rPr>
          <w:rFonts w:ascii="微软雅黑" w:eastAsia="微软雅黑" w:hAnsi="微软雅黑" w:hint="eastAsia"/>
          <w:szCs w:val="21"/>
        </w:rPr>
        <w:t>月独立设备数的比例来看，2017年全年都维持在90%以上水平，均值为93.4%，其中下半年略高于上半年。通讯聊天A</w:t>
      </w:r>
      <w:r>
        <w:rPr>
          <w:rFonts w:ascii="微软雅黑" w:eastAsia="微软雅黑" w:hAnsi="微软雅黑"/>
          <w:szCs w:val="21"/>
        </w:rPr>
        <w:t>PP</w:t>
      </w:r>
      <w:r>
        <w:rPr>
          <w:rFonts w:ascii="微软雅黑" w:eastAsia="微软雅黑" w:hAnsi="微软雅黑" w:hint="eastAsia"/>
          <w:szCs w:val="21"/>
        </w:rPr>
        <w:t>是移动端所有应用中月独立设备数比例最高的网络服务类型，这也显示出网民对通讯聊天有较高的使用需求。</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实用工具：</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实用工具APP的月独立设备数保持增长，截至12月的月独立设备数达到3463.1万台，较2016年12月增长16.7%。全年来看，月独立设备数比例也保持增长，由年初1月的90%左右提升至12月的93%以上，这表明使用实用工具App的用户基础正不断扩大，也显示出实用工具App有着较高的覆盖率。</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视频服务：</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省网民使用视频服务APP的月独立设备数持续增长，截至12月达到3452.7万台，与2016年12月相比提升了9.5%。从使用视频服务APP的月独立设备数比例来看，2017年也呈现出平稳增长趋势，</w:t>
      </w:r>
      <w:r w:rsidR="00017CB4">
        <w:rPr>
          <w:rFonts w:ascii="微软雅黑" w:eastAsia="微软雅黑" w:hAnsi="微软雅黑" w:hint="eastAsia"/>
          <w:szCs w:val="21"/>
        </w:rPr>
        <w:t>由</w:t>
      </w:r>
      <w:r>
        <w:rPr>
          <w:rFonts w:ascii="微软雅黑" w:eastAsia="微软雅黑" w:hAnsi="微软雅黑" w:hint="eastAsia"/>
          <w:szCs w:val="21"/>
        </w:rPr>
        <w:t>年初1月的90%附近增加至12月的92.9%，表明当前越来越多的</w:t>
      </w:r>
      <w:r>
        <w:rPr>
          <w:rFonts w:ascii="微软雅黑" w:eastAsia="微软雅黑" w:hAnsi="微软雅黑"/>
          <w:szCs w:val="21"/>
        </w:rPr>
        <w:t>网民会更倾向于通过移动设备观看视频节目</w:t>
      </w:r>
      <w:r>
        <w:rPr>
          <w:rFonts w:ascii="微软雅黑" w:eastAsia="微软雅黑" w:hAnsi="微软雅黑" w:hint="eastAsia"/>
          <w:szCs w:val="21"/>
        </w:rPr>
        <w:t>。</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便捷生活：</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省网民使用便捷生活APP的月独立设备数继续保持增长，截至到12月达到2984.8万台，与2016年12月相比增长25.4%。从使用便捷生活APP的月独立设备数比例来看，全年也保持快速增长，由1月的不足70%增加值12月的80.3%。</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金融理财：</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省网民使用金融服务APP的月独立设备数也保持快速增长，截至12月达到2580.0万台，较2016年12月增长21.0%。从月独立设备数比例来看，使用金融服务APP网民覆盖比例也属于较高的水平，全年均值达到65.9%。</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电子商务：</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电子商务APP的月独立设备数持续快速增长，截至12月达到2539.4万台，较2016年12月增加24.9%。从使用电子商务APP月独立设备数比例来看，下半年显著高于上半年，全年均值为64.0%。其中，双十一的月独立设备数比例是全年最高的，达到73.2%。</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游戏服务：</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省网民使用游戏APP的月独立设备数整体呈上升</w:t>
      </w:r>
      <w:r>
        <w:rPr>
          <w:rFonts w:ascii="微软雅黑" w:eastAsia="微软雅黑" w:hAnsi="微软雅黑"/>
          <w:szCs w:val="21"/>
        </w:rPr>
        <w:t>趋</w:t>
      </w:r>
      <w:r>
        <w:rPr>
          <w:rFonts w:ascii="微软雅黑" w:eastAsia="微软雅黑" w:hAnsi="微软雅黑" w:hint="eastAsia"/>
          <w:szCs w:val="21"/>
        </w:rPr>
        <w:t>势，截至12月的月独立设备数达到2173.0万台，与2016年12月相比增长了10.2%。从使用游戏APP的月独立设备数比例来看，全年平均值为58.8%。其中，7、8、9、10月份，以及1月份高于平均值，是网民玩游戏相对较多的月份。</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音乐音频：</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省网民使用音乐音频APP的月独立设备数增长迅速，截至12月达到2695.1万台，较2016大幅提升了43.4%。从月独立设备数比例来看，全年由1月初的不到60%提升至12月的72.5%，全年均值达到69.4%，增幅也是相当显著。</w:t>
      </w:r>
    </w:p>
    <w:p w:rsidR="006A0E50" w:rsidRDefault="006A0E50" w:rsidP="00635202">
      <w:pPr>
        <w:spacing w:before="240" w:line="400" w:lineRule="exact"/>
        <w:ind w:firstLineChars="213" w:firstLine="447"/>
        <w:rPr>
          <w:rFonts w:ascii="微软雅黑" w:eastAsia="微软雅黑" w:hAnsi="微软雅黑"/>
          <w:szCs w:val="21"/>
        </w:rPr>
      </w:pPr>
      <w:r w:rsidRPr="00D95CD9">
        <w:rPr>
          <w:rFonts w:ascii="微软雅黑" w:eastAsia="微软雅黑" w:hAnsi="微软雅黑" w:hint="eastAsia"/>
          <w:b/>
          <w:szCs w:val="21"/>
        </w:rPr>
        <w:t>应用分发</w:t>
      </w:r>
      <w:r>
        <w:rPr>
          <w:rFonts w:ascii="微软雅黑" w:eastAsia="微软雅黑" w:hAnsi="微软雅黑" w:hint="eastAsia"/>
          <w:b/>
          <w:szCs w:val="21"/>
        </w:rPr>
        <w:t>：</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应用分发APP的月独立设备数增长迅速，截至12月达到2993.6万台。从月独立设备数比例来看，从5月开始就维持在较高位水平，尤其是下半年7-12月期间，均保持在80%以上的水平。应用分发类APP作为用户安装、更新各类APP的基础应用，因其自身的属性决定了月独立设备数比例能保持在较高的水平。</w:t>
      </w:r>
    </w:p>
    <w:p w:rsidR="006A0E50" w:rsidRDefault="006A0E50" w:rsidP="00635202">
      <w:pPr>
        <w:spacing w:before="240" w:line="400" w:lineRule="exact"/>
        <w:ind w:firstLineChars="213" w:firstLine="447"/>
        <w:rPr>
          <w:rFonts w:ascii="微软雅黑" w:eastAsia="微软雅黑" w:hAnsi="微软雅黑"/>
          <w:szCs w:val="21"/>
        </w:rPr>
      </w:pPr>
      <w:r>
        <w:rPr>
          <w:rFonts w:ascii="微软雅黑" w:eastAsia="微软雅黑" w:hAnsi="微软雅黑" w:hint="eastAsia"/>
          <w:b/>
          <w:szCs w:val="21"/>
        </w:rPr>
        <w:t>综合资讯：</w:t>
      </w:r>
      <w:r>
        <w:rPr>
          <w:rFonts w:ascii="微软雅黑" w:eastAsia="微软雅黑" w:hAnsi="微软雅黑" w:hint="eastAsia"/>
          <w:szCs w:val="21"/>
        </w:rPr>
        <w:t>2017年，</w:t>
      </w:r>
      <w:r w:rsidR="00D75BCD">
        <w:rPr>
          <w:rFonts w:ascii="微软雅黑" w:eastAsia="微软雅黑" w:hAnsi="微软雅黑" w:hint="eastAsia"/>
          <w:szCs w:val="21"/>
        </w:rPr>
        <w:t>全</w:t>
      </w:r>
      <w:r>
        <w:rPr>
          <w:rFonts w:ascii="微软雅黑" w:eastAsia="微软雅黑" w:hAnsi="微软雅黑" w:hint="eastAsia"/>
          <w:szCs w:val="21"/>
        </w:rPr>
        <w:t>省网民使用综合资讯APP的月独立设备数保持快速增长，截至12月达到2183.3万台，较2016年12月增长23.6%。从月独立设备数比例来看，</w:t>
      </w:r>
      <w:r w:rsidR="00465EDB">
        <w:rPr>
          <w:rFonts w:ascii="微软雅黑" w:eastAsia="微软雅黑" w:hAnsi="微软雅黑" w:hint="eastAsia"/>
          <w:szCs w:val="21"/>
        </w:rPr>
        <w:t>2017年</w:t>
      </w:r>
      <w:r>
        <w:rPr>
          <w:rFonts w:ascii="微软雅黑" w:eastAsia="微软雅黑" w:hAnsi="微软雅黑" w:hint="eastAsia"/>
          <w:szCs w:val="21"/>
        </w:rPr>
        <w:t>1-12月也呈现出稳步增长趋势，由年初1月的51.0%提升至12月的58.7%，全年均值为55.6%。</w:t>
      </w:r>
    </w:p>
    <w:p w:rsidR="006A0E50" w:rsidRDefault="006A0E50" w:rsidP="00635202">
      <w:pPr>
        <w:numPr>
          <w:ilvl w:val="0"/>
          <w:numId w:val="2"/>
        </w:numPr>
        <w:spacing w:before="240" w:line="400" w:lineRule="exact"/>
        <w:rPr>
          <w:rFonts w:ascii="微软雅黑" w:eastAsia="微软雅黑" w:hAnsi="微软雅黑"/>
          <w:b/>
          <w:szCs w:val="21"/>
        </w:rPr>
      </w:pPr>
      <w:r>
        <w:rPr>
          <w:rFonts w:ascii="微软雅黑" w:eastAsia="微软雅黑" w:hAnsi="微软雅黑" w:hint="eastAsia"/>
          <w:b/>
          <w:szCs w:val="21"/>
        </w:rPr>
        <w:t>陕西省互联网资源：</w:t>
      </w:r>
    </w:p>
    <w:p w:rsidR="006A0E50" w:rsidRDefault="00D75BCD" w:rsidP="00635202">
      <w:pPr>
        <w:spacing w:line="400" w:lineRule="exact"/>
        <w:ind w:firstLineChars="213" w:firstLine="447"/>
        <w:rPr>
          <w:rFonts w:ascii="微软雅黑" w:eastAsia="微软雅黑" w:hAnsi="微软雅黑"/>
          <w:b/>
          <w:szCs w:val="21"/>
        </w:rPr>
      </w:pPr>
      <w:r>
        <w:rPr>
          <w:rFonts w:ascii="微软雅黑" w:eastAsia="微软雅黑" w:hAnsi="微软雅黑" w:hint="eastAsia"/>
          <w:szCs w:val="21"/>
        </w:rPr>
        <w:t>截至</w:t>
      </w:r>
      <w:r w:rsidR="006A0E50">
        <w:rPr>
          <w:rFonts w:ascii="微软雅黑" w:eastAsia="微软雅黑" w:hAnsi="微软雅黑" w:hint="eastAsia"/>
          <w:szCs w:val="21"/>
        </w:rPr>
        <w:t>2017年12月，</w:t>
      </w:r>
      <w:r>
        <w:rPr>
          <w:rFonts w:ascii="微软雅黑" w:eastAsia="微软雅黑" w:hAnsi="微软雅黑" w:hint="eastAsia"/>
          <w:szCs w:val="21"/>
        </w:rPr>
        <w:t>全</w:t>
      </w:r>
      <w:r w:rsidR="006A0E50">
        <w:rPr>
          <w:rFonts w:ascii="微软雅黑" w:eastAsia="微软雅黑" w:hAnsi="微软雅黑" w:hint="eastAsia"/>
          <w:szCs w:val="21"/>
        </w:rPr>
        <w:t>省光缆线路总长度达到108.7万公里，比上年末增加19.1万公里，增长率达21.3</w:t>
      </w:r>
      <w:r w:rsidR="006A0E50">
        <w:rPr>
          <w:rFonts w:ascii="微软雅黑" w:eastAsia="微软雅黑" w:hAnsi="微软雅黑"/>
          <w:szCs w:val="21"/>
        </w:rPr>
        <w:t>%</w:t>
      </w:r>
      <w:r w:rsidR="006A0E50">
        <w:rPr>
          <w:rFonts w:ascii="微软雅黑" w:eastAsia="微软雅黑" w:hAnsi="微软雅黑" w:hint="eastAsia"/>
          <w:szCs w:val="21"/>
        </w:rPr>
        <w:t>，</w:t>
      </w:r>
      <w:r w:rsidR="006A0E50">
        <w:rPr>
          <w:rFonts w:ascii="微软雅黑" w:eastAsia="微软雅黑" w:hAnsi="微软雅黑"/>
          <w:szCs w:val="21"/>
        </w:rPr>
        <w:t>连续</w:t>
      </w:r>
      <w:r w:rsidR="006A0E50">
        <w:rPr>
          <w:rFonts w:ascii="微软雅黑" w:eastAsia="微软雅黑" w:hAnsi="微软雅黑" w:hint="eastAsia"/>
          <w:szCs w:val="21"/>
        </w:rPr>
        <w:t>三</w:t>
      </w:r>
      <w:r w:rsidR="006A0E50">
        <w:rPr>
          <w:rFonts w:ascii="微软雅黑" w:eastAsia="微软雅黑" w:hAnsi="微软雅黑"/>
          <w:szCs w:val="21"/>
        </w:rPr>
        <w:t>年保持</w:t>
      </w:r>
      <w:r w:rsidR="006A0E50">
        <w:rPr>
          <w:rFonts w:ascii="微软雅黑" w:eastAsia="微软雅黑" w:hAnsi="微软雅黑" w:hint="eastAsia"/>
          <w:szCs w:val="21"/>
        </w:rPr>
        <w:t>20%以上增速</w:t>
      </w:r>
      <w:r w:rsidR="00465EDB">
        <w:rPr>
          <w:rFonts w:ascii="微软雅黑" w:eastAsia="微软雅黑" w:hAnsi="微软雅黑" w:hint="eastAsia"/>
          <w:szCs w:val="21"/>
        </w:rPr>
        <w:t>；</w:t>
      </w:r>
      <w:r w:rsidR="006A0E50">
        <w:rPr>
          <w:rFonts w:ascii="微软雅黑" w:eastAsia="微软雅黑" w:hAnsi="微软雅黑" w:hint="eastAsia"/>
          <w:szCs w:val="21"/>
        </w:rPr>
        <w:t>全省互联网宽带接入端口数量达到</w:t>
      </w:r>
      <w:r w:rsidR="006A0E50">
        <w:rPr>
          <w:rFonts w:ascii="微软雅黑" w:eastAsia="微软雅黑" w:hAnsi="微软雅黑" w:cs="宋体" w:hint="eastAsia"/>
          <w:kern w:val="0"/>
          <w:szCs w:val="21"/>
        </w:rPr>
        <w:t>1993.2</w:t>
      </w:r>
      <w:r w:rsidR="006A0E50">
        <w:rPr>
          <w:rFonts w:ascii="微软雅黑" w:eastAsia="微软雅黑" w:hAnsi="微软雅黑" w:hint="eastAsia"/>
          <w:szCs w:val="21"/>
        </w:rPr>
        <w:t>万个，年净增</w:t>
      </w:r>
      <w:r w:rsidR="006A0E50">
        <w:rPr>
          <w:rFonts w:ascii="微软雅黑" w:eastAsia="微软雅黑" w:hAnsi="微软雅黑" w:cs="宋体" w:hint="eastAsia"/>
          <w:kern w:val="0"/>
          <w:szCs w:val="21"/>
        </w:rPr>
        <w:t>121.5</w:t>
      </w:r>
      <w:r w:rsidR="006A0E50">
        <w:rPr>
          <w:rFonts w:ascii="微软雅黑" w:eastAsia="微软雅黑" w:hAnsi="微软雅黑" w:hint="eastAsia"/>
          <w:szCs w:val="21"/>
        </w:rPr>
        <w:t>万个，较2016年增长</w:t>
      </w:r>
      <w:r w:rsidR="006A0E50">
        <w:rPr>
          <w:rFonts w:ascii="微软雅黑" w:eastAsia="微软雅黑" w:hAnsi="微软雅黑" w:cs="宋体" w:hint="eastAsia"/>
          <w:kern w:val="0"/>
          <w:szCs w:val="21"/>
        </w:rPr>
        <w:t>6.5%</w:t>
      </w:r>
      <w:r w:rsidR="00465EDB">
        <w:rPr>
          <w:rFonts w:ascii="微软雅黑" w:eastAsia="微软雅黑" w:hAnsi="微软雅黑" w:hint="eastAsia"/>
          <w:szCs w:val="21"/>
        </w:rPr>
        <w:t>；全省电信企业（固定）互联网宽带接入用户达903.2万户，较2016年增加100.2万户，增长率为12.5%；全省</w:t>
      </w:r>
      <w:r w:rsidR="00465EDB" w:rsidRPr="00853ED2">
        <w:rPr>
          <w:rFonts w:ascii="微软雅黑" w:eastAsia="微软雅黑" w:hAnsi="微软雅黑" w:hint="eastAsia"/>
          <w:szCs w:val="21"/>
        </w:rPr>
        <w:t>移动电话</w:t>
      </w:r>
      <w:r w:rsidR="00465EDB" w:rsidRPr="00853ED2">
        <w:rPr>
          <w:rFonts w:ascii="微软雅黑" w:eastAsia="微软雅黑" w:hAnsi="微软雅黑"/>
          <w:szCs w:val="21"/>
        </w:rPr>
        <w:t>基站</w:t>
      </w:r>
      <w:r w:rsidR="00465EDB" w:rsidRPr="00853ED2">
        <w:rPr>
          <w:rFonts w:ascii="微软雅黑" w:eastAsia="微软雅黑" w:hAnsi="微软雅黑" w:hint="eastAsia"/>
          <w:szCs w:val="21"/>
        </w:rPr>
        <w:t>数达到</w:t>
      </w:r>
      <w:r w:rsidR="00465EDB" w:rsidRPr="00853ED2">
        <w:rPr>
          <w:rFonts w:ascii="微软雅黑" w:eastAsia="微软雅黑" w:hAnsi="微软雅黑"/>
          <w:szCs w:val="21"/>
        </w:rPr>
        <w:t>23.8</w:t>
      </w:r>
      <w:r w:rsidR="00465EDB" w:rsidRPr="00853ED2">
        <w:rPr>
          <w:rFonts w:ascii="微软雅黑" w:eastAsia="微软雅黑" w:hAnsi="微软雅黑" w:hint="eastAsia"/>
          <w:szCs w:val="21"/>
        </w:rPr>
        <w:t>万个</w:t>
      </w:r>
      <w:r w:rsidR="00465EDB" w:rsidRPr="00853ED2">
        <w:rPr>
          <w:rFonts w:ascii="微软雅黑" w:eastAsia="微软雅黑" w:hAnsi="微软雅黑"/>
          <w:szCs w:val="21"/>
        </w:rPr>
        <w:t>，较201</w:t>
      </w:r>
      <w:r w:rsidR="00465EDB">
        <w:rPr>
          <w:rFonts w:ascii="微软雅黑" w:eastAsia="微软雅黑" w:hAnsi="微软雅黑" w:hint="eastAsia"/>
          <w:szCs w:val="21"/>
        </w:rPr>
        <w:t>6</w:t>
      </w:r>
      <w:r w:rsidR="00465EDB" w:rsidRPr="00853ED2">
        <w:rPr>
          <w:rFonts w:ascii="微软雅黑" w:eastAsia="微软雅黑" w:hAnsi="微软雅黑" w:hint="eastAsia"/>
          <w:szCs w:val="21"/>
        </w:rPr>
        <w:t>年</w:t>
      </w:r>
      <w:r w:rsidR="00465EDB" w:rsidRPr="00853ED2">
        <w:rPr>
          <w:rFonts w:ascii="微软雅黑" w:eastAsia="微软雅黑" w:hAnsi="微软雅黑"/>
          <w:szCs w:val="21"/>
        </w:rPr>
        <w:t>净增</w:t>
      </w:r>
      <w:r w:rsidR="00465EDB">
        <w:rPr>
          <w:rFonts w:ascii="微软雅黑" w:eastAsia="微软雅黑" w:hAnsi="微软雅黑" w:hint="eastAsia"/>
          <w:szCs w:val="21"/>
        </w:rPr>
        <w:t>6.8</w:t>
      </w:r>
      <w:r w:rsidR="00465EDB" w:rsidRPr="00853ED2">
        <w:rPr>
          <w:rFonts w:ascii="微软雅黑" w:eastAsia="微软雅黑" w:hAnsi="微软雅黑"/>
          <w:szCs w:val="21"/>
        </w:rPr>
        <w:t>万个，</w:t>
      </w:r>
      <w:r w:rsidR="00465EDB" w:rsidRPr="00853ED2">
        <w:rPr>
          <w:rFonts w:ascii="微软雅黑" w:eastAsia="微软雅黑" w:hAnsi="微软雅黑" w:hint="eastAsia"/>
          <w:szCs w:val="21"/>
        </w:rPr>
        <w:t>增幅为</w:t>
      </w:r>
      <w:r w:rsidR="00465EDB">
        <w:rPr>
          <w:rFonts w:ascii="微软雅黑" w:eastAsia="微软雅黑" w:hAnsi="微软雅黑" w:hint="eastAsia"/>
        </w:rPr>
        <w:t>40.0</w:t>
      </w:r>
      <w:r w:rsidR="00465EDB" w:rsidRPr="00853ED2">
        <w:rPr>
          <w:rFonts w:ascii="微软雅黑" w:eastAsia="微软雅黑" w:hAnsi="微软雅黑"/>
        </w:rPr>
        <w:t>%</w:t>
      </w:r>
      <w:r w:rsidR="00465EDB">
        <w:rPr>
          <w:rFonts w:ascii="微软雅黑" w:eastAsia="微软雅黑" w:hAnsi="微软雅黑" w:hint="eastAsia"/>
        </w:rPr>
        <w:t>；全省</w:t>
      </w:r>
      <w:r w:rsidR="00465EDB">
        <w:rPr>
          <w:rFonts w:ascii="微软雅黑" w:eastAsia="微软雅黑" w:hAnsi="微软雅黑" w:hint="eastAsia"/>
          <w:szCs w:val="21"/>
        </w:rPr>
        <w:t>移动电话用户规模达4220.6万户，较2016年增长407.3万户，增长率为10.7</w:t>
      </w:r>
      <w:r w:rsidR="00465EDB">
        <w:rPr>
          <w:rFonts w:ascii="微软雅黑" w:eastAsia="微软雅黑" w:hAnsi="微软雅黑"/>
          <w:szCs w:val="21"/>
        </w:rPr>
        <w:t>%</w:t>
      </w:r>
      <w:r w:rsidR="00465EDB">
        <w:rPr>
          <w:rFonts w:ascii="微软雅黑" w:eastAsia="微软雅黑" w:hAnsi="微软雅黑" w:hint="eastAsia"/>
          <w:szCs w:val="21"/>
        </w:rPr>
        <w:t>；</w:t>
      </w:r>
      <w:r w:rsidR="006A0E50">
        <w:rPr>
          <w:rFonts w:ascii="微软雅黑" w:eastAsia="微软雅黑" w:hAnsi="微软雅黑" w:hint="eastAsia"/>
          <w:szCs w:val="21"/>
        </w:rPr>
        <w:t>全省</w:t>
      </w:r>
      <w:r w:rsidR="006A0E50">
        <w:rPr>
          <w:rFonts w:ascii="微软雅黑" w:eastAsia="微软雅黑" w:hAnsi="微软雅黑"/>
          <w:szCs w:val="21"/>
        </w:rPr>
        <w:t>IPv4地址数量为</w:t>
      </w:r>
      <w:r w:rsidR="006A0E50">
        <w:rPr>
          <w:rFonts w:ascii="微软雅黑" w:eastAsia="微软雅黑" w:hAnsi="微软雅黑" w:hint="eastAsia"/>
          <w:szCs w:val="21"/>
        </w:rPr>
        <w:t>552.1万个</w:t>
      </w:r>
      <w:r w:rsidR="006A0E50">
        <w:rPr>
          <w:rFonts w:ascii="微软雅黑" w:eastAsia="微软雅黑" w:hAnsi="微软雅黑"/>
          <w:szCs w:val="21"/>
        </w:rPr>
        <w:t>，同比增长</w:t>
      </w:r>
      <w:r w:rsidR="006A0E50">
        <w:rPr>
          <w:rFonts w:ascii="微软雅黑" w:eastAsia="微软雅黑" w:hAnsi="微软雅黑" w:hint="eastAsia"/>
          <w:szCs w:val="21"/>
        </w:rPr>
        <w:t>1万个，</w:t>
      </w:r>
      <w:r w:rsidR="006A0E50">
        <w:rPr>
          <w:rFonts w:ascii="微软雅黑" w:eastAsia="微软雅黑" w:hAnsi="微软雅黑"/>
          <w:szCs w:val="21"/>
        </w:rPr>
        <w:t>约占全国IPv4地址</w:t>
      </w:r>
      <w:r w:rsidR="006A0E50">
        <w:rPr>
          <w:rFonts w:ascii="微软雅黑" w:eastAsia="微软雅黑" w:hAnsi="微软雅黑" w:hint="eastAsia"/>
          <w:szCs w:val="21"/>
        </w:rPr>
        <w:t>的</w:t>
      </w:r>
      <w:r w:rsidR="006A0E50">
        <w:rPr>
          <w:rFonts w:ascii="微软雅黑" w:eastAsia="微软雅黑" w:hAnsi="微软雅黑"/>
          <w:szCs w:val="21"/>
        </w:rPr>
        <w:t>1</w:t>
      </w:r>
      <w:r w:rsidR="006A0E50">
        <w:rPr>
          <w:rFonts w:ascii="微软雅黑" w:eastAsia="微软雅黑" w:hAnsi="微软雅黑" w:hint="eastAsia"/>
          <w:szCs w:val="21"/>
        </w:rPr>
        <w:t>.</w:t>
      </w:r>
      <w:r w:rsidR="006A0E50">
        <w:rPr>
          <w:rFonts w:ascii="微软雅黑" w:eastAsia="微软雅黑" w:hAnsi="微软雅黑"/>
          <w:szCs w:val="21"/>
        </w:rPr>
        <w:t>6%。</w:t>
      </w:r>
    </w:p>
    <w:p w:rsidR="006A0E50" w:rsidRPr="00B51217" w:rsidRDefault="006A0E50" w:rsidP="00635202">
      <w:pPr>
        <w:numPr>
          <w:ilvl w:val="0"/>
          <w:numId w:val="2"/>
        </w:numPr>
        <w:spacing w:before="240" w:line="400" w:lineRule="exact"/>
        <w:rPr>
          <w:rFonts w:ascii="微软雅黑" w:eastAsia="微软雅黑" w:hAnsi="微软雅黑"/>
          <w:b/>
          <w:szCs w:val="21"/>
        </w:rPr>
      </w:pPr>
      <w:r w:rsidRPr="00B51217">
        <w:rPr>
          <w:rFonts w:ascii="微软雅黑" w:eastAsia="微软雅黑" w:hAnsi="微软雅黑" w:hint="eastAsia"/>
          <w:b/>
          <w:szCs w:val="21"/>
        </w:rPr>
        <w:t>陕西省网站接入情况：</w:t>
      </w:r>
    </w:p>
    <w:p w:rsidR="00A51E29" w:rsidRDefault="00465EDB" w:rsidP="00726A28">
      <w:pPr>
        <w:snapToGrid w:val="0"/>
        <w:spacing w:line="400" w:lineRule="exact"/>
        <w:ind w:firstLineChars="202" w:firstLine="424"/>
        <w:rPr>
          <w:rFonts w:ascii="微软雅黑" w:eastAsia="微软雅黑" w:hAnsi="微软雅黑"/>
          <w:b/>
          <w:szCs w:val="21"/>
        </w:rPr>
      </w:pPr>
      <w:r>
        <w:rPr>
          <w:rFonts w:ascii="微软雅黑" w:eastAsia="微软雅黑" w:hAnsi="微软雅黑" w:hint="eastAsia"/>
          <w:szCs w:val="21"/>
        </w:rPr>
        <w:t>截至</w:t>
      </w:r>
      <w:r w:rsidRPr="00F66D54">
        <w:rPr>
          <w:rFonts w:ascii="微软雅黑" w:eastAsia="微软雅黑" w:hAnsi="微软雅黑" w:hint="eastAsia"/>
          <w:szCs w:val="21"/>
        </w:rPr>
        <w:t>2017年</w:t>
      </w:r>
      <w:r>
        <w:rPr>
          <w:rFonts w:ascii="微软雅黑" w:eastAsia="微软雅黑" w:hAnsi="微软雅黑" w:hint="eastAsia"/>
          <w:szCs w:val="21"/>
        </w:rPr>
        <w:t>12月</w:t>
      </w:r>
      <w:r w:rsidRPr="00F66D54">
        <w:rPr>
          <w:rFonts w:ascii="微软雅黑" w:eastAsia="微软雅黑" w:hAnsi="微软雅黑" w:hint="eastAsia"/>
          <w:szCs w:val="21"/>
        </w:rPr>
        <w:t>，</w:t>
      </w:r>
      <w:r w:rsidR="00D75BCD">
        <w:rPr>
          <w:rFonts w:ascii="微软雅黑" w:eastAsia="微软雅黑" w:hAnsi="微软雅黑" w:hint="eastAsia"/>
          <w:szCs w:val="21"/>
        </w:rPr>
        <w:t>全</w:t>
      </w:r>
      <w:r w:rsidRPr="00F66D54">
        <w:rPr>
          <w:rFonts w:ascii="微软雅黑" w:eastAsia="微软雅黑" w:hAnsi="微软雅黑" w:hint="eastAsia"/>
          <w:szCs w:val="21"/>
        </w:rPr>
        <w:t>省网站备案总数为103618个</w:t>
      </w:r>
      <w:r>
        <w:rPr>
          <w:rFonts w:ascii="微软雅黑" w:eastAsia="微软雅黑" w:hAnsi="微软雅黑" w:hint="eastAsia"/>
          <w:szCs w:val="21"/>
        </w:rPr>
        <w:t>，较2016年12月增长18.5%，备案网站总量增长明显</w:t>
      </w:r>
      <w:r w:rsidRPr="00F66D54">
        <w:rPr>
          <w:rFonts w:ascii="微软雅黑" w:eastAsia="微软雅黑" w:hAnsi="微软雅黑" w:hint="eastAsia"/>
          <w:szCs w:val="21"/>
        </w:rPr>
        <w:t>。其中</w:t>
      </w:r>
      <w:r>
        <w:rPr>
          <w:rFonts w:ascii="微软雅黑" w:eastAsia="微软雅黑" w:hAnsi="微软雅黑" w:hint="eastAsia"/>
          <w:szCs w:val="21"/>
        </w:rPr>
        <w:t>，</w:t>
      </w:r>
      <w:r w:rsidRPr="00F66D54">
        <w:rPr>
          <w:rFonts w:ascii="微软雅黑" w:eastAsia="微软雅黑" w:hAnsi="微软雅黑" w:hint="eastAsia"/>
          <w:szCs w:val="21"/>
        </w:rPr>
        <w:t>接入地信息在陕西的数量为37240个</w:t>
      </w:r>
      <w:r>
        <w:rPr>
          <w:rFonts w:ascii="微软雅黑" w:eastAsia="微软雅黑" w:hAnsi="微软雅黑" w:hint="eastAsia"/>
          <w:szCs w:val="21"/>
        </w:rPr>
        <w:t>，</w:t>
      </w:r>
      <w:r w:rsidRPr="00F66D54">
        <w:rPr>
          <w:rFonts w:ascii="微软雅黑" w:eastAsia="微软雅黑" w:hAnsi="微软雅黑" w:hint="eastAsia"/>
          <w:szCs w:val="21"/>
        </w:rPr>
        <w:t>占</w:t>
      </w:r>
      <w:r>
        <w:rPr>
          <w:rFonts w:ascii="微软雅黑" w:eastAsia="微软雅黑" w:hAnsi="微软雅黑" w:hint="eastAsia"/>
          <w:szCs w:val="21"/>
        </w:rPr>
        <w:t>2017年接入网站总量的比重为</w:t>
      </w:r>
      <w:r w:rsidR="00A51E29">
        <w:rPr>
          <w:rFonts w:ascii="微软雅黑" w:eastAsia="微软雅黑" w:hAnsi="微软雅黑" w:hint="eastAsia"/>
          <w:szCs w:val="21"/>
        </w:rPr>
        <w:t>35.9</w:t>
      </w:r>
      <w:r w:rsidRPr="00F66D54">
        <w:rPr>
          <w:rFonts w:ascii="微软雅黑" w:eastAsia="微软雅黑" w:hAnsi="微软雅黑" w:hint="eastAsia"/>
          <w:szCs w:val="21"/>
        </w:rPr>
        <w:t>%</w:t>
      </w:r>
      <w:r>
        <w:rPr>
          <w:rFonts w:ascii="微软雅黑" w:eastAsia="微软雅黑" w:hAnsi="微软雅黑" w:hint="eastAsia"/>
          <w:szCs w:val="21"/>
        </w:rPr>
        <w:t>；</w:t>
      </w:r>
      <w:r w:rsidRPr="00F66D54">
        <w:rPr>
          <w:rFonts w:ascii="微软雅黑" w:eastAsia="微软雅黑" w:hAnsi="微软雅黑" w:hint="eastAsia"/>
          <w:szCs w:val="21"/>
        </w:rPr>
        <w:t>接入地信息在外省的数量为66378个，</w:t>
      </w:r>
      <w:r>
        <w:rPr>
          <w:rFonts w:ascii="微软雅黑" w:eastAsia="微软雅黑" w:hAnsi="微软雅黑" w:hint="eastAsia"/>
          <w:szCs w:val="21"/>
        </w:rPr>
        <w:t>占2017年接入网站总量的比重为</w:t>
      </w:r>
      <w:r w:rsidR="00A51E29">
        <w:rPr>
          <w:rFonts w:ascii="微软雅黑" w:eastAsia="微软雅黑" w:hAnsi="微软雅黑" w:hint="eastAsia"/>
          <w:szCs w:val="21"/>
        </w:rPr>
        <w:t>64.1</w:t>
      </w:r>
      <w:r w:rsidRPr="00F66D54">
        <w:rPr>
          <w:rFonts w:ascii="微软雅黑" w:eastAsia="微软雅黑" w:hAnsi="微软雅黑" w:hint="eastAsia"/>
          <w:szCs w:val="21"/>
        </w:rPr>
        <w:t>%</w:t>
      </w:r>
      <w:r>
        <w:rPr>
          <w:rFonts w:ascii="微软雅黑" w:eastAsia="微软雅黑" w:hAnsi="微软雅黑" w:hint="eastAsia"/>
          <w:szCs w:val="21"/>
        </w:rPr>
        <w:t>。</w:t>
      </w:r>
    </w:p>
    <w:p w:rsidR="006A0E50" w:rsidRPr="00635202" w:rsidRDefault="006A0E50" w:rsidP="00726A28">
      <w:pPr>
        <w:numPr>
          <w:ilvl w:val="0"/>
          <w:numId w:val="2"/>
        </w:numPr>
        <w:spacing w:before="240" w:line="400" w:lineRule="exact"/>
        <w:rPr>
          <w:rFonts w:ascii="微软雅黑" w:eastAsia="微软雅黑" w:hAnsi="微软雅黑"/>
          <w:b/>
          <w:szCs w:val="21"/>
        </w:rPr>
      </w:pPr>
      <w:r w:rsidRPr="00635202">
        <w:rPr>
          <w:rFonts w:ascii="微软雅黑" w:eastAsia="微软雅黑" w:hAnsi="微软雅黑" w:hint="eastAsia"/>
          <w:b/>
          <w:szCs w:val="21"/>
        </w:rPr>
        <w:t>陕西省互联网网络安全状况：</w:t>
      </w:r>
    </w:p>
    <w:p w:rsidR="00635202" w:rsidRDefault="00B51217" w:rsidP="00635202">
      <w:pPr>
        <w:spacing w:line="400" w:lineRule="exact"/>
        <w:ind w:firstLineChars="200" w:firstLine="420"/>
        <w:rPr>
          <w:rFonts w:ascii="微软雅黑" w:eastAsia="微软雅黑" w:hAnsi="微软雅黑"/>
          <w:szCs w:val="21"/>
        </w:rPr>
      </w:pPr>
      <w:r w:rsidRPr="007F4654">
        <w:rPr>
          <w:rFonts w:ascii="微软雅黑" w:eastAsia="微软雅黑" w:hAnsi="微软雅黑" w:hint="eastAsia"/>
          <w:szCs w:val="21"/>
        </w:rPr>
        <w:t>2017年，</w:t>
      </w:r>
      <w:r>
        <w:rPr>
          <w:rFonts w:ascii="微软雅黑" w:eastAsia="微软雅黑" w:hAnsi="微软雅黑" w:hint="eastAsia"/>
          <w:szCs w:val="21"/>
        </w:rPr>
        <w:t>全</w:t>
      </w:r>
      <w:r w:rsidRPr="007F4654">
        <w:rPr>
          <w:rFonts w:ascii="微软雅黑" w:eastAsia="微软雅黑" w:hAnsi="微软雅黑" w:hint="eastAsia"/>
          <w:szCs w:val="21"/>
        </w:rPr>
        <w:t>省</w:t>
      </w:r>
      <w:r w:rsidRPr="007F4654">
        <w:rPr>
          <w:rFonts w:ascii="微软雅黑" w:eastAsia="微软雅黑" w:hAnsi="微软雅黑"/>
          <w:szCs w:val="21"/>
        </w:rPr>
        <w:t>互联网基础设施运行平稳</w:t>
      </w:r>
      <w:r w:rsidRPr="007F4654">
        <w:rPr>
          <w:rFonts w:ascii="微软雅黑" w:eastAsia="微软雅黑" w:hAnsi="微软雅黑" w:hint="eastAsia"/>
          <w:szCs w:val="21"/>
        </w:rPr>
        <w:t>，</w:t>
      </w:r>
      <w:r>
        <w:rPr>
          <w:rFonts w:ascii="微软雅黑" w:eastAsia="微软雅黑" w:hAnsi="微软雅黑" w:hint="eastAsia"/>
          <w:szCs w:val="21"/>
        </w:rPr>
        <w:t>全省范围内未发生造成重大影响的基础设施运行安全事件。</w:t>
      </w:r>
      <w:r w:rsidRPr="00465EDB">
        <w:rPr>
          <w:rFonts w:ascii="微软雅黑" w:eastAsia="微软雅黑" w:hAnsi="微软雅黑"/>
          <w:szCs w:val="21"/>
        </w:rPr>
        <w:t>1-12月，</w:t>
      </w:r>
      <w:r>
        <w:rPr>
          <w:rFonts w:ascii="微软雅黑" w:eastAsia="微软雅黑" w:hAnsi="微软雅黑" w:hint="eastAsia"/>
          <w:szCs w:val="21"/>
        </w:rPr>
        <w:t>陕西省互联网</w:t>
      </w:r>
      <w:r>
        <w:rPr>
          <w:rFonts w:ascii="微软雅黑" w:eastAsia="微软雅黑" w:hAnsi="微软雅黑"/>
          <w:szCs w:val="21"/>
        </w:rPr>
        <w:t>应急中心</w:t>
      </w:r>
      <w:r w:rsidRPr="00465EDB">
        <w:rPr>
          <w:rFonts w:ascii="微软雅黑" w:eastAsia="微软雅黑" w:hAnsi="微软雅黑" w:hint="eastAsia"/>
          <w:szCs w:val="21"/>
        </w:rPr>
        <w:t>共协调处理各类网络安全事件</w:t>
      </w:r>
      <w:r>
        <w:rPr>
          <w:rFonts w:ascii="微软雅黑" w:eastAsia="微软雅黑" w:hAnsi="微软雅黑"/>
          <w:szCs w:val="21"/>
        </w:rPr>
        <w:t>144</w:t>
      </w:r>
      <w:r w:rsidRPr="00465EDB">
        <w:rPr>
          <w:rFonts w:ascii="微软雅黑" w:eastAsia="微软雅黑" w:hAnsi="微软雅黑"/>
          <w:szCs w:val="21"/>
        </w:rPr>
        <w:t>109</w:t>
      </w:r>
      <w:r w:rsidRPr="00465EDB">
        <w:rPr>
          <w:rFonts w:ascii="微软雅黑" w:eastAsia="微软雅黑" w:hAnsi="微软雅黑" w:hint="eastAsia"/>
          <w:szCs w:val="21"/>
        </w:rPr>
        <w:t>起，其中僵尸木马受控事件</w:t>
      </w:r>
      <w:r w:rsidRPr="00465EDB">
        <w:rPr>
          <w:rFonts w:ascii="微软雅黑" w:eastAsia="微软雅黑" w:hAnsi="微软雅黑"/>
          <w:szCs w:val="21"/>
        </w:rPr>
        <w:t>101406</w:t>
      </w:r>
      <w:r w:rsidRPr="00465EDB">
        <w:rPr>
          <w:rFonts w:ascii="微软雅黑" w:eastAsia="微软雅黑" w:hAnsi="微软雅黑" w:hint="eastAsia"/>
          <w:szCs w:val="21"/>
        </w:rPr>
        <w:t>起，僵尸木马控制事件</w:t>
      </w:r>
      <w:r>
        <w:rPr>
          <w:rFonts w:ascii="微软雅黑" w:eastAsia="微软雅黑" w:hAnsi="微软雅黑"/>
          <w:szCs w:val="21"/>
        </w:rPr>
        <w:t>1</w:t>
      </w:r>
      <w:r w:rsidRPr="00465EDB">
        <w:rPr>
          <w:rFonts w:ascii="微软雅黑" w:eastAsia="微软雅黑" w:hAnsi="微软雅黑"/>
          <w:szCs w:val="21"/>
        </w:rPr>
        <w:t>120</w:t>
      </w:r>
      <w:r w:rsidRPr="00465EDB">
        <w:rPr>
          <w:rFonts w:ascii="微软雅黑" w:eastAsia="微软雅黑" w:hAnsi="微软雅黑" w:hint="eastAsia"/>
          <w:szCs w:val="21"/>
        </w:rPr>
        <w:t>起，飞客蠕虫病毒事件</w:t>
      </w:r>
      <w:r w:rsidRPr="00465EDB">
        <w:rPr>
          <w:rFonts w:ascii="微软雅黑" w:eastAsia="微软雅黑" w:hAnsi="微软雅黑"/>
          <w:szCs w:val="21"/>
        </w:rPr>
        <w:t>41091</w:t>
      </w:r>
      <w:r w:rsidRPr="00465EDB">
        <w:rPr>
          <w:rFonts w:ascii="微软雅黑" w:eastAsia="微软雅黑" w:hAnsi="微软雅黑" w:hint="eastAsia"/>
          <w:szCs w:val="21"/>
        </w:rPr>
        <w:t>起，重要信息</w:t>
      </w:r>
      <w:r w:rsidRPr="00465EDB">
        <w:rPr>
          <w:rFonts w:ascii="微软雅黑" w:eastAsia="微软雅黑" w:hAnsi="微软雅黑"/>
          <w:szCs w:val="21"/>
        </w:rPr>
        <w:t>系统</w:t>
      </w:r>
      <w:r w:rsidRPr="00465EDB">
        <w:rPr>
          <w:rFonts w:ascii="微软雅黑" w:eastAsia="微软雅黑" w:hAnsi="微软雅黑" w:hint="eastAsia"/>
          <w:szCs w:val="21"/>
        </w:rPr>
        <w:t>安全事件</w:t>
      </w:r>
      <w:r w:rsidRPr="00465EDB">
        <w:rPr>
          <w:rFonts w:ascii="微软雅黑" w:eastAsia="微软雅黑" w:hAnsi="微软雅黑"/>
          <w:szCs w:val="21"/>
        </w:rPr>
        <w:t>492</w:t>
      </w:r>
      <w:r w:rsidRPr="00465EDB">
        <w:rPr>
          <w:rFonts w:ascii="微软雅黑" w:eastAsia="微软雅黑" w:hAnsi="微软雅黑" w:hint="eastAsia"/>
          <w:szCs w:val="21"/>
        </w:rPr>
        <w:t>起。</w:t>
      </w:r>
      <w:r>
        <w:rPr>
          <w:rFonts w:ascii="微软雅黑" w:eastAsia="微软雅黑" w:hAnsi="微软雅黑" w:hint="eastAsia"/>
          <w:szCs w:val="21"/>
        </w:rPr>
        <w:t>在</w:t>
      </w:r>
      <w:r w:rsidRPr="00465EDB">
        <w:rPr>
          <w:rFonts w:ascii="微软雅黑" w:eastAsia="微软雅黑" w:hAnsi="微软雅黑" w:hint="eastAsia"/>
          <w:szCs w:val="21"/>
        </w:rPr>
        <w:t>陕西</w:t>
      </w:r>
      <w:r>
        <w:rPr>
          <w:rFonts w:ascii="微软雅黑" w:eastAsia="微软雅黑" w:hAnsi="微软雅黑" w:hint="eastAsia"/>
          <w:szCs w:val="21"/>
        </w:rPr>
        <w:t>省</w:t>
      </w:r>
      <w:r w:rsidRPr="00465EDB">
        <w:rPr>
          <w:rFonts w:ascii="微软雅黑" w:eastAsia="微软雅黑" w:hAnsi="微软雅黑" w:hint="eastAsia"/>
          <w:szCs w:val="21"/>
        </w:rPr>
        <w:t>互联网应急中心</w:t>
      </w:r>
      <w:r>
        <w:rPr>
          <w:rFonts w:ascii="微软雅黑" w:eastAsia="微软雅黑" w:hAnsi="微软雅黑" w:hint="eastAsia"/>
          <w:szCs w:val="21"/>
        </w:rPr>
        <w:t>努力下，</w:t>
      </w:r>
      <w:r w:rsidRPr="00465EDB">
        <w:rPr>
          <w:rFonts w:ascii="微软雅黑" w:eastAsia="微软雅黑" w:hAnsi="微软雅黑" w:hint="eastAsia"/>
          <w:szCs w:val="21"/>
        </w:rPr>
        <w:t>各类网络安全事件</w:t>
      </w:r>
      <w:r>
        <w:rPr>
          <w:rFonts w:ascii="微软雅黑" w:eastAsia="微软雅黑" w:hAnsi="微软雅黑" w:hint="eastAsia"/>
          <w:szCs w:val="21"/>
        </w:rPr>
        <w:t>均</w:t>
      </w:r>
      <w:r w:rsidRPr="00465EDB">
        <w:rPr>
          <w:rFonts w:ascii="微软雅黑" w:eastAsia="微软雅黑" w:hAnsi="微软雅黑" w:hint="eastAsia"/>
          <w:szCs w:val="21"/>
        </w:rPr>
        <w:t>在最快时间内得到</w:t>
      </w:r>
      <w:r>
        <w:rPr>
          <w:rFonts w:ascii="微软雅黑" w:eastAsia="微软雅黑" w:hAnsi="微软雅黑" w:hint="eastAsia"/>
          <w:szCs w:val="21"/>
        </w:rPr>
        <w:t>了</w:t>
      </w:r>
      <w:r w:rsidRPr="00465EDB">
        <w:rPr>
          <w:rFonts w:ascii="微软雅黑" w:eastAsia="微软雅黑" w:hAnsi="微软雅黑" w:hint="eastAsia"/>
          <w:szCs w:val="21"/>
        </w:rPr>
        <w:t>处理。</w:t>
      </w:r>
    </w:p>
    <w:p w:rsidR="006A0E50" w:rsidRDefault="00635202" w:rsidP="00635202">
      <w:pPr>
        <w:spacing w:line="400" w:lineRule="exact"/>
        <w:ind w:firstLineChars="200" w:firstLine="420"/>
        <w:rPr>
          <w:rFonts w:ascii="微软雅黑" w:eastAsia="微软雅黑" w:hAnsi="微软雅黑" w:cs="STHeiti"/>
          <w:b/>
          <w:sz w:val="28"/>
          <w:szCs w:val="28"/>
        </w:rPr>
      </w:pPr>
      <w:r>
        <w:rPr>
          <w:rFonts w:ascii="微软雅黑" w:eastAsia="微软雅黑" w:hAnsi="微软雅黑" w:hint="eastAsia"/>
          <w:szCs w:val="21"/>
        </w:rPr>
        <w:t xml:space="preserve"> </w:t>
      </w:r>
      <w:r w:rsidR="006A0E50">
        <w:rPr>
          <w:rFonts w:ascii="微软雅黑" w:eastAsia="微软雅黑" w:hAnsi="微软雅黑" w:cs="STHeiti"/>
          <w:b/>
          <w:sz w:val="28"/>
          <w:szCs w:val="28"/>
        </w:rPr>
        <w:br w:type="page"/>
      </w:r>
    </w:p>
    <w:p w:rsidR="0073505F" w:rsidRPr="009D423B" w:rsidRDefault="0073505F" w:rsidP="00E063CB">
      <w:pPr>
        <w:spacing w:line="720" w:lineRule="auto"/>
        <w:jc w:val="center"/>
        <w:outlineLvl w:val="0"/>
        <w:rPr>
          <w:rFonts w:ascii="微软雅黑" w:eastAsia="微软雅黑" w:hAnsi="微软雅黑" w:cs="STHeiti"/>
          <w:b/>
          <w:sz w:val="28"/>
          <w:szCs w:val="28"/>
        </w:rPr>
      </w:pPr>
      <w:bookmarkStart w:id="1" w:name="_Toc524417963"/>
      <w:r w:rsidRPr="009D423B">
        <w:rPr>
          <w:rFonts w:ascii="微软雅黑" w:eastAsia="微软雅黑" w:hAnsi="微软雅黑" w:cs="STHeiti"/>
          <w:b/>
          <w:sz w:val="28"/>
          <w:szCs w:val="28"/>
        </w:rPr>
        <w:t>第</w:t>
      </w:r>
      <w:r w:rsidR="002F7B7A">
        <w:rPr>
          <w:rFonts w:ascii="微软雅黑" w:eastAsia="微软雅黑" w:hAnsi="微软雅黑" w:cs="STHeiti" w:hint="eastAsia"/>
          <w:b/>
          <w:sz w:val="28"/>
          <w:szCs w:val="28"/>
        </w:rPr>
        <w:t>二</w:t>
      </w:r>
      <w:r w:rsidRPr="009D423B">
        <w:rPr>
          <w:rFonts w:ascii="微软雅黑" w:eastAsia="微软雅黑" w:hAnsi="微软雅黑" w:cs="STHeiti"/>
          <w:b/>
          <w:sz w:val="28"/>
          <w:szCs w:val="28"/>
        </w:rPr>
        <w:t>部分</w:t>
      </w:r>
      <w:r w:rsidRPr="009D423B">
        <w:rPr>
          <w:rFonts w:ascii="微软雅黑" w:eastAsia="微软雅黑" w:hAnsi="微软雅黑" w:cs="STHeiti" w:hint="eastAsia"/>
          <w:b/>
          <w:sz w:val="28"/>
          <w:szCs w:val="28"/>
        </w:rPr>
        <w:t xml:space="preserve"> </w:t>
      </w:r>
      <w:r w:rsidR="006A0E50">
        <w:rPr>
          <w:rFonts w:ascii="微软雅黑" w:eastAsia="微软雅黑" w:hAnsi="微软雅黑" w:cs="STHeiti" w:hint="eastAsia"/>
          <w:b/>
          <w:sz w:val="28"/>
          <w:szCs w:val="28"/>
        </w:rPr>
        <w:t xml:space="preserve"> </w:t>
      </w:r>
      <w:r w:rsidRPr="009D423B">
        <w:rPr>
          <w:rFonts w:ascii="微软雅黑" w:eastAsia="微软雅黑" w:hAnsi="微软雅黑" w:cs="STHeiti"/>
          <w:b/>
          <w:sz w:val="28"/>
          <w:szCs w:val="28"/>
        </w:rPr>
        <w:t>报告正文</w:t>
      </w:r>
      <w:bookmarkEnd w:id="1"/>
    </w:p>
    <w:p w:rsidR="00366C15" w:rsidRPr="009D423B" w:rsidRDefault="0073505F" w:rsidP="005458AF">
      <w:pPr>
        <w:outlineLvl w:val="1"/>
        <w:rPr>
          <w:rFonts w:ascii="微软雅黑" w:eastAsia="微软雅黑" w:hAnsi="微软雅黑"/>
          <w:b/>
        </w:rPr>
      </w:pPr>
      <w:bookmarkStart w:id="2" w:name="_Toc524417964"/>
      <w:r w:rsidRPr="009D423B">
        <w:rPr>
          <w:rFonts w:ascii="微软雅黑" w:eastAsia="微软雅黑" w:hAnsi="微软雅黑" w:hint="eastAsia"/>
          <w:b/>
        </w:rPr>
        <w:t>一</w:t>
      </w:r>
      <w:r w:rsidR="00366C15" w:rsidRPr="009D423B">
        <w:rPr>
          <w:rFonts w:ascii="微软雅黑" w:eastAsia="微软雅黑" w:hAnsi="微软雅黑"/>
          <w:b/>
        </w:rPr>
        <w:t>、陕西省网民规模与结构特征</w:t>
      </w:r>
      <w:bookmarkEnd w:id="2"/>
    </w:p>
    <w:p w:rsidR="00366C15" w:rsidRPr="009D423B" w:rsidRDefault="00366C15" w:rsidP="005458AF">
      <w:pPr>
        <w:outlineLvl w:val="2"/>
        <w:rPr>
          <w:rFonts w:ascii="微软雅黑" w:eastAsia="微软雅黑" w:hAnsi="微软雅黑"/>
          <w:b/>
        </w:rPr>
      </w:pPr>
      <w:bookmarkStart w:id="3" w:name="_Toc524417965"/>
      <w:r w:rsidRPr="009D423B">
        <w:rPr>
          <w:rFonts w:ascii="微软雅黑" w:eastAsia="微软雅黑" w:hAnsi="微软雅黑"/>
          <w:b/>
        </w:rPr>
        <w:t>（一）</w:t>
      </w:r>
      <w:r w:rsidR="00A36DDA" w:rsidRPr="009D423B">
        <w:rPr>
          <w:rFonts w:ascii="微软雅黑" w:eastAsia="微软雅黑" w:hAnsi="微软雅黑"/>
          <w:b/>
        </w:rPr>
        <w:t>网民</w:t>
      </w:r>
      <w:r w:rsidR="00C564F4">
        <w:rPr>
          <w:rFonts w:ascii="微软雅黑" w:eastAsia="微软雅黑" w:hAnsi="微软雅黑"/>
          <w:b/>
        </w:rPr>
        <w:t>总体</w:t>
      </w:r>
      <w:r w:rsidRPr="009D423B">
        <w:rPr>
          <w:rFonts w:ascii="微软雅黑" w:eastAsia="微软雅黑" w:hAnsi="微软雅黑"/>
          <w:b/>
        </w:rPr>
        <w:t>规模</w:t>
      </w:r>
      <w:bookmarkEnd w:id="3"/>
    </w:p>
    <w:p w:rsidR="0073505F" w:rsidRPr="009D423B" w:rsidRDefault="00A36DDA" w:rsidP="005458AF">
      <w:pPr>
        <w:outlineLvl w:val="3"/>
        <w:rPr>
          <w:rFonts w:ascii="微软雅黑" w:eastAsia="微软雅黑" w:hAnsi="微软雅黑"/>
          <w:b/>
          <w:bCs/>
        </w:rPr>
      </w:pPr>
      <w:bookmarkStart w:id="4" w:name="_Toc524417966"/>
      <w:r w:rsidRPr="009D423B">
        <w:rPr>
          <w:rFonts w:ascii="微软雅黑" w:eastAsia="微软雅黑" w:hAnsi="微软雅黑" w:hint="eastAsia"/>
          <w:b/>
          <w:bCs/>
        </w:rPr>
        <w:t>1.网民整体规模</w:t>
      </w:r>
      <w:bookmarkEnd w:id="4"/>
    </w:p>
    <w:p w:rsidR="00F17E7C" w:rsidRDefault="00016C0C" w:rsidP="00EF142A">
      <w:pPr>
        <w:widowControl/>
        <w:spacing w:line="400" w:lineRule="exact"/>
        <w:ind w:firstLineChars="200" w:firstLine="420"/>
        <w:jc w:val="left"/>
        <w:rPr>
          <w:rFonts w:ascii="微软雅黑" w:eastAsia="微软雅黑" w:hAnsi="微软雅黑"/>
          <w:szCs w:val="21"/>
        </w:rPr>
      </w:pPr>
      <w:r w:rsidRPr="008A7473">
        <w:rPr>
          <w:rFonts w:ascii="微软雅黑" w:eastAsia="微软雅黑" w:hAnsi="微软雅黑"/>
          <w:szCs w:val="21"/>
        </w:rPr>
        <w:t>网民是从网络使用者的行为效果来阐释的概念</w:t>
      </w:r>
      <w:r>
        <w:rPr>
          <w:rFonts w:ascii="微软雅黑" w:eastAsia="微软雅黑" w:hAnsi="微软雅黑" w:hint="eastAsia"/>
          <w:szCs w:val="21"/>
        </w:rPr>
        <w:t>。</w:t>
      </w:r>
      <w:r w:rsidR="00C13685" w:rsidRPr="008A7473">
        <w:rPr>
          <w:rFonts w:ascii="微软雅黑" w:eastAsia="微软雅黑" w:hAnsi="微软雅黑"/>
          <w:szCs w:val="21"/>
        </w:rPr>
        <w:t>通常而言</w:t>
      </w:r>
      <w:r>
        <w:rPr>
          <w:rFonts w:ascii="微软雅黑" w:eastAsia="微软雅黑" w:hAnsi="微软雅黑" w:hint="eastAsia"/>
          <w:szCs w:val="21"/>
        </w:rPr>
        <w:t>，</w:t>
      </w:r>
      <w:r w:rsidR="00C13685" w:rsidRPr="008A7473">
        <w:rPr>
          <w:rFonts w:ascii="微软雅黑" w:eastAsia="微软雅黑" w:hAnsi="微软雅黑"/>
          <w:szCs w:val="21"/>
        </w:rPr>
        <w:t>网络使用者是一个宽泛的概念</w:t>
      </w:r>
      <w:r>
        <w:rPr>
          <w:rFonts w:ascii="微软雅黑" w:eastAsia="微软雅黑" w:hAnsi="微软雅黑" w:hint="eastAsia"/>
          <w:szCs w:val="21"/>
        </w:rPr>
        <w:t>，</w:t>
      </w:r>
      <w:r w:rsidR="00C13685" w:rsidRPr="008A7473">
        <w:rPr>
          <w:rFonts w:ascii="微软雅黑" w:eastAsia="微软雅黑" w:hAnsi="微软雅黑"/>
          <w:szCs w:val="21"/>
        </w:rPr>
        <w:t>包括</w:t>
      </w:r>
      <w:r>
        <w:rPr>
          <w:rFonts w:ascii="微软雅黑" w:eastAsia="微软雅黑" w:hAnsi="微软雅黑"/>
          <w:szCs w:val="21"/>
        </w:rPr>
        <w:t>通过</w:t>
      </w:r>
      <w:r w:rsidR="00C13685" w:rsidRPr="008A7473">
        <w:rPr>
          <w:rFonts w:ascii="微软雅黑" w:eastAsia="微软雅黑" w:hAnsi="微软雅黑"/>
          <w:szCs w:val="21"/>
        </w:rPr>
        <w:t>计算机、移动设备</w:t>
      </w:r>
      <w:r>
        <w:rPr>
          <w:rFonts w:ascii="微软雅黑" w:eastAsia="微软雅黑" w:hAnsi="微软雅黑"/>
          <w:szCs w:val="21"/>
        </w:rPr>
        <w:t>等</w:t>
      </w:r>
      <w:r w:rsidR="00C13685" w:rsidRPr="008A7473">
        <w:rPr>
          <w:rFonts w:ascii="微软雅黑" w:eastAsia="微软雅黑" w:hAnsi="微软雅黑"/>
          <w:szCs w:val="21"/>
        </w:rPr>
        <w:t>终端连接上互联网进行网络活动的人</w:t>
      </w:r>
      <w:r w:rsidR="00ED2518">
        <w:rPr>
          <w:rFonts w:ascii="微软雅黑" w:eastAsia="微软雅黑" w:hAnsi="微软雅黑" w:hint="eastAsia"/>
          <w:szCs w:val="21"/>
        </w:rPr>
        <w:t>。</w:t>
      </w:r>
      <w:r>
        <w:rPr>
          <w:rFonts w:ascii="微软雅黑" w:eastAsia="微软雅黑" w:hAnsi="微软雅黑" w:hint="eastAsia"/>
          <w:szCs w:val="21"/>
        </w:rPr>
        <w:t>而“网民”则是</w:t>
      </w:r>
      <w:r w:rsidR="00C13685" w:rsidRPr="008A7473">
        <w:rPr>
          <w:rFonts w:ascii="微软雅黑" w:eastAsia="微软雅黑" w:hAnsi="微软雅黑"/>
          <w:szCs w:val="21"/>
        </w:rPr>
        <w:t>在个体自我意识上、对使用网络的态度上、网络活动的特征上</w:t>
      </w:r>
      <w:r w:rsidR="00ED2518">
        <w:rPr>
          <w:rFonts w:ascii="微软雅黑" w:eastAsia="微软雅黑" w:hAnsi="微软雅黑" w:hint="eastAsia"/>
          <w:szCs w:val="21"/>
        </w:rPr>
        <w:t>，</w:t>
      </w:r>
      <w:r w:rsidR="00C13685" w:rsidRPr="008A7473">
        <w:rPr>
          <w:rFonts w:ascii="微软雅黑" w:eastAsia="微软雅黑" w:hAnsi="微软雅黑"/>
          <w:szCs w:val="21"/>
        </w:rPr>
        <w:t>以及网络活动的行为效果上等表现出一定特点的使用者。</w:t>
      </w:r>
      <w:r>
        <w:rPr>
          <w:rFonts w:ascii="微软雅黑" w:eastAsia="微软雅黑" w:hAnsi="微软雅黑"/>
          <w:szCs w:val="21"/>
        </w:rPr>
        <w:t>按照常规定义</w:t>
      </w:r>
      <w:r>
        <w:rPr>
          <w:rFonts w:ascii="微软雅黑" w:eastAsia="微软雅黑" w:hAnsi="微软雅黑" w:hint="eastAsia"/>
          <w:szCs w:val="21"/>
        </w:rPr>
        <w:t>，</w:t>
      </w:r>
      <w:r w:rsidR="00C13685">
        <w:rPr>
          <w:rFonts w:ascii="微软雅黑" w:eastAsia="微软雅黑" w:hAnsi="微软雅黑"/>
          <w:szCs w:val="21"/>
        </w:rPr>
        <w:t>网民是指</w:t>
      </w:r>
      <w:r w:rsidR="00C13685" w:rsidRPr="008A7473">
        <w:rPr>
          <w:rFonts w:ascii="微软雅黑" w:eastAsia="微软雅黑" w:hAnsi="微软雅黑" w:hint="eastAsia"/>
          <w:szCs w:val="21"/>
        </w:rPr>
        <w:t>半年内使用过互联网的6周岁及以上中国公民</w:t>
      </w:r>
      <w:r w:rsidR="00C13685">
        <w:rPr>
          <w:rFonts w:ascii="微软雅黑" w:eastAsia="微软雅黑" w:hAnsi="微软雅黑" w:hint="eastAsia"/>
          <w:szCs w:val="21"/>
        </w:rPr>
        <w:t>，泛指通过PC（包括台式机和笔记本电脑）和各类移动智能终端设备（</w:t>
      </w:r>
      <w:r w:rsidR="00ED2518">
        <w:rPr>
          <w:rFonts w:ascii="微软雅黑" w:eastAsia="微软雅黑" w:hAnsi="微软雅黑" w:hint="eastAsia"/>
          <w:szCs w:val="21"/>
        </w:rPr>
        <w:t>包括</w:t>
      </w:r>
      <w:r w:rsidR="00C13685">
        <w:rPr>
          <w:rFonts w:ascii="微软雅黑" w:eastAsia="微软雅黑" w:hAnsi="微软雅黑" w:hint="eastAsia"/>
          <w:szCs w:val="21"/>
        </w:rPr>
        <w:t>手机、PAD等）的</w:t>
      </w:r>
      <w:r w:rsidR="001E0192" w:rsidRPr="008A7473">
        <w:rPr>
          <w:rFonts w:ascii="微软雅黑" w:eastAsia="微软雅黑" w:hAnsi="微软雅黑"/>
          <w:szCs w:val="21"/>
        </w:rPr>
        <w:t>网络使用者</w:t>
      </w:r>
      <w:r w:rsidR="00C13685">
        <w:rPr>
          <w:rFonts w:ascii="微软雅黑" w:eastAsia="微软雅黑" w:hAnsi="微软雅黑" w:hint="eastAsia"/>
          <w:szCs w:val="21"/>
        </w:rPr>
        <w:t>。</w:t>
      </w:r>
    </w:p>
    <w:p w:rsidR="00714C8A" w:rsidRDefault="00F17E7C" w:rsidP="00F17E7C">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当前，</w:t>
      </w:r>
      <w:r w:rsidR="00997B91">
        <w:rPr>
          <w:rFonts w:ascii="微软雅黑" w:eastAsia="微软雅黑" w:hAnsi="微软雅黑" w:hint="eastAsia"/>
          <w:szCs w:val="21"/>
        </w:rPr>
        <w:t>从</w:t>
      </w:r>
      <w:r w:rsidR="00EF142A">
        <w:rPr>
          <w:rFonts w:ascii="微软雅黑" w:eastAsia="微软雅黑" w:hAnsi="微软雅黑" w:hint="eastAsia"/>
          <w:szCs w:val="21"/>
        </w:rPr>
        <w:t>网民</w:t>
      </w:r>
      <w:r w:rsidR="00997B91">
        <w:rPr>
          <w:rFonts w:ascii="微软雅黑" w:eastAsia="微软雅黑" w:hAnsi="微软雅黑" w:hint="eastAsia"/>
          <w:szCs w:val="21"/>
        </w:rPr>
        <w:t>实际使用</w:t>
      </w:r>
      <w:r w:rsidR="00ED2518">
        <w:rPr>
          <w:rFonts w:ascii="微软雅黑" w:eastAsia="微软雅黑" w:hAnsi="微软雅黑" w:hint="eastAsia"/>
          <w:szCs w:val="21"/>
        </w:rPr>
        <w:t>行为</w:t>
      </w:r>
      <w:r w:rsidR="00997B91">
        <w:rPr>
          <w:rFonts w:ascii="微软雅黑" w:eastAsia="微软雅黑" w:hAnsi="微软雅黑" w:hint="eastAsia"/>
          <w:szCs w:val="21"/>
        </w:rPr>
        <w:t>来看，人们</w:t>
      </w:r>
      <w:r w:rsidR="001E0192">
        <w:rPr>
          <w:rFonts w:ascii="微软雅黑" w:eastAsia="微软雅黑" w:hAnsi="微软雅黑" w:hint="eastAsia"/>
          <w:szCs w:val="21"/>
        </w:rPr>
        <w:t>在PC端</w:t>
      </w:r>
      <w:r w:rsidR="00EF142A">
        <w:rPr>
          <w:rFonts w:ascii="微软雅黑" w:eastAsia="微软雅黑" w:hAnsi="微软雅黑" w:hint="eastAsia"/>
          <w:szCs w:val="21"/>
        </w:rPr>
        <w:t>的活动</w:t>
      </w:r>
      <w:r w:rsidR="00ED2518">
        <w:rPr>
          <w:rFonts w:ascii="微软雅黑" w:eastAsia="微软雅黑" w:hAnsi="微软雅黑" w:hint="eastAsia"/>
          <w:szCs w:val="21"/>
        </w:rPr>
        <w:t>大</w:t>
      </w:r>
      <w:r w:rsidR="001E0192">
        <w:rPr>
          <w:rFonts w:ascii="微软雅黑" w:eastAsia="微软雅黑" w:hAnsi="微软雅黑" w:hint="eastAsia"/>
          <w:szCs w:val="21"/>
        </w:rPr>
        <w:t>都</w:t>
      </w:r>
      <w:r w:rsidR="00997B91">
        <w:rPr>
          <w:rFonts w:ascii="微软雅黑" w:eastAsia="微软雅黑" w:hAnsi="微软雅黑" w:hint="eastAsia"/>
          <w:szCs w:val="21"/>
        </w:rPr>
        <w:t>以</w:t>
      </w:r>
      <w:r w:rsidR="001E0192">
        <w:rPr>
          <w:rFonts w:ascii="微软雅黑" w:eastAsia="微软雅黑" w:hAnsi="微软雅黑" w:hint="eastAsia"/>
          <w:szCs w:val="21"/>
        </w:rPr>
        <w:t>办公为主，其生产力</w:t>
      </w:r>
      <w:r w:rsidR="001D65FF">
        <w:rPr>
          <w:rFonts w:ascii="微软雅黑" w:eastAsia="微软雅黑" w:hAnsi="微软雅黑" w:hint="eastAsia"/>
          <w:szCs w:val="21"/>
        </w:rPr>
        <w:t>的</w:t>
      </w:r>
      <w:r w:rsidR="001E0192">
        <w:rPr>
          <w:rFonts w:ascii="微软雅黑" w:eastAsia="微软雅黑" w:hAnsi="微软雅黑" w:hint="eastAsia"/>
          <w:szCs w:val="21"/>
        </w:rPr>
        <w:t>基本属性表现更多；而移动端则是用户利用碎片化的时间，</w:t>
      </w:r>
      <w:r w:rsidR="00D96DCF">
        <w:rPr>
          <w:rFonts w:ascii="微软雅黑" w:eastAsia="微软雅黑" w:hAnsi="微软雅黑" w:hint="eastAsia"/>
          <w:szCs w:val="21"/>
        </w:rPr>
        <w:t>会</w:t>
      </w:r>
      <w:r w:rsidR="001D65FF">
        <w:rPr>
          <w:rFonts w:ascii="微软雅黑" w:eastAsia="微软雅黑" w:hAnsi="微软雅黑" w:hint="eastAsia"/>
          <w:szCs w:val="21"/>
        </w:rPr>
        <w:t>更多</w:t>
      </w:r>
      <w:r w:rsidR="001E0192">
        <w:rPr>
          <w:rFonts w:ascii="微软雅黑" w:eastAsia="微软雅黑" w:hAnsi="微软雅黑" w:hint="eastAsia"/>
          <w:szCs w:val="21"/>
        </w:rPr>
        <w:t>以个人</w:t>
      </w:r>
      <w:r w:rsidR="00ED2518">
        <w:rPr>
          <w:rFonts w:ascii="微软雅黑" w:eastAsia="微软雅黑" w:hAnsi="微软雅黑" w:hint="eastAsia"/>
          <w:szCs w:val="21"/>
        </w:rPr>
        <w:t>的</w:t>
      </w:r>
      <w:r w:rsidR="001E0192">
        <w:rPr>
          <w:rFonts w:ascii="微软雅黑" w:eastAsia="微软雅黑" w:hAnsi="微软雅黑" w:hint="eastAsia"/>
          <w:szCs w:val="21"/>
        </w:rPr>
        <w:t>兴趣</w:t>
      </w:r>
      <w:r w:rsidR="001D65FF">
        <w:rPr>
          <w:rFonts w:ascii="微软雅黑" w:eastAsia="微软雅黑" w:hAnsi="微软雅黑" w:hint="eastAsia"/>
          <w:szCs w:val="21"/>
        </w:rPr>
        <w:t>爱好</w:t>
      </w:r>
      <w:r w:rsidR="001E0192">
        <w:rPr>
          <w:rFonts w:ascii="微软雅黑" w:eastAsia="微软雅黑" w:hAnsi="微软雅黑" w:hint="eastAsia"/>
          <w:szCs w:val="21"/>
        </w:rPr>
        <w:t>为基础，</w:t>
      </w:r>
      <w:r w:rsidR="001D65FF">
        <w:rPr>
          <w:rFonts w:ascii="微软雅黑" w:eastAsia="微软雅黑" w:hAnsi="微软雅黑" w:hint="eastAsia"/>
          <w:szCs w:val="21"/>
        </w:rPr>
        <w:t>进行</w:t>
      </w:r>
      <w:r w:rsidR="00D96DCF">
        <w:rPr>
          <w:rFonts w:ascii="微软雅黑" w:eastAsia="微软雅黑" w:hAnsi="微软雅黑" w:hint="eastAsia"/>
          <w:szCs w:val="21"/>
        </w:rPr>
        <w:t>日常的</w:t>
      </w:r>
      <w:r w:rsidR="00ED2518">
        <w:rPr>
          <w:rFonts w:ascii="微软雅黑" w:eastAsia="微软雅黑" w:hAnsi="微软雅黑" w:hint="eastAsia"/>
          <w:szCs w:val="21"/>
        </w:rPr>
        <w:t>沟通交流、</w:t>
      </w:r>
      <w:r w:rsidR="001E0192">
        <w:rPr>
          <w:rFonts w:ascii="微软雅黑" w:eastAsia="微软雅黑" w:hAnsi="微软雅黑" w:hint="eastAsia"/>
          <w:szCs w:val="21"/>
        </w:rPr>
        <w:t>浏览</w:t>
      </w:r>
      <w:r w:rsidR="001D65FF">
        <w:rPr>
          <w:rFonts w:ascii="微软雅黑" w:eastAsia="微软雅黑" w:hAnsi="微软雅黑" w:hint="eastAsia"/>
          <w:szCs w:val="21"/>
        </w:rPr>
        <w:t>、</w:t>
      </w:r>
      <w:r w:rsidR="00ED2518">
        <w:rPr>
          <w:rFonts w:ascii="微软雅黑" w:eastAsia="微软雅黑" w:hAnsi="微软雅黑" w:hint="eastAsia"/>
          <w:szCs w:val="21"/>
        </w:rPr>
        <w:t>阅读、</w:t>
      </w:r>
      <w:r w:rsidR="001D65FF">
        <w:rPr>
          <w:rFonts w:ascii="微软雅黑" w:eastAsia="微软雅黑" w:hAnsi="微软雅黑" w:hint="eastAsia"/>
          <w:szCs w:val="21"/>
        </w:rPr>
        <w:t>视听等</w:t>
      </w:r>
      <w:r w:rsidR="001E0192">
        <w:rPr>
          <w:rFonts w:ascii="微软雅黑" w:eastAsia="微软雅黑" w:hAnsi="微软雅黑" w:hint="eastAsia"/>
          <w:szCs w:val="21"/>
        </w:rPr>
        <w:t>网络</w:t>
      </w:r>
      <w:r w:rsidR="001D65FF">
        <w:rPr>
          <w:rFonts w:ascii="微软雅黑" w:eastAsia="微软雅黑" w:hAnsi="微软雅黑" w:hint="eastAsia"/>
          <w:szCs w:val="21"/>
        </w:rPr>
        <w:t>行为</w:t>
      </w:r>
      <w:r w:rsidR="001E0192">
        <w:rPr>
          <w:rFonts w:ascii="微软雅黑" w:eastAsia="微软雅黑" w:hAnsi="微软雅黑" w:hint="eastAsia"/>
          <w:szCs w:val="21"/>
        </w:rPr>
        <w:t>。</w:t>
      </w:r>
      <w:r w:rsidR="00D96DCF">
        <w:rPr>
          <w:rFonts w:ascii="微软雅黑" w:eastAsia="微软雅黑" w:hAnsi="微软雅黑" w:hint="eastAsia"/>
          <w:szCs w:val="21"/>
        </w:rPr>
        <w:t>从</w:t>
      </w:r>
      <w:r w:rsidR="001D65FF">
        <w:rPr>
          <w:rFonts w:ascii="微软雅黑" w:eastAsia="微软雅黑" w:hAnsi="微软雅黑" w:hint="eastAsia"/>
          <w:szCs w:val="21"/>
        </w:rPr>
        <w:t>PC</w:t>
      </w:r>
      <w:r w:rsidR="00EA0D3B">
        <w:rPr>
          <w:rFonts w:ascii="微软雅黑" w:eastAsia="微软雅黑" w:hAnsi="微软雅黑" w:hint="eastAsia"/>
          <w:szCs w:val="21"/>
        </w:rPr>
        <w:t>端和移动端</w:t>
      </w:r>
      <w:r w:rsidR="001D65FF">
        <w:rPr>
          <w:rFonts w:ascii="微软雅黑" w:eastAsia="微软雅黑" w:hAnsi="微软雅黑" w:hint="eastAsia"/>
          <w:szCs w:val="21"/>
        </w:rPr>
        <w:t>的</w:t>
      </w:r>
      <w:r w:rsidR="00EF142A">
        <w:rPr>
          <w:rFonts w:ascii="微软雅黑" w:eastAsia="微软雅黑" w:hAnsi="微软雅黑" w:hint="eastAsia"/>
          <w:szCs w:val="21"/>
        </w:rPr>
        <w:t>使用</w:t>
      </w:r>
      <w:r w:rsidR="001D65FF">
        <w:rPr>
          <w:rFonts w:ascii="微软雅黑" w:eastAsia="微软雅黑" w:hAnsi="微软雅黑" w:hint="eastAsia"/>
          <w:szCs w:val="21"/>
        </w:rPr>
        <w:t>人群</w:t>
      </w:r>
      <w:r w:rsidR="00D96DCF">
        <w:rPr>
          <w:rFonts w:ascii="微软雅黑" w:eastAsia="微软雅黑" w:hAnsi="微软雅黑" w:hint="eastAsia"/>
          <w:szCs w:val="21"/>
        </w:rPr>
        <w:t>来看</w:t>
      </w:r>
      <w:r w:rsidR="001D65FF">
        <w:rPr>
          <w:rFonts w:ascii="微软雅黑" w:eastAsia="微软雅黑" w:hAnsi="微软雅黑" w:hint="eastAsia"/>
          <w:szCs w:val="21"/>
        </w:rPr>
        <w:t>，</w:t>
      </w:r>
      <w:r w:rsidR="00EA0D3B">
        <w:rPr>
          <w:rFonts w:ascii="微软雅黑" w:eastAsia="微软雅黑" w:hAnsi="微软雅黑" w:hint="eastAsia"/>
          <w:szCs w:val="21"/>
        </w:rPr>
        <w:t>由于</w:t>
      </w:r>
      <w:r w:rsidR="001D65FF">
        <w:rPr>
          <w:rFonts w:ascii="微软雅黑" w:eastAsia="微软雅黑" w:hAnsi="微软雅黑" w:hint="eastAsia"/>
          <w:szCs w:val="21"/>
        </w:rPr>
        <w:t>移动端</w:t>
      </w:r>
      <w:r w:rsidR="00EA0D3B">
        <w:rPr>
          <w:rFonts w:ascii="微软雅黑" w:eastAsia="微软雅黑" w:hAnsi="微软雅黑" w:hint="eastAsia"/>
          <w:szCs w:val="21"/>
        </w:rPr>
        <w:t>的</w:t>
      </w:r>
      <w:r w:rsidR="001D65FF">
        <w:rPr>
          <w:rFonts w:ascii="微软雅黑" w:eastAsia="微软雅黑" w:hAnsi="微软雅黑" w:hint="eastAsia"/>
          <w:szCs w:val="21"/>
        </w:rPr>
        <w:t>便捷性，其覆盖</w:t>
      </w:r>
      <w:r w:rsidR="00EF142A">
        <w:rPr>
          <w:rFonts w:ascii="微软雅黑" w:eastAsia="微软雅黑" w:hAnsi="微软雅黑" w:hint="eastAsia"/>
          <w:szCs w:val="21"/>
        </w:rPr>
        <w:t>面</w:t>
      </w:r>
      <w:r w:rsidR="00997B91">
        <w:rPr>
          <w:rFonts w:ascii="微软雅黑" w:eastAsia="微软雅黑" w:hAnsi="微软雅黑" w:hint="eastAsia"/>
          <w:szCs w:val="21"/>
        </w:rPr>
        <w:t>必然</w:t>
      </w:r>
      <w:r w:rsidR="001D65FF">
        <w:rPr>
          <w:rFonts w:ascii="微软雅黑" w:eastAsia="微软雅黑" w:hAnsi="微软雅黑" w:hint="eastAsia"/>
          <w:szCs w:val="21"/>
        </w:rPr>
        <w:t>会</w:t>
      </w:r>
      <w:r w:rsidR="00EF142A">
        <w:rPr>
          <w:rFonts w:ascii="微软雅黑" w:eastAsia="微软雅黑" w:hAnsi="微软雅黑" w:hint="eastAsia"/>
          <w:szCs w:val="21"/>
        </w:rPr>
        <w:t>比PC端</w:t>
      </w:r>
      <w:r w:rsidR="001D65FF">
        <w:rPr>
          <w:rFonts w:ascii="微软雅黑" w:eastAsia="微软雅黑" w:hAnsi="微软雅黑" w:hint="eastAsia"/>
          <w:szCs w:val="21"/>
        </w:rPr>
        <w:t>更广，</w:t>
      </w:r>
      <w:r w:rsidR="00EA0D3B">
        <w:rPr>
          <w:rFonts w:ascii="微软雅黑" w:eastAsia="微软雅黑" w:hAnsi="微软雅黑" w:hint="eastAsia"/>
          <w:szCs w:val="21"/>
        </w:rPr>
        <w:t>特别</w:t>
      </w:r>
      <w:r w:rsidR="001D65FF">
        <w:rPr>
          <w:rFonts w:ascii="微软雅黑" w:eastAsia="微软雅黑" w:hAnsi="微软雅黑" w:hint="eastAsia"/>
          <w:szCs w:val="21"/>
        </w:rPr>
        <w:t>是对于青少年和老年人群体的渗透</w:t>
      </w:r>
      <w:r w:rsidR="00D96DCF">
        <w:rPr>
          <w:rFonts w:ascii="微软雅黑" w:eastAsia="微软雅黑" w:hAnsi="微软雅黑" w:hint="eastAsia"/>
          <w:szCs w:val="21"/>
        </w:rPr>
        <w:t>会</w:t>
      </w:r>
      <w:r w:rsidR="001D65FF">
        <w:rPr>
          <w:rFonts w:ascii="微软雅黑" w:eastAsia="微软雅黑" w:hAnsi="微软雅黑" w:hint="eastAsia"/>
          <w:szCs w:val="21"/>
        </w:rPr>
        <w:t>相对更高。</w:t>
      </w:r>
      <w:r w:rsidR="00997B91">
        <w:rPr>
          <w:rFonts w:ascii="微软雅黑" w:eastAsia="微软雅黑" w:hAnsi="微软雅黑" w:hint="eastAsia"/>
          <w:szCs w:val="21"/>
        </w:rPr>
        <w:t>因此，一般</w:t>
      </w:r>
      <w:r w:rsidR="008E40BB">
        <w:rPr>
          <w:rFonts w:ascii="微软雅黑" w:eastAsia="微软雅黑" w:hAnsi="微软雅黑" w:hint="eastAsia"/>
          <w:szCs w:val="21"/>
        </w:rPr>
        <w:t>而言</w:t>
      </w:r>
      <w:r w:rsidR="001D65FF">
        <w:rPr>
          <w:rFonts w:ascii="微软雅黑" w:eastAsia="微软雅黑" w:hAnsi="微软雅黑" w:hint="eastAsia"/>
          <w:szCs w:val="21"/>
        </w:rPr>
        <w:t>，</w:t>
      </w:r>
      <w:r w:rsidR="008E40BB">
        <w:rPr>
          <w:rFonts w:ascii="微软雅黑" w:eastAsia="微软雅黑" w:hAnsi="微软雅黑" w:hint="eastAsia"/>
          <w:szCs w:val="21"/>
        </w:rPr>
        <w:t>在</w:t>
      </w:r>
      <w:r w:rsidR="00193505">
        <w:rPr>
          <w:rFonts w:ascii="微软雅黑" w:eastAsia="微软雅黑" w:hAnsi="微软雅黑" w:hint="eastAsia"/>
          <w:szCs w:val="21"/>
        </w:rPr>
        <w:t>当前使用</w:t>
      </w:r>
      <w:r w:rsidR="001D65FF">
        <w:rPr>
          <w:rFonts w:ascii="微软雅黑" w:eastAsia="微软雅黑" w:hAnsi="微软雅黑" w:hint="eastAsia"/>
          <w:szCs w:val="21"/>
        </w:rPr>
        <w:t>PC</w:t>
      </w:r>
      <w:r w:rsidR="00D96DCF">
        <w:rPr>
          <w:rFonts w:ascii="微软雅黑" w:eastAsia="微软雅黑" w:hAnsi="微软雅黑" w:hint="eastAsia"/>
          <w:szCs w:val="21"/>
        </w:rPr>
        <w:t>端网络服务</w:t>
      </w:r>
      <w:r w:rsidR="001D65FF">
        <w:rPr>
          <w:rFonts w:ascii="微软雅黑" w:eastAsia="微软雅黑" w:hAnsi="微软雅黑" w:hint="eastAsia"/>
          <w:szCs w:val="21"/>
        </w:rPr>
        <w:t>的</w:t>
      </w:r>
      <w:r>
        <w:rPr>
          <w:rFonts w:ascii="微软雅黑" w:eastAsia="微软雅黑" w:hAnsi="微软雅黑" w:hint="eastAsia"/>
          <w:szCs w:val="21"/>
        </w:rPr>
        <w:t>用户</w:t>
      </w:r>
      <w:r w:rsidR="00D96DCF">
        <w:rPr>
          <w:rFonts w:ascii="微软雅黑" w:eastAsia="微软雅黑" w:hAnsi="微软雅黑" w:hint="eastAsia"/>
          <w:szCs w:val="21"/>
        </w:rPr>
        <w:t>中</w:t>
      </w:r>
      <w:r w:rsidR="00193505">
        <w:rPr>
          <w:rFonts w:ascii="微软雅黑" w:eastAsia="微软雅黑" w:hAnsi="微软雅黑" w:hint="eastAsia"/>
          <w:szCs w:val="21"/>
        </w:rPr>
        <w:t>，绝大多数</w:t>
      </w:r>
      <w:r>
        <w:rPr>
          <w:rFonts w:ascii="微软雅黑" w:eastAsia="微软雅黑" w:hAnsi="微软雅黑" w:hint="eastAsia"/>
          <w:szCs w:val="21"/>
        </w:rPr>
        <w:t>用户</w:t>
      </w:r>
      <w:r w:rsidR="00193505">
        <w:rPr>
          <w:rFonts w:ascii="微软雅黑" w:eastAsia="微软雅黑" w:hAnsi="微软雅黑" w:hint="eastAsia"/>
          <w:szCs w:val="21"/>
        </w:rPr>
        <w:t>都</w:t>
      </w:r>
      <w:r w:rsidR="00997B91">
        <w:rPr>
          <w:rFonts w:ascii="微软雅黑" w:eastAsia="微软雅黑" w:hAnsi="微软雅黑" w:hint="eastAsia"/>
          <w:szCs w:val="21"/>
        </w:rPr>
        <w:t>会</w:t>
      </w:r>
      <w:r w:rsidR="00193505">
        <w:rPr>
          <w:rFonts w:ascii="微软雅黑" w:eastAsia="微软雅黑" w:hAnsi="微软雅黑" w:hint="eastAsia"/>
          <w:szCs w:val="21"/>
        </w:rPr>
        <w:t>同时</w:t>
      </w:r>
      <w:r w:rsidR="00D96DCF">
        <w:rPr>
          <w:rFonts w:ascii="微软雅黑" w:eastAsia="微软雅黑" w:hAnsi="微软雅黑" w:hint="eastAsia"/>
          <w:szCs w:val="21"/>
        </w:rPr>
        <w:t>通过</w:t>
      </w:r>
      <w:r w:rsidR="00EF142A">
        <w:rPr>
          <w:rFonts w:ascii="微软雅黑" w:eastAsia="微软雅黑" w:hAnsi="微软雅黑" w:hint="eastAsia"/>
          <w:szCs w:val="21"/>
        </w:rPr>
        <w:t>各类</w:t>
      </w:r>
      <w:r w:rsidR="00193505">
        <w:rPr>
          <w:rFonts w:ascii="微软雅黑" w:eastAsia="微软雅黑" w:hAnsi="微软雅黑" w:hint="eastAsia"/>
          <w:szCs w:val="21"/>
        </w:rPr>
        <w:t>移动设备</w:t>
      </w:r>
      <w:r w:rsidR="00D96DCF">
        <w:rPr>
          <w:rFonts w:ascii="微软雅黑" w:eastAsia="微软雅黑" w:hAnsi="微软雅黑" w:hint="eastAsia"/>
          <w:szCs w:val="21"/>
        </w:rPr>
        <w:t>接入网络</w:t>
      </w:r>
      <w:r w:rsidR="00997B91">
        <w:rPr>
          <w:rFonts w:ascii="微软雅黑" w:eastAsia="微软雅黑" w:hAnsi="微软雅黑" w:hint="eastAsia"/>
          <w:szCs w:val="21"/>
        </w:rPr>
        <w:t>；</w:t>
      </w:r>
      <w:r w:rsidR="00D96DCF">
        <w:rPr>
          <w:rFonts w:ascii="微软雅黑" w:eastAsia="微软雅黑" w:hAnsi="微软雅黑" w:hint="eastAsia"/>
          <w:szCs w:val="21"/>
        </w:rPr>
        <w:t>但</w:t>
      </w:r>
      <w:r w:rsidR="00EF142A">
        <w:rPr>
          <w:rFonts w:ascii="微软雅黑" w:eastAsia="微软雅黑" w:hAnsi="微软雅黑" w:hint="eastAsia"/>
          <w:szCs w:val="21"/>
        </w:rPr>
        <w:t>反之，</w:t>
      </w:r>
      <w:r w:rsidR="00997B91">
        <w:rPr>
          <w:rFonts w:ascii="微软雅黑" w:eastAsia="微软雅黑" w:hAnsi="微软雅黑" w:hint="eastAsia"/>
          <w:szCs w:val="21"/>
        </w:rPr>
        <w:t>通过</w:t>
      </w:r>
      <w:r w:rsidR="00193505">
        <w:rPr>
          <w:rFonts w:ascii="微软雅黑" w:eastAsia="微软雅黑" w:hAnsi="微软雅黑" w:hint="eastAsia"/>
          <w:szCs w:val="21"/>
        </w:rPr>
        <w:t>移动设备</w:t>
      </w:r>
      <w:r w:rsidR="00D96DCF">
        <w:rPr>
          <w:rFonts w:ascii="微软雅黑" w:eastAsia="微软雅黑" w:hAnsi="微软雅黑" w:hint="eastAsia"/>
          <w:szCs w:val="21"/>
        </w:rPr>
        <w:t>接入网络</w:t>
      </w:r>
      <w:r w:rsidR="00193505">
        <w:rPr>
          <w:rFonts w:ascii="微软雅黑" w:eastAsia="微软雅黑" w:hAnsi="微软雅黑" w:hint="eastAsia"/>
          <w:szCs w:val="21"/>
        </w:rPr>
        <w:t>的</w:t>
      </w:r>
      <w:r w:rsidR="00EF142A">
        <w:rPr>
          <w:rFonts w:ascii="微软雅黑" w:eastAsia="微软雅黑" w:hAnsi="微软雅黑" w:hint="eastAsia"/>
          <w:szCs w:val="21"/>
        </w:rPr>
        <w:t>网民</w:t>
      </w:r>
      <w:r w:rsidR="00D96DCF">
        <w:rPr>
          <w:rFonts w:ascii="微软雅黑" w:eastAsia="微软雅黑" w:hAnsi="微软雅黑" w:hint="eastAsia"/>
          <w:szCs w:val="21"/>
        </w:rPr>
        <w:t>，</w:t>
      </w:r>
      <w:r w:rsidR="008E40BB">
        <w:rPr>
          <w:rFonts w:ascii="微软雅黑" w:eastAsia="微软雅黑" w:hAnsi="微软雅黑" w:hint="eastAsia"/>
          <w:szCs w:val="21"/>
        </w:rPr>
        <w:t>则</w:t>
      </w:r>
      <w:r w:rsidR="00193505">
        <w:rPr>
          <w:rFonts w:ascii="微软雅黑" w:eastAsia="微软雅黑" w:hAnsi="微软雅黑" w:hint="eastAsia"/>
          <w:szCs w:val="21"/>
        </w:rPr>
        <w:t>未必</w:t>
      </w:r>
      <w:r w:rsidR="00997B91">
        <w:rPr>
          <w:rFonts w:ascii="微软雅黑" w:eastAsia="微软雅黑" w:hAnsi="微软雅黑" w:hint="eastAsia"/>
          <w:szCs w:val="21"/>
        </w:rPr>
        <w:t>会使用</w:t>
      </w:r>
      <w:r w:rsidR="00EF142A">
        <w:rPr>
          <w:rFonts w:ascii="微软雅黑" w:eastAsia="微软雅黑" w:hAnsi="微软雅黑" w:hint="eastAsia"/>
          <w:szCs w:val="21"/>
        </w:rPr>
        <w:t>传统</w:t>
      </w:r>
      <w:r w:rsidR="00193505">
        <w:rPr>
          <w:rFonts w:ascii="微软雅黑" w:eastAsia="微软雅黑" w:hAnsi="微软雅黑" w:hint="eastAsia"/>
          <w:szCs w:val="21"/>
        </w:rPr>
        <w:t>PC</w:t>
      </w:r>
      <w:r w:rsidR="00D96DCF">
        <w:rPr>
          <w:rFonts w:ascii="微软雅黑" w:eastAsia="微软雅黑" w:hAnsi="微软雅黑" w:hint="eastAsia"/>
          <w:szCs w:val="21"/>
        </w:rPr>
        <w:t>去</w:t>
      </w:r>
      <w:r w:rsidR="00193505">
        <w:rPr>
          <w:rFonts w:ascii="微软雅黑" w:eastAsia="微软雅黑" w:hAnsi="微软雅黑" w:hint="eastAsia"/>
          <w:szCs w:val="21"/>
        </w:rPr>
        <w:t>上网。</w:t>
      </w:r>
      <w:r w:rsidR="00997B91">
        <w:rPr>
          <w:rFonts w:ascii="微软雅黑" w:eastAsia="微软雅黑" w:hAnsi="微软雅黑" w:hint="eastAsia"/>
          <w:szCs w:val="21"/>
        </w:rPr>
        <w:t>鉴于此，</w:t>
      </w:r>
      <w:r w:rsidR="00D96DCF">
        <w:rPr>
          <w:rFonts w:ascii="微软雅黑" w:eastAsia="微软雅黑" w:hAnsi="微软雅黑" w:hint="eastAsia"/>
          <w:szCs w:val="21"/>
        </w:rPr>
        <w:t>从</w:t>
      </w:r>
      <w:r w:rsidR="00997B91">
        <w:rPr>
          <w:rFonts w:ascii="微软雅黑" w:eastAsia="微软雅黑" w:hAnsi="微软雅黑" w:hint="eastAsia"/>
          <w:szCs w:val="21"/>
        </w:rPr>
        <w:t>各类移动智能终端设备</w:t>
      </w:r>
      <w:r w:rsidR="00D96DCF">
        <w:rPr>
          <w:rFonts w:ascii="微软雅黑" w:eastAsia="微软雅黑" w:hAnsi="微软雅黑"/>
          <w:szCs w:val="21"/>
        </w:rPr>
        <w:t>数量</w:t>
      </w:r>
      <w:r w:rsidR="0068702F">
        <w:rPr>
          <w:rFonts w:ascii="微软雅黑" w:eastAsia="微软雅黑" w:hAnsi="微软雅黑"/>
          <w:szCs w:val="21"/>
        </w:rPr>
        <w:t>的</w:t>
      </w:r>
      <w:r w:rsidR="00D96DCF">
        <w:rPr>
          <w:rFonts w:ascii="微软雅黑" w:eastAsia="微软雅黑" w:hAnsi="微软雅黑"/>
          <w:szCs w:val="21"/>
        </w:rPr>
        <w:t>角度去预测陕西省网民规模</w:t>
      </w:r>
      <w:r w:rsidR="00D96DCF">
        <w:rPr>
          <w:rFonts w:ascii="微软雅黑" w:eastAsia="微软雅黑" w:hAnsi="微软雅黑" w:hint="eastAsia"/>
          <w:szCs w:val="21"/>
        </w:rPr>
        <w:t>，</w:t>
      </w:r>
      <w:r w:rsidR="00D96DCF">
        <w:rPr>
          <w:rFonts w:ascii="微软雅黑" w:eastAsia="微软雅黑" w:hAnsi="微软雅黑"/>
          <w:szCs w:val="21"/>
        </w:rPr>
        <w:t>能</w:t>
      </w:r>
      <w:r w:rsidR="00997B91">
        <w:rPr>
          <w:rFonts w:ascii="微软雅黑" w:eastAsia="微软雅黑" w:hAnsi="微软雅黑"/>
          <w:szCs w:val="21"/>
        </w:rPr>
        <w:t>更真实</w:t>
      </w:r>
      <w:r w:rsidR="00D96DCF">
        <w:rPr>
          <w:rFonts w:ascii="微软雅黑" w:eastAsia="微软雅黑" w:hAnsi="微软雅黑"/>
          <w:szCs w:val="21"/>
        </w:rPr>
        <w:t>的</w:t>
      </w:r>
      <w:r w:rsidR="00997B91">
        <w:rPr>
          <w:rFonts w:ascii="微软雅黑" w:eastAsia="微软雅黑" w:hAnsi="微软雅黑"/>
          <w:szCs w:val="21"/>
        </w:rPr>
        <w:t>反应</w:t>
      </w:r>
      <w:r w:rsidR="0068702F">
        <w:rPr>
          <w:rFonts w:ascii="微软雅黑" w:eastAsia="微软雅黑" w:hAnsi="微软雅黑"/>
          <w:szCs w:val="21"/>
        </w:rPr>
        <w:t>全省</w:t>
      </w:r>
      <w:r w:rsidR="00997B91">
        <w:rPr>
          <w:rFonts w:ascii="微软雅黑" w:eastAsia="微软雅黑" w:hAnsi="微软雅黑"/>
          <w:szCs w:val="21"/>
        </w:rPr>
        <w:t>网民</w:t>
      </w:r>
      <w:r w:rsidR="0068702F">
        <w:rPr>
          <w:rFonts w:ascii="微软雅黑" w:eastAsia="微软雅黑" w:hAnsi="微软雅黑"/>
          <w:szCs w:val="21"/>
        </w:rPr>
        <w:t>规模</w:t>
      </w:r>
      <w:r w:rsidR="00997B91">
        <w:rPr>
          <w:rFonts w:ascii="微软雅黑" w:eastAsia="微软雅黑" w:hAnsi="微软雅黑"/>
          <w:szCs w:val="21"/>
        </w:rPr>
        <w:t>数量</w:t>
      </w:r>
      <w:r w:rsidR="00997B91">
        <w:rPr>
          <w:rFonts w:ascii="微软雅黑" w:eastAsia="微软雅黑" w:hAnsi="微软雅黑" w:hint="eastAsia"/>
          <w:szCs w:val="21"/>
        </w:rPr>
        <w:t>。</w:t>
      </w:r>
    </w:p>
    <w:p w:rsidR="00714C8A" w:rsidRDefault="00714C8A" w:rsidP="00714C8A">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按照上述思路，本报告结合陕西省常住人口总量、陕西省3G、4G用户数量、陕西省独立移动设备数量，以及陕西省的人口年龄结构等指标来综合测算全省网民规模。根据预测，截至2017年12月，陕西省网民规模达到2899.9万人；按2017年末陕西省3835.4万人的常住人口计算，全省的互联网普及率达到75.6%。</w:t>
      </w:r>
    </w:p>
    <w:p w:rsidR="00A310C8" w:rsidRDefault="00714C8A" w:rsidP="00F17E7C">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相关测算过程如下：</w:t>
      </w:r>
    </w:p>
    <w:p w:rsidR="0068702F" w:rsidRDefault="0068702F" w:rsidP="0068702F">
      <w:pPr>
        <w:widowControl/>
        <w:spacing w:line="400" w:lineRule="exact"/>
        <w:ind w:firstLineChars="200" w:firstLine="420"/>
        <w:jc w:val="left"/>
        <w:rPr>
          <w:rFonts w:ascii="微软雅黑" w:eastAsia="微软雅黑" w:hAnsi="微软雅黑"/>
          <w:b/>
          <w:szCs w:val="21"/>
        </w:rPr>
      </w:pPr>
      <w:r w:rsidRPr="00A647C4">
        <w:rPr>
          <w:rFonts w:ascii="微软雅黑" w:eastAsia="微软雅黑" w:hAnsi="微软雅黑" w:hint="eastAsia"/>
          <w:b/>
          <w:szCs w:val="21"/>
        </w:rPr>
        <w:t>（</w:t>
      </w:r>
      <w:r w:rsidRPr="00A647C4">
        <w:rPr>
          <w:rFonts w:ascii="微软雅黑" w:eastAsia="微软雅黑" w:hAnsi="微软雅黑"/>
          <w:b/>
          <w:szCs w:val="21"/>
        </w:rPr>
        <w:t>1）</w:t>
      </w:r>
      <w:r w:rsidRPr="00A647C4">
        <w:rPr>
          <w:rFonts w:ascii="微软雅黑" w:eastAsia="微软雅黑" w:hAnsi="微软雅黑" w:hint="eastAsia"/>
          <w:b/>
          <w:szCs w:val="21"/>
        </w:rPr>
        <w:t>根据</w:t>
      </w:r>
      <w:r>
        <w:rPr>
          <w:rFonts w:ascii="微软雅黑" w:eastAsia="微软雅黑" w:hAnsi="微软雅黑" w:hint="eastAsia"/>
          <w:b/>
          <w:szCs w:val="21"/>
        </w:rPr>
        <w:t>不同的数据源，分别计算截至2017年12月的网民规模</w:t>
      </w:r>
    </w:p>
    <w:p w:rsidR="0068702F" w:rsidRPr="003F3263" w:rsidRDefault="00EA0D3B" w:rsidP="0068702F">
      <w:pPr>
        <w:widowControl/>
        <w:spacing w:line="400" w:lineRule="exact"/>
        <w:ind w:firstLineChars="200" w:firstLine="420"/>
        <w:jc w:val="left"/>
        <w:rPr>
          <w:rFonts w:ascii="微软雅黑" w:eastAsia="微软雅黑" w:hAnsi="微软雅黑"/>
          <w:b/>
          <w:szCs w:val="21"/>
        </w:rPr>
      </w:pPr>
      <w:r w:rsidRPr="004A236E">
        <w:rPr>
          <w:rFonts w:ascii="微软雅黑" w:eastAsia="微软雅黑" w:hAnsi="微软雅黑" w:hint="eastAsia"/>
          <w:b/>
          <w:szCs w:val="21"/>
        </w:rPr>
        <w:t>方法一：</w:t>
      </w:r>
      <w:r w:rsidR="0068702F" w:rsidRPr="004A236E">
        <w:rPr>
          <w:rFonts w:ascii="微软雅黑" w:eastAsia="微软雅黑" w:hAnsi="微软雅黑" w:hint="eastAsia"/>
          <w:b/>
          <w:szCs w:val="21"/>
        </w:rPr>
        <w:t>结合</w:t>
      </w:r>
      <w:r w:rsidR="0068702F" w:rsidRPr="00FF4A1D">
        <w:rPr>
          <w:rFonts w:ascii="微软雅黑" w:eastAsia="微软雅黑" w:hAnsi="微软雅黑" w:hint="eastAsia"/>
          <w:b/>
          <w:szCs w:val="21"/>
        </w:rPr>
        <w:t>艾瑞</w:t>
      </w:r>
      <w:r w:rsidR="0068702F" w:rsidRPr="00FF4A1D">
        <w:rPr>
          <w:rFonts w:ascii="微软雅黑" w:eastAsia="微软雅黑" w:hAnsi="微软雅黑"/>
          <w:b/>
          <w:szCs w:val="21"/>
        </w:rPr>
        <w:t>MUT监测数据</w:t>
      </w:r>
      <w:r w:rsidR="0068702F" w:rsidRPr="003F3263">
        <w:rPr>
          <w:rFonts w:ascii="微软雅黑" w:eastAsia="微软雅黑" w:hAnsi="微软雅黑" w:hint="eastAsia"/>
          <w:b/>
          <w:szCs w:val="21"/>
        </w:rPr>
        <w:t>进行计算</w:t>
      </w:r>
    </w:p>
    <w:p w:rsidR="0068702F" w:rsidRPr="003F3263" w:rsidRDefault="006137B6"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计算</w:t>
      </w:r>
      <w:r w:rsidR="0068702F" w:rsidRPr="003F3263">
        <w:rPr>
          <w:rFonts w:ascii="微软雅黑" w:eastAsia="微软雅黑" w:hAnsi="微软雅黑" w:hint="eastAsia"/>
          <w:szCs w:val="21"/>
        </w:rPr>
        <w:t>基本公式：</w:t>
      </w:r>
      <w:r w:rsidR="0068702F" w:rsidRPr="004A236E">
        <w:rPr>
          <w:rFonts w:ascii="微软雅黑" w:eastAsia="微软雅黑" w:hAnsi="微软雅黑" w:hint="eastAsia"/>
          <w:szCs w:val="21"/>
        </w:rPr>
        <w:t>陕西省网民数量=</w:t>
      </w:r>
      <w:r w:rsidR="0068702F" w:rsidRPr="00FF4A1D">
        <w:rPr>
          <w:rFonts w:ascii="微软雅黑" w:eastAsia="微软雅黑" w:hAnsi="微软雅黑" w:hint="eastAsia"/>
          <w:szCs w:val="21"/>
        </w:rPr>
        <w:t>（月独立设备数量×手机设备占比）/陕西省人均拥有移动电话数量</w:t>
      </w:r>
      <w:r w:rsidR="0068702F" w:rsidRPr="003F3263">
        <w:rPr>
          <w:rFonts w:ascii="微软雅黑" w:eastAsia="微软雅黑" w:hAnsi="微软雅黑" w:hint="eastAsia"/>
          <w:szCs w:val="21"/>
        </w:rPr>
        <w:t>；</w:t>
      </w:r>
    </w:p>
    <w:p w:rsidR="0068702F" w:rsidRPr="003F3263" w:rsidRDefault="006137B6"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主要</w:t>
      </w:r>
      <w:r w:rsidR="0068702F" w:rsidRPr="003F3263">
        <w:rPr>
          <w:rFonts w:ascii="微软雅黑" w:eastAsia="微软雅黑" w:hAnsi="微软雅黑" w:hint="eastAsia"/>
          <w:szCs w:val="21"/>
        </w:rPr>
        <w:t>指标说明：</w:t>
      </w:r>
    </w:p>
    <w:p w:rsidR="0068702F" w:rsidRPr="003F3263"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月独立设备数量：</w:t>
      </w:r>
      <w:r w:rsidRPr="004A236E">
        <w:rPr>
          <w:rFonts w:ascii="微软雅黑" w:eastAsia="微软雅黑" w:hAnsi="微软雅黑" w:hint="eastAsia"/>
          <w:szCs w:val="21"/>
        </w:rPr>
        <w:t>指艾瑞mut</w:t>
      </w:r>
      <w:r w:rsidRPr="00FF4A1D">
        <w:rPr>
          <w:rFonts w:ascii="微软雅黑" w:eastAsia="微软雅黑" w:hAnsi="微软雅黑" w:hint="eastAsia"/>
          <w:szCs w:val="21"/>
        </w:rPr>
        <w:t>数据产品监测到的陕西省移动端网民月独立设备数；截至2017年</w:t>
      </w:r>
      <w:r w:rsidRPr="003F3263">
        <w:rPr>
          <w:rFonts w:ascii="微软雅黑" w:eastAsia="微软雅黑" w:hAnsi="微软雅黑" w:hint="eastAsia"/>
          <w:szCs w:val="21"/>
        </w:rPr>
        <w:t>12月，陕西省月独立设备数达到3717.8万台；</w:t>
      </w:r>
    </w:p>
    <w:p w:rsidR="0068702F" w:rsidRPr="003F3263"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手机设备占比：</w:t>
      </w:r>
      <w:r w:rsidRPr="004A236E">
        <w:rPr>
          <w:rFonts w:ascii="微软雅黑" w:eastAsia="微软雅黑" w:hAnsi="微软雅黑" w:hint="eastAsia"/>
          <w:szCs w:val="21"/>
        </w:rPr>
        <w:t>指艾瑞mut</w:t>
      </w:r>
      <w:r w:rsidRPr="00FF4A1D">
        <w:rPr>
          <w:rFonts w:ascii="微软雅黑" w:eastAsia="微软雅黑" w:hAnsi="微软雅黑" w:hint="eastAsia"/>
          <w:szCs w:val="21"/>
        </w:rPr>
        <w:t>数据产品监测到的移动设备中，手机和PAD的数量比例；截至</w:t>
      </w:r>
      <w:r w:rsidRPr="003F3263">
        <w:rPr>
          <w:rFonts w:ascii="微软雅黑" w:eastAsia="微软雅黑" w:hAnsi="微软雅黑" w:hint="eastAsia"/>
          <w:szCs w:val="21"/>
        </w:rPr>
        <w:t>2017年12月，陕西省月独立设备中手机占比为90.8%；</w:t>
      </w:r>
    </w:p>
    <w:p w:rsidR="0068702F" w:rsidRPr="003F3263"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陕西省人均拥有移动电话数量：</w:t>
      </w:r>
      <w:r w:rsidRPr="004A236E">
        <w:rPr>
          <w:rFonts w:ascii="微软雅黑" w:eastAsia="微软雅黑" w:hAnsi="微软雅黑" w:hint="eastAsia"/>
          <w:szCs w:val="21"/>
        </w:rPr>
        <w:t>根据陕西省统计公报数据，2017年末</w:t>
      </w:r>
      <w:r w:rsidRPr="00212E6E">
        <w:rPr>
          <w:rFonts w:ascii="微软雅黑" w:eastAsia="微软雅黑" w:hAnsi="微软雅黑" w:hint="eastAsia"/>
          <w:szCs w:val="21"/>
        </w:rPr>
        <w:t>全省移动电话用户4220.61</w:t>
      </w:r>
      <w:r w:rsidRPr="00FF4A1D">
        <w:rPr>
          <w:rFonts w:ascii="微软雅黑" w:eastAsia="微软雅黑" w:hAnsi="微软雅黑" w:hint="eastAsia"/>
          <w:szCs w:val="21"/>
        </w:rPr>
        <w:t>万户，全省常住人口为3835.44万人，计算得到人均拥有电话数量为1.10台；</w:t>
      </w:r>
    </w:p>
    <w:p w:rsidR="0068702F" w:rsidRPr="004A236E"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因此，陕西省网民数量</w:t>
      </w:r>
      <w:r w:rsidRPr="003F3263">
        <w:rPr>
          <w:rFonts w:ascii="微软雅黑" w:eastAsia="微软雅黑" w:hAnsi="微软雅黑"/>
          <w:szCs w:val="21"/>
        </w:rPr>
        <w:t>=3717.8×90.8%/1.1=3067.69（万人）</w:t>
      </w:r>
    </w:p>
    <w:p w:rsidR="0068702F" w:rsidRPr="004A236E" w:rsidRDefault="006137B6" w:rsidP="0068702F">
      <w:pPr>
        <w:widowControl/>
        <w:spacing w:line="400" w:lineRule="exact"/>
        <w:ind w:firstLineChars="200" w:firstLine="420"/>
        <w:jc w:val="left"/>
        <w:rPr>
          <w:rFonts w:ascii="微软雅黑" w:eastAsia="微软雅黑" w:hAnsi="微软雅黑"/>
          <w:b/>
          <w:szCs w:val="21"/>
        </w:rPr>
      </w:pPr>
      <w:r w:rsidRPr="004A236E">
        <w:rPr>
          <w:rFonts w:ascii="微软雅黑" w:eastAsia="微软雅黑" w:hAnsi="微软雅黑" w:hint="eastAsia"/>
          <w:b/>
          <w:szCs w:val="21"/>
        </w:rPr>
        <w:t>方法二</w:t>
      </w:r>
      <w:r w:rsidR="00196789" w:rsidRPr="004A236E">
        <w:rPr>
          <w:rFonts w:ascii="微软雅黑" w:eastAsia="微软雅黑" w:hAnsi="微软雅黑" w:hint="eastAsia"/>
          <w:b/>
          <w:szCs w:val="21"/>
        </w:rPr>
        <w:t>：</w:t>
      </w:r>
      <w:r w:rsidR="00196789" w:rsidRPr="00212E6E">
        <w:rPr>
          <w:rFonts w:ascii="微软雅黑" w:eastAsia="微软雅黑" w:hAnsi="微软雅黑" w:hint="eastAsia"/>
          <w:b/>
          <w:szCs w:val="21"/>
        </w:rPr>
        <w:t>结合</w:t>
      </w:r>
      <w:r w:rsidR="0068702F" w:rsidRPr="00212E6E">
        <w:rPr>
          <w:rFonts w:ascii="微软雅黑" w:eastAsia="微软雅黑" w:hAnsi="微软雅黑"/>
          <w:b/>
          <w:szCs w:val="21"/>
        </w:rPr>
        <w:t>3G+4G</w:t>
      </w:r>
      <w:r w:rsidR="00196789" w:rsidRPr="00212E6E">
        <w:rPr>
          <w:rFonts w:ascii="微软雅黑" w:eastAsia="微软雅黑" w:hAnsi="微软雅黑" w:hint="eastAsia"/>
          <w:b/>
          <w:szCs w:val="21"/>
        </w:rPr>
        <w:t>用户规模计算（</w:t>
      </w:r>
      <w:r w:rsidR="00196789" w:rsidRPr="003F3263">
        <w:rPr>
          <w:rFonts w:ascii="微软雅黑" w:eastAsia="微软雅黑" w:hAnsi="微软雅黑" w:hint="eastAsia"/>
          <w:b/>
          <w:szCs w:val="21"/>
        </w:rPr>
        <w:t>假设3G和4G用户都有上网行为</w:t>
      </w:r>
      <w:r w:rsidR="00196789" w:rsidRPr="004A236E">
        <w:rPr>
          <w:rFonts w:ascii="微软雅黑" w:eastAsia="微软雅黑" w:hAnsi="微软雅黑" w:hint="eastAsia"/>
          <w:b/>
          <w:szCs w:val="21"/>
        </w:rPr>
        <w:t>）</w:t>
      </w:r>
    </w:p>
    <w:p w:rsidR="00196789" w:rsidRPr="00FF4A1D" w:rsidRDefault="00196789"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计算基本</w:t>
      </w:r>
      <w:r w:rsidR="0068702F" w:rsidRPr="003F3263">
        <w:rPr>
          <w:rFonts w:ascii="微软雅黑" w:eastAsia="微软雅黑" w:hAnsi="微软雅黑" w:hint="eastAsia"/>
          <w:szCs w:val="21"/>
        </w:rPr>
        <w:t>公式：</w:t>
      </w:r>
      <w:r w:rsidR="0068702F" w:rsidRPr="004A236E">
        <w:rPr>
          <w:rFonts w:ascii="微软雅黑" w:eastAsia="微软雅黑" w:hAnsi="微软雅黑" w:hint="eastAsia"/>
          <w:szCs w:val="21"/>
        </w:rPr>
        <w:t>陕西省网民数量=</w:t>
      </w:r>
      <w:r w:rsidRPr="004A236E">
        <w:rPr>
          <w:rFonts w:ascii="微软雅黑" w:eastAsia="微软雅黑" w:hAnsi="微软雅黑" w:hint="eastAsia"/>
          <w:szCs w:val="21"/>
        </w:rPr>
        <w:t>（全省</w:t>
      </w:r>
      <w:r w:rsidR="0068702F" w:rsidRPr="00212E6E">
        <w:rPr>
          <w:rFonts w:ascii="微软雅黑" w:eastAsia="微软雅黑" w:hAnsi="微软雅黑" w:hint="eastAsia"/>
          <w:szCs w:val="21"/>
        </w:rPr>
        <w:t>3G用户</w:t>
      </w:r>
      <w:r w:rsidRPr="00212E6E">
        <w:rPr>
          <w:rFonts w:ascii="微软雅黑" w:eastAsia="微软雅黑" w:hAnsi="微软雅黑" w:hint="eastAsia"/>
          <w:szCs w:val="21"/>
        </w:rPr>
        <w:t>规模</w:t>
      </w:r>
      <w:r w:rsidR="0068702F" w:rsidRPr="00212E6E">
        <w:rPr>
          <w:rFonts w:ascii="微软雅黑" w:eastAsia="微软雅黑" w:hAnsi="微软雅黑" w:hint="eastAsia"/>
          <w:szCs w:val="21"/>
        </w:rPr>
        <w:t>+4G</w:t>
      </w:r>
      <w:r w:rsidRPr="00212E6E">
        <w:rPr>
          <w:rFonts w:ascii="微软雅黑" w:eastAsia="微软雅黑" w:hAnsi="微软雅黑" w:hint="eastAsia"/>
          <w:szCs w:val="21"/>
        </w:rPr>
        <w:t>规模</w:t>
      </w:r>
      <w:r w:rsidR="0068702F" w:rsidRPr="00212E6E">
        <w:rPr>
          <w:rFonts w:ascii="微软雅黑" w:eastAsia="微软雅黑" w:hAnsi="微软雅黑" w:hint="eastAsia"/>
          <w:szCs w:val="21"/>
        </w:rPr>
        <w:t>）/陕西省人均拥有移动电话数量</w:t>
      </w:r>
      <w:r w:rsidRPr="00FF4A1D">
        <w:rPr>
          <w:rFonts w:ascii="微软雅黑" w:eastAsia="微软雅黑" w:hAnsi="微软雅黑" w:hint="eastAsia"/>
          <w:szCs w:val="21"/>
        </w:rPr>
        <w:t>；</w:t>
      </w:r>
    </w:p>
    <w:p w:rsidR="00196789" w:rsidRPr="003F3263" w:rsidRDefault="00196789"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主要指标说明：</w:t>
      </w:r>
    </w:p>
    <w:p w:rsidR="0068702F" w:rsidRPr="00212E6E"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szCs w:val="21"/>
        </w:rPr>
        <w:t>3G用户：</w:t>
      </w:r>
      <w:r w:rsidRPr="004A236E">
        <w:rPr>
          <w:rFonts w:ascii="微软雅黑" w:eastAsia="微软雅黑" w:hAnsi="微软雅黑" w:hint="eastAsia"/>
          <w:szCs w:val="21"/>
        </w:rPr>
        <w:t>根据陕西省统计公报数据，2017年末全省</w:t>
      </w:r>
      <w:r w:rsidRPr="00212E6E">
        <w:rPr>
          <w:rFonts w:ascii="微软雅黑" w:eastAsia="微软雅黑" w:hAnsi="微软雅黑" w:hint="eastAsia"/>
          <w:szCs w:val="21"/>
        </w:rPr>
        <w:t>3G移动电话用户349.85万户；</w:t>
      </w:r>
    </w:p>
    <w:p w:rsidR="0068702F" w:rsidRPr="00212E6E"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szCs w:val="21"/>
        </w:rPr>
        <w:t>4G用户：</w:t>
      </w:r>
      <w:r w:rsidRPr="004A236E">
        <w:rPr>
          <w:rFonts w:ascii="微软雅黑" w:eastAsia="微软雅黑" w:hAnsi="微软雅黑" w:hint="eastAsia"/>
          <w:szCs w:val="21"/>
        </w:rPr>
        <w:t>根据陕西省统计公报数据，2017年末全省</w:t>
      </w:r>
      <w:r w:rsidRPr="00212E6E">
        <w:rPr>
          <w:rFonts w:ascii="微软雅黑" w:eastAsia="微软雅黑" w:hAnsi="微软雅黑" w:hint="eastAsia"/>
          <w:szCs w:val="21"/>
        </w:rPr>
        <w:t>4G移动电话用户3169.57万户；</w:t>
      </w:r>
    </w:p>
    <w:p w:rsidR="0068702F" w:rsidRPr="003F3263" w:rsidRDefault="00740324" w:rsidP="0068702F">
      <w:pPr>
        <w:widowControl/>
        <w:spacing w:line="400" w:lineRule="exact"/>
        <w:ind w:firstLineChars="200" w:firstLine="420"/>
        <w:jc w:val="left"/>
        <w:rPr>
          <w:rFonts w:ascii="微软雅黑" w:eastAsia="微软雅黑" w:hAnsi="微软雅黑"/>
          <w:szCs w:val="21"/>
        </w:rPr>
      </w:pPr>
      <w:r w:rsidRPr="00212E6E">
        <w:rPr>
          <w:rFonts w:ascii="微软雅黑" w:eastAsia="微软雅黑" w:hAnsi="微软雅黑" w:hint="eastAsia"/>
          <w:szCs w:val="21"/>
        </w:rPr>
        <w:t>因此，</w:t>
      </w:r>
      <w:r w:rsidR="0068702F" w:rsidRPr="003F3263">
        <w:rPr>
          <w:rFonts w:ascii="微软雅黑" w:eastAsia="微软雅黑" w:hAnsi="微软雅黑" w:hint="eastAsia"/>
          <w:szCs w:val="21"/>
        </w:rPr>
        <w:t>陕西省网民数量</w:t>
      </w:r>
      <w:r w:rsidR="0068702F" w:rsidRPr="003F3263">
        <w:rPr>
          <w:rFonts w:ascii="微软雅黑" w:eastAsia="微软雅黑" w:hAnsi="微软雅黑"/>
          <w:szCs w:val="21"/>
        </w:rPr>
        <w:t>=（349.85+3169.57）/1.1=3198.24（万人）</w:t>
      </w:r>
    </w:p>
    <w:p w:rsidR="0068702F" w:rsidRPr="00212E6E" w:rsidRDefault="00740324" w:rsidP="0068702F">
      <w:pPr>
        <w:widowControl/>
        <w:spacing w:line="400" w:lineRule="exact"/>
        <w:ind w:firstLineChars="200" w:firstLine="420"/>
        <w:jc w:val="left"/>
        <w:rPr>
          <w:rFonts w:ascii="微软雅黑" w:eastAsia="微软雅黑" w:hAnsi="微软雅黑"/>
          <w:b/>
          <w:szCs w:val="21"/>
        </w:rPr>
      </w:pPr>
      <w:r w:rsidRPr="004A236E">
        <w:rPr>
          <w:rFonts w:ascii="微软雅黑" w:eastAsia="微软雅黑" w:hAnsi="微软雅黑" w:hint="eastAsia"/>
          <w:b/>
          <w:szCs w:val="21"/>
        </w:rPr>
        <w:t>方法三：</w:t>
      </w:r>
      <w:r w:rsidR="0068702F" w:rsidRPr="00212E6E">
        <w:rPr>
          <w:rFonts w:ascii="微软雅黑" w:eastAsia="微软雅黑" w:hAnsi="微软雅黑" w:hint="eastAsia"/>
          <w:b/>
          <w:szCs w:val="21"/>
        </w:rPr>
        <w:t>根据陕西省人口年龄结构计算网民规模</w:t>
      </w:r>
    </w:p>
    <w:p w:rsidR="0068702F" w:rsidRPr="00FF4A1D" w:rsidRDefault="00740324"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计算基本</w:t>
      </w:r>
      <w:r w:rsidR="0068702F" w:rsidRPr="003F3263">
        <w:rPr>
          <w:rFonts w:ascii="微软雅黑" w:eastAsia="微软雅黑" w:hAnsi="微软雅黑" w:hint="eastAsia"/>
          <w:szCs w:val="21"/>
        </w:rPr>
        <w:t>公式：</w:t>
      </w:r>
      <w:r w:rsidR="0068702F" w:rsidRPr="004A236E">
        <w:rPr>
          <w:rFonts w:ascii="微软雅黑" w:eastAsia="微软雅黑" w:hAnsi="微软雅黑" w:hint="eastAsia"/>
          <w:szCs w:val="21"/>
        </w:rPr>
        <w:t>陕西省网民数量=（</w:t>
      </w:r>
      <w:r w:rsidR="00C44AE9">
        <w:rPr>
          <w:rFonts w:ascii="微软雅黑" w:eastAsia="微软雅黑" w:hAnsi="微软雅黑" w:hint="eastAsia"/>
          <w:szCs w:val="21"/>
        </w:rPr>
        <w:t>常住</w:t>
      </w:r>
      <w:r w:rsidR="0068702F" w:rsidRPr="004A236E">
        <w:rPr>
          <w:rFonts w:ascii="微软雅黑" w:eastAsia="微软雅黑" w:hAnsi="微软雅黑" w:hint="eastAsia"/>
          <w:szCs w:val="21"/>
        </w:rPr>
        <w:t>人口</w:t>
      </w:r>
      <w:r w:rsidR="0068702F" w:rsidRPr="00212E6E">
        <w:rPr>
          <w:rFonts w:ascii="微软雅黑" w:eastAsia="微软雅黑" w:hAnsi="微软雅黑" w:hint="eastAsia"/>
          <w:szCs w:val="21"/>
        </w:rPr>
        <w:t>-6岁及以下人口-60岁</w:t>
      </w:r>
      <w:r w:rsidR="007E5B01">
        <w:rPr>
          <w:rFonts w:ascii="微软雅黑" w:eastAsia="微软雅黑" w:hAnsi="微软雅黑" w:hint="eastAsia"/>
          <w:szCs w:val="21"/>
        </w:rPr>
        <w:t>及</w:t>
      </w:r>
      <w:r w:rsidR="0068702F" w:rsidRPr="00212E6E">
        <w:rPr>
          <w:rFonts w:ascii="微软雅黑" w:eastAsia="微软雅黑" w:hAnsi="微软雅黑" w:hint="eastAsia"/>
          <w:szCs w:val="21"/>
        </w:rPr>
        <w:t>以上人口）</w:t>
      </w:r>
      <w:r w:rsidRPr="00212E6E">
        <w:rPr>
          <w:rFonts w:ascii="微软雅黑" w:eastAsia="微软雅黑" w:hAnsi="微软雅黑" w:hint="eastAsia"/>
          <w:szCs w:val="21"/>
        </w:rPr>
        <w:t>×</w:t>
      </w:r>
      <w:r w:rsidR="0068702F" w:rsidRPr="00212E6E">
        <w:rPr>
          <w:rFonts w:ascii="微软雅黑" w:eastAsia="微软雅黑" w:hAnsi="微软雅黑" w:hint="eastAsia"/>
          <w:szCs w:val="21"/>
        </w:rPr>
        <w:t>人均3G和</w:t>
      </w:r>
      <w:r w:rsidR="0068702F" w:rsidRPr="00FF4A1D">
        <w:rPr>
          <w:rFonts w:ascii="微软雅黑" w:eastAsia="微软雅黑" w:hAnsi="微软雅黑" w:hint="eastAsia"/>
          <w:szCs w:val="21"/>
        </w:rPr>
        <w:t>4G数量/陕西省人均拥有移动电话数量</w:t>
      </w:r>
    </w:p>
    <w:p w:rsidR="00740324" w:rsidRPr="004A236E" w:rsidRDefault="00740324"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主要指标说明：</w:t>
      </w:r>
    </w:p>
    <w:p w:rsidR="0068702F" w:rsidRPr="00212E6E"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常住人口：</w:t>
      </w:r>
      <w:r w:rsidRPr="004A236E">
        <w:rPr>
          <w:rFonts w:ascii="微软雅黑" w:eastAsia="微软雅黑" w:hAnsi="微软雅黑" w:hint="eastAsia"/>
          <w:szCs w:val="21"/>
        </w:rPr>
        <w:t>根据陕西省统计公报数据，2017年末全省常住人口</w:t>
      </w:r>
      <w:r w:rsidRPr="00212E6E">
        <w:rPr>
          <w:rFonts w:ascii="微软雅黑" w:eastAsia="微软雅黑" w:hAnsi="微软雅黑" w:hint="eastAsia"/>
          <w:szCs w:val="21"/>
        </w:rPr>
        <w:t>3835.44万人；</w:t>
      </w:r>
    </w:p>
    <w:p w:rsidR="0068702F" w:rsidRPr="00212E6E"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szCs w:val="21"/>
        </w:rPr>
        <w:t>6岁及以下人口：</w:t>
      </w:r>
      <w:r w:rsidRPr="004A236E">
        <w:rPr>
          <w:rFonts w:ascii="微软雅黑" w:eastAsia="微软雅黑" w:hAnsi="微软雅黑" w:hint="eastAsia"/>
          <w:szCs w:val="21"/>
        </w:rPr>
        <w:t>根据陕西省历年人口出生率</w:t>
      </w:r>
      <w:r w:rsidR="00D12D0A" w:rsidRPr="004A236E">
        <w:rPr>
          <w:rFonts w:ascii="微软雅黑" w:eastAsia="微软雅黑" w:hAnsi="微软雅黑" w:hint="eastAsia"/>
          <w:szCs w:val="21"/>
        </w:rPr>
        <w:t>，</w:t>
      </w:r>
      <w:r w:rsidRPr="004A236E">
        <w:rPr>
          <w:rFonts w:ascii="微软雅黑" w:eastAsia="微软雅黑" w:hAnsi="微软雅黑" w:hint="eastAsia"/>
          <w:szCs w:val="21"/>
        </w:rPr>
        <w:t>计算的</w:t>
      </w:r>
      <w:r w:rsidRPr="00212E6E">
        <w:rPr>
          <w:rFonts w:ascii="微软雅黑" w:eastAsia="微软雅黑" w:hAnsi="微软雅黑" w:hint="eastAsia"/>
          <w:szCs w:val="21"/>
        </w:rPr>
        <w:t>6岁以下总人口为271.70万人；</w:t>
      </w:r>
    </w:p>
    <w:p w:rsidR="0068702F" w:rsidRPr="00212E6E"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szCs w:val="21"/>
        </w:rPr>
        <w:t>60岁</w:t>
      </w:r>
      <w:r w:rsidR="007E5B01">
        <w:rPr>
          <w:rFonts w:ascii="微软雅黑" w:eastAsia="微软雅黑" w:hAnsi="微软雅黑"/>
          <w:szCs w:val="21"/>
        </w:rPr>
        <w:t>及</w:t>
      </w:r>
      <w:r w:rsidRPr="003F3263">
        <w:rPr>
          <w:rFonts w:ascii="微软雅黑" w:eastAsia="微软雅黑" w:hAnsi="微软雅黑"/>
          <w:szCs w:val="21"/>
        </w:rPr>
        <w:t>以上人口：</w:t>
      </w:r>
      <w:r w:rsidRPr="004A236E">
        <w:rPr>
          <w:rFonts w:ascii="微软雅黑" w:eastAsia="微软雅黑" w:hAnsi="微软雅黑" w:hint="eastAsia"/>
          <w:szCs w:val="21"/>
        </w:rPr>
        <w:t>根据陕西省2017年人口发展报告，</w:t>
      </w:r>
      <w:r w:rsidRPr="00212E6E">
        <w:rPr>
          <w:rFonts w:ascii="微软雅黑" w:eastAsia="微软雅黑" w:hAnsi="微软雅黑" w:hint="eastAsia"/>
          <w:szCs w:val="21"/>
        </w:rPr>
        <w:t>2017年全省60岁及以上老年人口数量约645万人</w:t>
      </w:r>
      <w:r w:rsidR="0080729E" w:rsidRPr="00212E6E">
        <w:rPr>
          <w:rFonts w:ascii="微软雅黑" w:eastAsia="微软雅黑" w:hAnsi="微软雅黑" w:hint="eastAsia"/>
          <w:szCs w:val="21"/>
        </w:rPr>
        <w:t>。相对而言，</w:t>
      </w:r>
      <w:r w:rsidR="00212E6E">
        <w:rPr>
          <w:rFonts w:ascii="微软雅黑" w:eastAsia="微软雅黑" w:hAnsi="微软雅黑" w:hint="eastAsia"/>
          <w:szCs w:val="21"/>
        </w:rPr>
        <w:t>由于</w:t>
      </w:r>
      <w:r w:rsidR="0080729E" w:rsidRPr="00212E6E">
        <w:rPr>
          <w:rFonts w:ascii="微软雅黑" w:eastAsia="微软雅黑" w:hAnsi="微软雅黑" w:hint="eastAsia"/>
          <w:szCs w:val="21"/>
        </w:rPr>
        <w:t>60岁</w:t>
      </w:r>
      <w:r w:rsidR="007E5B01">
        <w:rPr>
          <w:rFonts w:ascii="微软雅黑" w:eastAsia="微软雅黑" w:hAnsi="微软雅黑" w:hint="eastAsia"/>
          <w:szCs w:val="21"/>
        </w:rPr>
        <w:t>及</w:t>
      </w:r>
      <w:r w:rsidR="0080729E" w:rsidRPr="00212E6E">
        <w:rPr>
          <w:rFonts w:ascii="微软雅黑" w:eastAsia="微软雅黑" w:hAnsi="微软雅黑" w:hint="eastAsia"/>
          <w:szCs w:val="21"/>
        </w:rPr>
        <w:t>以上年龄段人群对网络依赖程度较低，并不是互联网的主流使用人群</w:t>
      </w:r>
      <w:r w:rsidR="00E6058B">
        <w:rPr>
          <w:rFonts w:ascii="微软雅黑" w:eastAsia="微软雅黑" w:hAnsi="微软雅黑" w:hint="eastAsia"/>
          <w:szCs w:val="21"/>
        </w:rPr>
        <w:t>和典型用户</w:t>
      </w:r>
      <w:r w:rsidR="007E5B01">
        <w:rPr>
          <w:rFonts w:ascii="微软雅黑" w:eastAsia="微软雅黑" w:hAnsi="微软雅黑" w:hint="eastAsia"/>
          <w:szCs w:val="21"/>
        </w:rPr>
        <w:t>，</w:t>
      </w:r>
      <w:r w:rsidR="0080729E" w:rsidRPr="00212E6E">
        <w:rPr>
          <w:rFonts w:ascii="微软雅黑" w:eastAsia="微软雅黑" w:hAnsi="微软雅黑" w:hint="eastAsia"/>
          <w:szCs w:val="21"/>
        </w:rPr>
        <w:t>因此</w:t>
      </w:r>
      <w:r w:rsidR="00212E6E">
        <w:rPr>
          <w:rFonts w:ascii="微软雅黑" w:eastAsia="微软雅黑" w:hAnsi="微软雅黑" w:hint="eastAsia"/>
          <w:szCs w:val="21"/>
        </w:rPr>
        <w:t>艾瑞</w:t>
      </w:r>
      <w:r w:rsidR="0080729E" w:rsidRPr="00212E6E">
        <w:rPr>
          <w:rFonts w:ascii="微软雅黑" w:eastAsia="微软雅黑" w:hAnsi="微软雅黑" w:hint="eastAsia"/>
          <w:szCs w:val="21"/>
        </w:rPr>
        <w:t>在进行网民行为监测或相关</w:t>
      </w:r>
      <w:r w:rsidR="00212E6E">
        <w:rPr>
          <w:rFonts w:ascii="微软雅黑" w:eastAsia="微软雅黑" w:hAnsi="微软雅黑" w:hint="eastAsia"/>
          <w:szCs w:val="21"/>
        </w:rPr>
        <w:t>模型测算</w:t>
      </w:r>
      <w:r w:rsidR="0080729E" w:rsidRPr="00212E6E">
        <w:rPr>
          <w:rFonts w:ascii="微软雅黑" w:eastAsia="微软雅黑" w:hAnsi="微软雅黑" w:hint="eastAsia"/>
          <w:szCs w:val="21"/>
        </w:rPr>
        <w:t>时，</w:t>
      </w:r>
      <w:r w:rsidR="009A6C16">
        <w:rPr>
          <w:rFonts w:ascii="微软雅黑" w:eastAsia="微软雅黑" w:hAnsi="微软雅黑" w:hint="eastAsia"/>
          <w:szCs w:val="21"/>
        </w:rPr>
        <w:t>在能排除掉这个年龄段用户情况下</w:t>
      </w:r>
      <w:r w:rsidR="007E5B01">
        <w:rPr>
          <w:rFonts w:ascii="微软雅黑" w:eastAsia="微软雅黑" w:hAnsi="微软雅黑" w:hint="eastAsia"/>
          <w:szCs w:val="21"/>
        </w:rPr>
        <w:t>，</w:t>
      </w:r>
      <w:r w:rsidR="00212E6E">
        <w:rPr>
          <w:rFonts w:ascii="微软雅黑" w:eastAsia="微软雅黑" w:hAnsi="微软雅黑" w:hint="eastAsia"/>
          <w:szCs w:val="21"/>
        </w:rPr>
        <w:t>一般都</w:t>
      </w:r>
      <w:r w:rsidR="009A6C16">
        <w:rPr>
          <w:rFonts w:ascii="微软雅黑" w:eastAsia="微软雅黑" w:hAnsi="微软雅黑" w:hint="eastAsia"/>
          <w:szCs w:val="21"/>
        </w:rPr>
        <w:t>会去掉该年龄段用户。</w:t>
      </w:r>
    </w:p>
    <w:p w:rsidR="0068702F" w:rsidRPr="00FA5280" w:rsidRDefault="0068702F" w:rsidP="0068702F">
      <w:pPr>
        <w:widowControl/>
        <w:spacing w:line="400" w:lineRule="exact"/>
        <w:ind w:firstLineChars="200" w:firstLine="420"/>
        <w:jc w:val="left"/>
        <w:rPr>
          <w:rFonts w:ascii="微软雅黑" w:eastAsia="微软雅黑" w:hAnsi="微软雅黑"/>
          <w:szCs w:val="21"/>
        </w:rPr>
      </w:pPr>
      <w:r w:rsidRPr="003F3263">
        <w:rPr>
          <w:rFonts w:ascii="微软雅黑" w:eastAsia="微软雅黑" w:hAnsi="微软雅黑" w:hint="eastAsia"/>
          <w:szCs w:val="21"/>
        </w:rPr>
        <w:t>人均</w:t>
      </w:r>
      <w:r w:rsidRPr="003F3263">
        <w:rPr>
          <w:rFonts w:ascii="微软雅黑" w:eastAsia="微软雅黑" w:hAnsi="微软雅黑"/>
          <w:szCs w:val="21"/>
        </w:rPr>
        <w:t>3G和4G数量：</w:t>
      </w:r>
      <w:r w:rsidR="00FA5280">
        <w:rPr>
          <w:rFonts w:ascii="微软雅黑" w:eastAsia="微软雅黑" w:hAnsi="微软雅黑"/>
          <w:szCs w:val="21"/>
        </w:rPr>
        <w:t>陕西</w:t>
      </w:r>
      <w:r w:rsidRPr="004A236E">
        <w:rPr>
          <w:rFonts w:ascii="微软雅黑" w:eastAsia="微软雅黑" w:hAnsi="微软雅黑" w:hint="eastAsia"/>
          <w:szCs w:val="21"/>
        </w:rPr>
        <w:t>省3G、</w:t>
      </w:r>
      <w:r w:rsidRPr="00212E6E">
        <w:rPr>
          <w:rFonts w:ascii="微软雅黑" w:eastAsia="微软雅黑" w:hAnsi="微软雅黑" w:hint="eastAsia"/>
          <w:szCs w:val="21"/>
        </w:rPr>
        <w:t>4G用户总规模与常总人口的比值</w:t>
      </w:r>
      <w:r w:rsidR="00FA5280">
        <w:rPr>
          <w:rFonts w:ascii="微软雅黑" w:eastAsia="微软雅黑" w:hAnsi="微软雅黑" w:hint="eastAsia"/>
          <w:szCs w:val="21"/>
        </w:rPr>
        <w:t>；</w:t>
      </w:r>
      <w:r w:rsidR="0080729E" w:rsidRPr="00212E6E">
        <w:rPr>
          <w:rFonts w:ascii="微软雅黑" w:eastAsia="微软雅黑" w:hAnsi="微软雅黑" w:hint="eastAsia"/>
          <w:szCs w:val="21"/>
        </w:rPr>
        <w:t>根据陕西省2017</w:t>
      </w:r>
      <w:r w:rsidR="0080729E" w:rsidRPr="00FA5280">
        <w:rPr>
          <w:rFonts w:ascii="微软雅黑" w:eastAsia="微软雅黑" w:hAnsi="微软雅黑" w:hint="eastAsia"/>
          <w:szCs w:val="21"/>
        </w:rPr>
        <w:t>年度统计公报数据，</w:t>
      </w:r>
      <w:r w:rsidRPr="00FA5280">
        <w:rPr>
          <w:rFonts w:ascii="微软雅黑" w:eastAsia="微软雅黑" w:hAnsi="微软雅黑" w:hint="eastAsia"/>
          <w:szCs w:val="21"/>
        </w:rPr>
        <w:t>计算为0.9176；</w:t>
      </w:r>
    </w:p>
    <w:p w:rsidR="0068702F" w:rsidRPr="004A236E" w:rsidRDefault="0080729E" w:rsidP="0068702F">
      <w:pPr>
        <w:widowControl/>
        <w:spacing w:line="400" w:lineRule="exact"/>
        <w:ind w:firstLineChars="200" w:firstLine="420"/>
        <w:jc w:val="left"/>
        <w:rPr>
          <w:rFonts w:ascii="微软雅黑" w:eastAsia="微软雅黑" w:hAnsi="微软雅黑"/>
          <w:szCs w:val="21"/>
        </w:rPr>
      </w:pPr>
      <w:r w:rsidRPr="00FF4A1D">
        <w:rPr>
          <w:rFonts w:ascii="微软雅黑" w:eastAsia="微软雅黑" w:hAnsi="微软雅黑" w:hint="eastAsia"/>
          <w:szCs w:val="21"/>
        </w:rPr>
        <w:t>因此，</w:t>
      </w:r>
      <w:r w:rsidR="0068702F" w:rsidRPr="003F3263">
        <w:rPr>
          <w:rFonts w:ascii="微软雅黑" w:eastAsia="微软雅黑" w:hAnsi="微软雅黑" w:hint="eastAsia"/>
          <w:szCs w:val="21"/>
        </w:rPr>
        <w:t>陕西省网民数量</w:t>
      </w:r>
      <w:r w:rsidR="0068702F" w:rsidRPr="003F3263">
        <w:rPr>
          <w:rFonts w:ascii="微软雅黑" w:eastAsia="微软雅黑" w:hAnsi="微软雅黑"/>
          <w:szCs w:val="21"/>
        </w:rPr>
        <w:t>=（3835.44-271.70-645）×0.9176/1.1=2433.84（万人）</w:t>
      </w:r>
    </w:p>
    <w:p w:rsidR="0068702F" w:rsidRPr="003F3263" w:rsidRDefault="004A236E" w:rsidP="0068702F">
      <w:pPr>
        <w:widowControl/>
        <w:spacing w:line="400" w:lineRule="exact"/>
        <w:ind w:firstLineChars="200" w:firstLine="420"/>
        <w:jc w:val="left"/>
        <w:rPr>
          <w:rFonts w:ascii="微软雅黑" w:eastAsia="微软雅黑" w:hAnsi="微软雅黑"/>
          <w:b/>
          <w:szCs w:val="21"/>
        </w:rPr>
      </w:pPr>
      <w:r w:rsidRPr="003F3263">
        <w:rPr>
          <w:rFonts w:ascii="微软雅黑" w:eastAsia="微软雅黑" w:hAnsi="微软雅黑" w:hint="eastAsia"/>
          <w:b/>
          <w:szCs w:val="21"/>
        </w:rPr>
        <w:t>（2）</w:t>
      </w:r>
      <w:r w:rsidR="0068702F" w:rsidRPr="003F3263">
        <w:rPr>
          <w:rFonts w:ascii="微软雅黑" w:eastAsia="微软雅黑" w:hAnsi="微软雅黑" w:hint="eastAsia"/>
          <w:b/>
          <w:szCs w:val="21"/>
        </w:rPr>
        <w:t>对上述三种方法计算的网民</w:t>
      </w:r>
      <w:r>
        <w:rPr>
          <w:rFonts w:ascii="微软雅黑" w:eastAsia="微软雅黑" w:hAnsi="微软雅黑" w:hint="eastAsia"/>
          <w:b/>
          <w:szCs w:val="21"/>
        </w:rPr>
        <w:t>规模</w:t>
      </w:r>
      <w:r w:rsidR="0068702F" w:rsidRPr="003F3263">
        <w:rPr>
          <w:rFonts w:ascii="微软雅黑" w:eastAsia="微软雅黑" w:hAnsi="微软雅黑" w:hint="eastAsia"/>
          <w:b/>
          <w:szCs w:val="21"/>
        </w:rPr>
        <w:t>进行加权平均</w:t>
      </w:r>
    </w:p>
    <w:p w:rsidR="0068702F" w:rsidRPr="003F3263" w:rsidRDefault="0068702F" w:rsidP="0068702F">
      <w:pPr>
        <w:widowControl/>
        <w:spacing w:line="400" w:lineRule="exact"/>
        <w:ind w:firstLineChars="200" w:firstLine="420"/>
        <w:jc w:val="left"/>
        <w:rPr>
          <w:rFonts w:ascii="微软雅黑" w:eastAsia="微软雅黑" w:hAnsi="微软雅黑"/>
          <w:b/>
          <w:szCs w:val="21"/>
        </w:rPr>
      </w:pPr>
      <w:r w:rsidRPr="003F3263">
        <w:rPr>
          <w:rFonts w:ascii="微软雅黑" w:eastAsia="微软雅黑" w:hAnsi="微软雅黑" w:hint="eastAsia"/>
          <w:b/>
          <w:szCs w:val="21"/>
        </w:rPr>
        <w:t>陕西省网民数量=（3067.69+3198.24+2433.84）/3=2899.9（万人）</w:t>
      </w:r>
    </w:p>
    <w:p w:rsidR="0068702F" w:rsidRPr="003F3263" w:rsidRDefault="0068702F" w:rsidP="0068702F">
      <w:pPr>
        <w:widowControl/>
        <w:spacing w:line="400" w:lineRule="exact"/>
        <w:ind w:firstLineChars="200" w:firstLine="420"/>
        <w:jc w:val="left"/>
        <w:rPr>
          <w:rFonts w:ascii="微软雅黑" w:eastAsia="微软雅黑" w:hAnsi="微软雅黑"/>
          <w:b/>
          <w:szCs w:val="21"/>
        </w:rPr>
      </w:pPr>
      <w:r w:rsidRPr="003F3263">
        <w:rPr>
          <w:rFonts w:ascii="微软雅黑" w:eastAsia="微软雅黑" w:hAnsi="微软雅黑" w:hint="eastAsia"/>
          <w:b/>
          <w:szCs w:val="21"/>
        </w:rPr>
        <w:t>互联网普及率=陕西省网民数量/陕西省常住人口=2899.9/3835.44=75.6%</w:t>
      </w:r>
    </w:p>
    <w:p w:rsidR="00A36DDA" w:rsidRPr="009D423B" w:rsidRDefault="00A36DDA" w:rsidP="00A25E10">
      <w:pPr>
        <w:outlineLvl w:val="3"/>
        <w:rPr>
          <w:rFonts w:ascii="微软雅黑" w:eastAsia="微软雅黑" w:hAnsi="微软雅黑"/>
          <w:b/>
          <w:bCs/>
        </w:rPr>
      </w:pPr>
      <w:bookmarkStart w:id="5" w:name="_Toc524417967"/>
      <w:r w:rsidRPr="009D423B">
        <w:rPr>
          <w:rFonts w:ascii="微软雅黑" w:eastAsia="微软雅黑" w:hAnsi="微软雅黑"/>
          <w:b/>
          <w:bCs/>
        </w:rPr>
        <w:t>2.移动端独立设备数量</w:t>
      </w:r>
      <w:bookmarkEnd w:id="5"/>
    </w:p>
    <w:p w:rsidR="00072326" w:rsidRDefault="00A85AE8" w:rsidP="00E664AC">
      <w:pPr>
        <w:widowControl/>
        <w:spacing w:line="400" w:lineRule="exact"/>
        <w:ind w:firstLineChars="200" w:firstLine="420"/>
        <w:jc w:val="left"/>
        <w:rPr>
          <w:rFonts w:ascii="微软雅黑" w:eastAsia="微软雅黑" w:hAnsi="微软雅黑" w:cs="宋体"/>
          <w:bCs/>
          <w:szCs w:val="21"/>
        </w:rPr>
      </w:pPr>
      <w:r>
        <w:rPr>
          <w:rFonts w:ascii="微软雅黑" w:eastAsia="微软雅黑" w:hAnsi="微软雅黑" w:hint="eastAsia"/>
          <w:szCs w:val="21"/>
        </w:rPr>
        <w:t>2017年，陕西省</w:t>
      </w:r>
      <w:r w:rsidRPr="00A85AE8">
        <w:rPr>
          <w:rFonts w:ascii="微软雅黑" w:eastAsia="微软雅黑" w:hAnsi="微软雅黑" w:hint="eastAsia"/>
          <w:szCs w:val="21"/>
        </w:rPr>
        <w:t>年末移动电话用户</w:t>
      </w:r>
      <w:r>
        <w:rPr>
          <w:rFonts w:ascii="微软雅黑" w:eastAsia="微软雅黑" w:hAnsi="微软雅黑" w:hint="eastAsia"/>
          <w:szCs w:val="21"/>
        </w:rPr>
        <w:t>数量达4220.6</w:t>
      </w:r>
      <w:r w:rsidRPr="00A85AE8">
        <w:rPr>
          <w:rFonts w:ascii="微软雅黑" w:eastAsia="微软雅黑" w:hAnsi="微软雅黑" w:hint="eastAsia"/>
          <w:szCs w:val="21"/>
        </w:rPr>
        <w:t>万户</w:t>
      </w:r>
      <w:r>
        <w:rPr>
          <w:rFonts w:ascii="微软雅黑" w:eastAsia="微软雅黑" w:hAnsi="微软雅黑" w:hint="eastAsia"/>
          <w:szCs w:val="21"/>
        </w:rPr>
        <w:t>，较2016年增长10.7%。移动电话用户数量的持续增长，使得</w:t>
      </w:r>
      <w:r w:rsidRPr="009D423B">
        <w:rPr>
          <w:rFonts w:ascii="微软雅黑" w:eastAsia="微软雅黑" w:hAnsi="微软雅黑" w:hint="eastAsia"/>
          <w:szCs w:val="21"/>
        </w:rPr>
        <w:t>陕西省网民</w:t>
      </w:r>
      <w:r>
        <w:rPr>
          <w:rFonts w:ascii="微软雅黑" w:eastAsia="微软雅黑" w:hAnsi="微软雅黑" w:hint="eastAsia"/>
          <w:szCs w:val="21"/>
        </w:rPr>
        <w:t>在移动端使用</w:t>
      </w:r>
      <w:r w:rsidRPr="009D423B">
        <w:rPr>
          <w:rFonts w:ascii="微软雅黑" w:eastAsia="微软雅黑" w:hAnsi="微软雅黑" w:hint="eastAsia"/>
          <w:szCs w:val="21"/>
        </w:rPr>
        <w:t>的月独立设备数量</w:t>
      </w:r>
      <w:r>
        <w:rPr>
          <w:rFonts w:ascii="微软雅黑" w:eastAsia="微软雅黑" w:hAnsi="微软雅黑" w:hint="eastAsia"/>
          <w:szCs w:val="21"/>
        </w:rPr>
        <w:t>进一步提升。</w:t>
      </w:r>
      <w:r w:rsidRPr="003E0CE0">
        <w:rPr>
          <w:rFonts w:ascii="微软雅黑" w:eastAsia="微软雅黑" w:hAnsi="微软雅黑"/>
          <w:szCs w:val="21"/>
        </w:rPr>
        <w:t>根据艾瑞咨询监测数据，</w:t>
      </w:r>
      <w:r w:rsidR="00777A18">
        <w:rPr>
          <w:rFonts w:ascii="微软雅黑" w:eastAsia="微软雅黑" w:hAnsi="微软雅黑" w:hint="eastAsia"/>
          <w:szCs w:val="21"/>
        </w:rPr>
        <w:t>2016-2017</w:t>
      </w:r>
      <w:r w:rsidRPr="003E0CE0">
        <w:rPr>
          <w:rFonts w:ascii="微软雅黑" w:eastAsia="微软雅黑" w:hAnsi="微软雅黑"/>
          <w:szCs w:val="21"/>
        </w:rPr>
        <w:t>年</w:t>
      </w:r>
      <w:r w:rsidR="00777A18">
        <w:rPr>
          <w:rFonts w:ascii="微软雅黑" w:eastAsia="微软雅黑" w:hAnsi="微软雅黑" w:hint="eastAsia"/>
          <w:szCs w:val="21"/>
        </w:rPr>
        <w:t>，</w:t>
      </w:r>
      <w:r w:rsidR="00777A18">
        <w:rPr>
          <w:rFonts w:ascii="微软雅黑" w:eastAsia="微软雅黑" w:hAnsi="微软雅黑"/>
          <w:szCs w:val="21"/>
        </w:rPr>
        <w:t>陕西</w:t>
      </w:r>
      <w:r>
        <w:rPr>
          <w:rFonts w:ascii="微软雅黑" w:eastAsia="微软雅黑" w:hAnsi="微软雅黑" w:hint="eastAsia"/>
          <w:szCs w:val="21"/>
        </w:rPr>
        <w:t>省</w:t>
      </w:r>
      <w:r w:rsidRPr="009D423B">
        <w:rPr>
          <w:rFonts w:ascii="微软雅黑" w:eastAsia="微软雅黑" w:hAnsi="微软雅黑" w:hint="eastAsia"/>
          <w:szCs w:val="21"/>
        </w:rPr>
        <w:t>网民</w:t>
      </w:r>
      <w:r>
        <w:rPr>
          <w:rFonts w:ascii="微软雅黑" w:eastAsia="微软雅黑" w:hAnsi="微软雅黑" w:hint="eastAsia"/>
          <w:szCs w:val="21"/>
        </w:rPr>
        <w:t>在移动端使用</w:t>
      </w:r>
      <w:r w:rsidRPr="009D423B">
        <w:rPr>
          <w:rFonts w:ascii="微软雅黑" w:eastAsia="微软雅黑" w:hAnsi="微软雅黑" w:hint="eastAsia"/>
          <w:szCs w:val="21"/>
        </w:rPr>
        <w:t>的月独立设备数量</w:t>
      </w:r>
      <w:r w:rsidR="00FD3040">
        <w:rPr>
          <w:rFonts w:ascii="微软雅黑" w:eastAsia="微软雅黑" w:hAnsi="微软雅黑" w:hint="eastAsia"/>
          <w:szCs w:val="21"/>
        </w:rPr>
        <w:t>持续增长，截至</w:t>
      </w:r>
      <w:r w:rsidR="00777A18">
        <w:rPr>
          <w:rFonts w:ascii="微软雅黑" w:eastAsia="微软雅黑" w:hAnsi="微软雅黑" w:hint="eastAsia"/>
          <w:szCs w:val="21"/>
        </w:rPr>
        <w:t>2017年</w:t>
      </w:r>
      <w:r w:rsidR="00FD3040">
        <w:rPr>
          <w:rFonts w:ascii="微软雅黑" w:eastAsia="微软雅黑" w:hAnsi="微软雅黑" w:hint="eastAsia"/>
          <w:szCs w:val="21"/>
        </w:rPr>
        <w:t>12月</w:t>
      </w:r>
      <w:r>
        <w:rPr>
          <w:rFonts w:ascii="微软雅黑" w:eastAsia="微软雅黑" w:hAnsi="微软雅黑" w:hint="eastAsia"/>
          <w:szCs w:val="21"/>
        </w:rPr>
        <w:t>已</w:t>
      </w:r>
      <w:r w:rsidR="00FD3040">
        <w:rPr>
          <w:rFonts w:ascii="微软雅黑" w:eastAsia="微软雅黑" w:hAnsi="微软雅黑" w:hint="eastAsia"/>
          <w:szCs w:val="21"/>
        </w:rPr>
        <w:t>突破</w:t>
      </w:r>
      <w:r>
        <w:rPr>
          <w:rFonts w:ascii="微软雅黑" w:eastAsia="微软雅黑" w:hAnsi="微软雅黑" w:hint="eastAsia"/>
          <w:szCs w:val="21"/>
        </w:rPr>
        <w:t>37</w:t>
      </w:r>
      <w:r w:rsidR="00FD3040">
        <w:rPr>
          <w:rFonts w:ascii="微软雅黑" w:eastAsia="微软雅黑" w:hAnsi="微软雅黑" w:hint="eastAsia"/>
          <w:szCs w:val="21"/>
        </w:rPr>
        <w:t>00</w:t>
      </w:r>
      <w:r>
        <w:rPr>
          <w:rFonts w:ascii="微软雅黑" w:eastAsia="微软雅黑" w:hAnsi="微软雅黑" w:hint="eastAsia"/>
          <w:szCs w:val="21"/>
        </w:rPr>
        <w:t>万台</w:t>
      </w:r>
      <w:r w:rsidR="00952BAF">
        <w:rPr>
          <w:rFonts w:ascii="微软雅黑" w:eastAsia="微软雅黑" w:hAnsi="微软雅黑" w:hint="eastAsia"/>
          <w:szCs w:val="21"/>
        </w:rPr>
        <w:t>大关</w:t>
      </w:r>
      <w:r w:rsidR="003C70AA" w:rsidRPr="009D423B">
        <w:rPr>
          <w:rFonts w:ascii="微软雅黑" w:eastAsia="微软雅黑" w:hAnsi="微软雅黑" w:hint="eastAsia"/>
          <w:szCs w:val="21"/>
        </w:rPr>
        <w:t>。</w:t>
      </w:r>
    </w:p>
    <w:p w:rsidR="00E9085B" w:rsidRPr="009D423B" w:rsidRDefault="00E9085B" w:rsidP="003C70AA">
      <w:pPr>
        <w:ind w:firstLineChars="100" w:firstLine="210"/>
        <w:jc w:val="center"/>
        <w:rPr>
          <w:rFonts w:ascii="微软雅黑" w:eastAsia="微软雅黑" w:hAnsi="微软雅黑" w:cs="宋体"/>
          <w:bCs/>
          <w:szCs w:val="21"/>
        </w:rPr>
      </w:pPr>
      <w:r>
        <w:rPr>
          <w:noProof/>
        </w:rPr>
        <w:drawing>
          <wp:inline distT="0" distB="0" distL="0" distR="0">
            <wp:extent cx="4809600" cy="3060000"/>
            <wp:effectExtent l="0" t="0" r="10160" b="2667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C70AA" w:rsidRDefault="003C70AA" w:rsidP="003C70AA">
      <w:pPr>
        <w:pStyle w:val="ab"/>
      </w:pPr>
      <w:bookmarkStart w:id="6" w:name="_Toc483275420"/>
      <w:bookmarkStart w:id="7" w:name="_Toc524418087"/>
      <w:r w:rsidRPr="009D423B">
        <w:rPr>
          <w:rFonts w:hint="eastAsia"/>
        </w:rPr>
        <w:t>图1-</w:t>
      </w:r>
      <w:r w:rsidR="00001B06">
        <w:rPr>
          <w:rFonts w:hint="eastAsia"/>
        </w:rPr>
        <w:t>1</w:t>
      </w:r>
      <w:r w:rsidRPr="009D423B">
        <w:rPr>
          <w:rFonts w:hint="eastAsia"/>
        </w:rPr>
        <w:t xml:space="preserve">  2016</w:t>
      </w:r>
      <w:r w:rsidR="00072326">
        <w:rPr>
          <w:rFonts w:hint="eastAsia"/>
        </w:rPr>
        <w:t>-2017</w:t>
      </w:r>
      <w:r w:rsidRPr="009D423B">
        <w:rPr>
          <w:rFonts w:hint="eastAsia"/>
        </w:rPr>
        <w:t>年</w:t>
      </w:r>
      <w:r w:rsidR="00C52865" w:rsidRPr="009D423B">
        <w:rPr>
          <w:rFonts w:hint="eastAsia"/>
        </w:rPr>
        <w:t>陕西省</w:t>
      </w:r>
      <w:r w:rsidRPr="009D423B">
        <w:rPr>
          <w:rFonts w:hint="eastAsia"/>
        </w:rPr>
        <w:t>网民</w:t>
      </w:r>
      <w:r w:rsidR="00072326">
        <w:rPr>
          <w:rFonts w:hint="eastAsia"/>
        </w:rPr>
        <w:t>在移动端</w:t>
      </w:r>
      <w:r w:rsidRPr="009D423B">
        <w:rPr>
          <w:rFonts w:hint="eastAsia"/>
        </w:rPr>
        <w:t>使用月独立设备数</w:t>
      </w:r>
      <w:bookmarkEnd w:id="6"/>
      <w:r w:rsidR="00B93314">
        <w:rPr>
          <w:rFonts w:hint="eastAsia"/>
        </w:rPr>
        <w:t>量</w:t>
      </w:r>
      <w:bookmarkEnd w:id="7"/>
    </w:p>
    <w:p w:rsidR="00366C15" w:rsidRPr="009D423B" w:rsidRDefault="00E664AC" w:rsidP="00A36DDA">
      <w:pPr>
        <w:spacing w:line="360" w:lineRule="auto"/>
        <w:outlineLvl w:val="2"/>
        <w:rPr>
          <w:rFonts w:ascii="微软雅黑" w:eastAsia="微软雅黑" w:hAnsi="微软雅黑"/>
          <w:b/>
        </w:rPr>
      </w:pPr>
      <w:bookmarkStart w:id="8" w:name="_Toc524417968"/>
      <w:r>
        <w:rPr>
          <w:rFonts w:ascii="微软雅黑" w:eastAsia="微软雅黑" w:hAnsi="微软雅黑" w:hint="eastAsia"/>
          <w:b/>
        </w:rPr>
        <w:t>（二）</w:t>
      </w:r>
      <w:r w:rsidR="00366C15" w:rsidRPr="009D423B">
        <w:rPr>
          <w:rFonts w:ascii="微软雅黑" w:eastAsia="微软雅黑" w:hAnsi="微软雅黑" w:hint="eastAsia"/>
          <w:b/>
        </w:rPr>
        <w:t>网民结构特征</w:t>
      </w:r>
      <w:bookmarkEnd w:id="8"/>
    </w:p>
    <w:p w:rsidR="0073505F" w:rsidRPr="009D423B" w:rsidRDefault="00A36DDA" w:rsidP="00A25E10">
      <w:pPr>
        <w:outlineLvl w:val="3"/>
        <w:rPr>
          <w:rFonts w:ascii="微软雅黑" w:eastAsia="微软雅黑" w:hAnsi="微软雅黑"/>
          <w:b/>
          <w:bCs/>
        </w:rPr>
      </w:pPr>
      <w:bookmarkStart w:id="9" w:name="_Toc524417969"/>
      <w:r w:rsidRPr="009D423B">
        <w:rPr>
          <w:rFonts w:ascii="微软雅黑" w:eastAsia="微软雅黑" w:hAnsi="微软雅黑"/>
          <w:b/>
          <w:bCs/>
        </w:rPr>
        <w:t>1.PC端网民基本属性</w:t>
      </w:r>
      <w:bookmarkEnd w:id="9"/>
    </w:p>
    <w:p w:rsidR="00263C61" w:rsidRPr="009D423B" w:rsidRDefault="00263C61"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（1</w:t>
      </w:r>
      <w:r w:rsidR="00777A18">
        <w:rPr>
          <w:rFonts w:ascii="微软雅黑" w:eastAsia="微软雅黑" w:hAnsi="微软雅黑" w:cs="宋体" w:hint="eastAsia"/>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网民性别分布</w:t>
      </w:r>
    </w:p>
    <w:p w:rsidR="00EA76BE" w:rsidRDefault="0050355B" w:rsidP="003F3263">
      <w:pPr>
        <w:spacing w:line="400" w:lineRule="exact"/>
        <w:ind w:firstLineChars="200" w:firstLine="420"/>
        <w:rPr>
          <w:rFonts w:ascii="微软雅黑" w:eastAsia="微软雅黑" w:hAnsi="微软雅黑"/>
          <w:noProof/>
          <w:szCs w:val="21"/>
        </w:rPr>
      </w:pPr>
      <w:r>
        <w:rPr>
          <w:rFonts w:ascii="微软雅黑" w:eastAsia="微软雅黑" w:hAnsi="微软雅黑"/>
          <w:noProof/>
          <w:szCs w:val="21"/>
        </w:rPr>
        <w:t>2017年</w:t>
      </w:r>
      <w:r w:rsidR="00263C61" w:rsidRPr="009D423B">
        <w:rPr>
          <w:rFonts w:ascii="微软雅黑" w:eastAsia="微软雅黑" w:hAnsi="微软雅黑"/>
          <w:noProof/>
          <w:szCs w:val="21"/>
        </w:rPr>
        <w:t>，陕西省网民中男性</w:t>
      </w:r>
      <w:r w:rsidR="00263C61" w:rsidRPr="009D423B">
        <w:rPr>
          <w:rFonts w:ascii="微软雅黑" w:eastAsia="微软雅黑" w:hAnsi="微软雅黑" w:hint="eastAsia"/>
          <w:noProof/>
          <w:szCs w:val="21"/>
        </w:rPr>
        <w:t>与</w:t>
      </w:r>
      <w:r w:rsidR="00263C61" w:rsidRPr="009D423B">
        <w:rPr>
          <w:rFonts w:ascii="微软雅黑" w:eastAsia="微软雅黑" w:hAnsi="微软雅黑"/>
          <w:noProof/>
          <w:szCs w:val="21"/>
        </w:rPr>
        <w:t>女性比例</w:t>
      </w:r>
      <w:r w:rsidR="00263C61" w:rsidRPr="009D423B">
        <w:rPr>
          <w:rFonts w:ascii="微软雅黑" w:eastAsia="微软雅黑" w:hAnsi="微软雅黑" w:hint="eastAsia"/>
          <w:noProof/>
          <w:szCs w:val="21"/>
        </w:rPr>
        <w:t>为5</w:t>
      </w:r>
      <w:r w:rsidR="002F5824">
        <w:rPr>
          <w:rFonts w:ascii="微软雅黑" w:eastAsia="微软雅黑" w:hAnsi="微软雅黑" w:hint="eastAsia"/>
          <w:noProof/>
          <w:szCs w:val="21"/>
        </w:rPr>
        <w:t>2</w:t>
      </w:r>
      <w:r w:rsidR="00263C61" w:rsidRPr="009D423B">
        <w:rPr>
          <w:rFonts w:ascii="微软雅黑" w:eastAsia="微软雅黑" w:hAnsi="微软雅黑" w:hint="eastAsia"/>
          <w:noProof/>
          <w:szCs w:val="21"/>
        </w:rPr>
        <w:t>：</w:t>
      </w:r>
      <w:r w:rsidR="002F5824">
        <w:rPr>
          <w:rFonts w:ascii="微软雅黑" w:eastAsia="微软雅黑" w:hAnsi="微软雅黑" w:hint="eastAsia"/>
          <w:noProof/>
          <w:szCs w:val="21"/>
        </w:rPr>
        <w:t>48</w:t>
      </w:r>
      <w:r w:rsidR="005873B0">
        <w:rPr>
          <w:rFonts w:ascii="微软雅黑" w:eastAsia="微软雅黑" w:hAnsi="微软雅黑" w:hint="eastAsia"/>
          <w:noProof/>
          <w:szCs w:val="21"/>
        </w:rPr>
        <w:t>，</w:t>
      </w:r>
      <w:r w:rsidR="00906B06">
        <w:rPr>
          <w:rFonts w:ascii="微软雅黑" w:eastAsia="微软雅黑" w:hAnsi="微软雅黑"/>
          <w:noProof/>
          <w:szCs w:val="21"/>
        </w:rPr>
        <w:t>与</w:t>
      </w:r>
      <w:r w:rsidR="002F5824">
        <w:rPr>
          <w:rFonts w:ascii="微软雅黑" w:eastAsia="微软雅黑" w:hAnsi="微软雅黑" w:hint="eastAsia"/>
          <w:noProof/>
          <w:szCs w:val="21"/>
        </w:rPr>
        <w:t>2016</w:t>
      </w:r>
      <w:r w:rsidR="00906B06">
        <w:rPr>
          <w:rFonts w:ascii="微软雅黑" w:eastAsia="微软雅黑" w:hAnsi="微软雅黑" w:hint="eastAsia"/>
          <w:noProof/>
          <w:szCs w:val="21"/>
        </w:rPr>
        <w:t>年相比，陕西省女性网民占比</w:t>
      </w:r>
      <w:r w:rsidR="002F5824">
        <w:rPr>
          <w:rFonts w:ascii="微软雅黑" w:eastAsia="微软雅黑" w:hAnsi="微软雅黑" w:hint="eastAsia"/>
          <w:noProof/>
          <w:szCs w:val="21"/>
        </w:rPr>
        <w:t>提升了</w:t>
      </w:r>
      <w:r w:rsidR="00906B06">
        <w:rPr>
          <w:rFonts w:ascii="微软雅黑" w:eastAsia="微软雅黑" w:hAnsi="微软雅黑" w:hint="eastAsia"/>
          <w:noProof/>
          <w:szCs w:val="21"/>
        </w:rPr>
        <w:t>1.</w:t>
      </w:r>
      <w:r w:rsidR="002F5824">
        <w:rPr>
          <w:rFonts w:ascii="微软雅黑" w:eastAsia="微软雅黑" w:hAnsi="微软雅黑" w:hint="eastAsia"/>
          <w:noProof/>
          <w:szCs w:val="21"/>
        </w:rPr>
        <w:t>2</w:t>
      </w:r>
      <w:r w:rsidR="00906B06">
        <w:rPr>
          <w:rFonts w:ascii="微软雅黑" w:eastAsia="微软雅黑" w:hAnsi="微软雅黑" w:hint="eastAsia"/>
          <w:noProof/>
          <w:szCs w:val="21"/>
        </w:rPr>
        <w:t>个百分点。整体来看，全省网民性别比</w:t>
      </w:r>
      <w:r w:rsidR="00263C61" w:rsidRPr="009D423B">
        <w:rPr>
          <w:rFonts w:ascii="微软雅黑" w:eastAsia="微软雅黑" w:hAnsi="微软雅黑"/>
          <w:noProof/>
          <w:szCs w:val="21"/>
        </w:rPr>
        <w:t>与同期</w:t>
      </w:r>
      <w:r w:rsidR="00263C61" w:rsidRPr="009D423B">
        <w:rPr>
          <w:rFonts w:ascii="微软雅黑" w:eastAsia="微软雅黑" w:hAnsi="微软雅黑" w:hint="eastAsia"/>
          <w:noProof/>
          <w:szCs w:val="21"/>
        </w:rPr>
        <w:t>我国</w:t>
      </w:r>
      <w:r w:rsidR="00263C61" w:rsidRPr="009D423B">
        <w:rPr>
          <w:rFonts w:ascii="微软雅黑" w:eastAsia="微软雅黑" w:hAnsi="微软雅黑"/>
          <w:noProof/>
          <w:szCs w:val="21"/>
        </w:rPr>
        <w:t>网民总体</w:t>
      </w:r>
      <w:r w:rsidR="007A131B" w:rsidRPr="00832D64">
        <w:rPr>
          <w:rFonts w:ascii="微软雅黑" w:eastAsia="微软雅黑" w:hAnsi="微软雅黑" w:hint="eastAsia"/>
          <w:szCs w:val="21"/>
        </w:rPr>
        <w:t>52.</w:t>
      </w:r>
      <w:r w:rsidR="002F5824">
        <w:rPr>
          <w:rFonts w:ascii="微软雅黑" w:eastAsia="微软雅黑" w:hAnsi="微软雅黑" w:hint="eastAsia"/>
          <w:szCs w:val="21"/>
        </w:rPr>
        <w:t>6</w:t>
      </w:r>
      <w:r w:rsidR="007A131B" w:rsidRPr="00832D64">
        <w:rPr>
          <w:rFonts w:ascii="微软雅黑" w:eastAsia="微软雅黑" w:hAnsi="微软雅黑" w:hint="eastAsia"/>
          <w:szCs w:val="21"/>
        </w:rPr>
        <w:t>:47.</w:t>
      </w:r>
      <w:r w:rsidR="002F5824">
        <w:rPr>
          <w:rFonts w:ascii="微软雅黑" w:eastAsia="微软雅黑" w:hAnsi="微软雅黑" w:hint="eastAsia"/>
          <w:szCs w:val="21"/>
        </w:rPr>
        <w:t>4</w:t>
      </w:r>
      <w:r w:rsidR="007A131B">
        <w:rPr>
          <w:rFonts w:ascii="微软雅黑" w:eastAsia="微软雅黑" w:hAnsi="微软雅黑" w:hint="eastAsia"/>
          <w:szCs w:val="21"/>
        </w:rPr>
        <w:t>的</w:t>
      </w:r>
      <w:r w:rsidR="00906B06">
        <w:rPr>
          <w:rFonts w:ascii="微软雅黑" w:eastAsia="微软雅黑" w:hAnsi="微软雅黑"/>
          <w:noProof/>
          <w:szCs w:val="21"/>
        </w:rPr>
        <w:t>性别比</w:t>
      </w:r>
      <w:r w:rsidR="00263C61" w:rsidRPr="009D423B">
        <w:rPr>
          <w:rFonts w:ascii="微软雅黑" w:eastAsia="微软雅黑" w:hAnsi="微软雅黑"/>
          <w:noProof/>
          <w:szCs w:val="21"/>
        </w:rPr>
        <w:t>基本一致。</w:t>
      </w:r>
    </w:p>
    <w:p w:rsidR="003F3263" w:rsidRPr="003F3263" w:rsidRDefault="003F3263" w:rsidP="003F3263">
      <w:pPr>
        <w:ind w:firstLineChars="200" w:firstLine="200"/>
        <w:rPr>
          <w:rFonts w:ascii="微软雅黑" w:eastAsia="微软雅黑" w:hAnsi="微软雅黑"/>
          <w:noProof/>
          <w:sz w:val="10"/>
          <w:szCs w:val="10"/>
        </w:rPr>
      </w:pPr>
    </w:p>
    <w:p w:rsidR="00FF4A1D" w:rsidRPr="003F3263" w:rsidRDefault="00FF4A1D" w:rsidP="00263C61">
      <w:pPr>
        <w:snapToGrid w:val="0"/>
        <w:jc w:val="center"/>
        <w:rPr>
          <w:rFonts w:asciiTheme="minorEastAsia" w:eastAsiaTheme="minorEastAsia" w:hAnsiTheme="minorEastAsia"/>
          <w:noProof/>
          <w:szCs w:val="21"/>
        </w:rPr>
      </w:pPr>
      <w:r>
        <w:rPr>
          <w:noProof/>
        </w:rPr>
        <w:drawing>
          <wp:inline distT="0" distB="0" distL="0" distR="0">
            <wp:extent cx="4810125" cy="3060000"/>
            <wp:effectExtent l="0" t="0" r="9525" b="2667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3C61" w:rsidRDefault="00263C61" w:rsidP="00263C61">
      <w:pPr>
        <w:pStyle w:val="ab"/>
      </w:pPr>
      <w:bookmarkStart w:id="10" w:name="_Toc524418088"/>
      <w:r w:rsidRPr="009D423B">
        <w:rPr>
          <w:rFonts w:hint="eastAsia"/>
        </w:rPr>
        <w:t>图</w:t>
      </w:r>
      <w:r w:rsidRPr="009D423B">
        <w:t>1-</w:t>
      </w:r>
      <w:r w:rsidR="00001B06">
        <w:rPr>
          <w:rFonts w:hint="eastAsia"/>
        </w:rPr>
        <w:t>2</w:t>
      </w:r>
      <w:r w:rsidRPr="009D423B">
        <w:t xml:space="preserve">  </w:t>
      </w:r>
      <w:r w:rsidR="00A609E4">
        <w:rPr>
          <w:rFonts w:hint="eastAsia"/>
        </w:rPr>
        <w:t>2015-</w:t>
      </w:r>
      <w:r w:rsidR="00EA76BE" w:rsidRPr="009D423B">
        <w:t>201</w:t>
      </w:r>
      <w:r w:rsidR="00EA76BE">
        <w:rPr>
          <w:rFonts w:hint="eastAsia"/>
        </w:rPr>
        <w:t>7</w:t>
      </w:r>
      <w:r w:rsidRPr="009D423B">
        <w:t>年陕西省网民性别分布</w:t>
      </w:r>
      <w:bookmarkEnd w:id="10"/>
    </w:p>
    <w:p w:rsidR="00263C61" w:rsidRPr="009D423B" w:rsidRDefault="00263C61"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（2</w:t>
      </w:r>
      <w:r w:rsidR="00777A18">
        <w:rPr>
          <w:rFonts w:ascii="微软雅黑" w:eastAsia="微软雅黑" w:hAnsi="微软雅黑" w:cs="宋体" w:hint="eastAsia"/>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网民年龄分布</w:t>
      </w:r>
    </w:p>
    <w:p w:rsidR="003F3263" w:rsidRDefault="003F3263" w:rsidP="003F3263">
      <w:pPr>
        <w:snapToGrid w:val="0"/>
        <w:ind w:firstLine="420"/>
        <w:rPr>
          <w:rFonts w:ascii="微软雅黑" w:eastAsia="微软雅黑" w:hAnsi="微软雅黑"/>
          <w:noProof/>
          <w:szCs w:val="21"/>
        </w:rPr>
      </w:pPr>
      <w:r>
        <w:rPr>
          <w:rFonts w:ascii="微软雅黑" w:eastAsia="微软雅黑" w:hAnsi="微软雅黑" w:hint="eastAsia"/>
          <w:noProof/>
          <w:szCs w:val="21"/>
        </w:rPr>
        <w:t>2017年，</w:t>
      </w:r>
      <w:r w:rsidRPr="009D423B">
        <w:rPr>
          <w:rFonts w:ascii="微软雅黑" w:eastAsia="微软雅黑" w:hAnsi="微软雅黑" w:hint="eastAsia"/>
          <w:noProof/>
          <w:szCs w:val="21"/>
        </w:rPr>
        <w:t>陕西省网民年龄主要集中在19</w:t>
      </w:r>
      <w:r>
        <w:rPr>
          <w:rFonts w:ascii="微软雅黑" w:eastAsia="微软雅黑" w:hAnsi="微软雅黑" w:hint="eastAsia"/>
          <w:noProof/>
          <w:szCs w:val="21"/>
        </w:rPr>
        <w:t>-</w:t>
      </w:r>
      <w:r w:rsidRPr="009D423B">
        <w:rPr>
          <w:rFonts w:ascii="微软雅黑" w:eastAsia="微软雅黑" w:hAnsi="微软雅黑"/>
          <w:noProof/>
          <w:szCs w:val="21"/>
        </w:rPr>
        <w:t>30岁年龄段，合计占比</w:t>
      </w:r>
      <w:r>
        <w:rPr>
          <w:rFonts w:ascii="微软雅黑" w:eastAsia="微软雅黑" w:hAnsi="微软雅黑" w:hint="eastAsia"/>
          <w:noProof/>
          <w:szCs w:val="21"/>
        </w:rPr>
        <w:t>接近一半，表明年轻人依然是全省互联网的主要使用群体。与</w:t>
      </w:r>
      <w:r w:rsidRPr="009D423B">
        <w:rPr>
          <w:rFonts w:ascii="微软雅黑" w:eastAsia="微软雅黑" w:hAnsi="微软雅黑" w:hint="eastAsia"/>
          <w:noProof/>
          <w:szCs w:val="21"/>
        </w:rPr>
        <w:t>201</w:t>
      </w:r>
      <w:r>
        <w:rPr>
          <w:rFonts w:ascii="微软雅黑" w:eastAsia="微软雅黑" w:hAnsi="微软雅黑" w:hint="eastAsia"/>
          <w:noProof/>
          <w:szCs w:val="21"/>
        </w:rPr>
        <w:t>6</w:t>
      </w:r>
      <w:r w:rsidRPr="009D423B">
        <w:rPr>
          <w:rFonts w:ascii="微软雅黑" w:eastAsia="微软雅黑" w:hAnsi="微软雅黑" w:hint="eastAsia"/>
          <w:noProof/>
          <w:szCs w:val="21"/>
        </w:rPr>
        <w:t>年相比，</w:t>
      </w:r>
      <w:r>
        <w:rPr>
          <w:rFonts w:ascii="微软雅黑" w:eastAsia="微软雅黑" w:hAnsi="微软雅黑" w:hint="eastAsia"/>
          <w:noProof/>
          <w:szCs w:val="21"/>
        </w:rPr>
        <w:t>各年龄段占比变化不大，但在整体上一特点比较突出，即30岁以下网民占比均有不同程度减少，而31岁以上年龄段的网民则均有一定幅度增加，尤其是19-24岁年龄段用户占比较2016年减少了0.8个百分点，而</w:t>
      </w:r>
      <w:r w:rsidRPr="009D423B">
        <w:rPr>
          <w:rFonts w:ascii="微软雅黑" w:eastAsia="微软雅黑" w:hAnsi="微软雅黑" w:hint="eastAsia"/>
          <w:noProof/>
          <w:szCs w:val="21"/>
        </w:rPr>
        <w:t>40岁以上</w:t>
      </w:r>
      <w:r>
        <w:rPr>
          <w:rFonts w:ascii="微软雅黑" w:eastAsia="微软雅黑" w:hAnsi="微软雅黑" w:hint="eastAsia"/>
          <w:noProof/>
          <w:szCs w:val="21"/>
        </w:rPr>
        <w:t>年龄段</w:t>
      </w:r>
      <w:r w:rsidRPr="009D423B">
        <w:rPr>
          <w:rFonts w:ascii="微软雅黑" w:eastAsia="微软雅黑" w:hAnsi="微软雅黑" w:hint="eastAsia"/>
          <w:noProof/>
          <w:szCs w:val="21"/>
        </w:rPr>
        <w:t>网民</w:t>
      </w:r>
      <w:r>
        <w:rPr>
          <w:rFonts w:ascii="微软雅黑" w:eastAsia="微软雅黑" w:hAnsi="微软雅黑" w:hint="eastAsia"/>
          <w:noProof/>
          <w:szCs w:val="21"/>
        </w:rPr>
        <w:t>占比</w:t>
      </w:r>
      <w:r w:rsidRPr="009D423B">
        <w:rPr>
          <w:rFonts w:ascii="微软雅黑" w:eastAsia="微软雅黑" w:hAnsi="微软雅黑" w:hint="eastAsia"/>
          <w:noProof/>
          <w:szCs w:val="21"/>
        </w:rPr>
        <w:t>增加了</w:t>
      </w:r>
      <w:r>
        <w:rPr>
          <w:rFonts w:ascii="微软雅黑" w:eastAsia="微软雅黑" w:hAnsi="微软雅黑" w:hint="eastAsia"/>
          <w:noProof/>
          <w:szCs w:val="21"/>
        </w:rPr>
        <w:t>1.1</w:t>
      </w:r>
      <w:r w:rsidRPr="009D423B">
        <w:rPr>
          <w:rFonts w:ascii="微软雅黑" w:eastAsia="微软雅黑" w:hAnsi="微软雅黑" w:hint="eastAsia"/>
          <w:noProof/>
          <w:szCs w:val="21"/>
        </w:rPr>
        <w:t>个百分点</w:t>
      </w:r>
      <w:r>
        <w:rPr>
          <w:rFonts w:ascii="微软雅黑" w:eastAsia="微软雅黑" w:hAnsi="微软雅黑" w:hint="eastAsia"/>
          <w:noProof/>
          <w:szCs w:val="21"/>
        </w:rPr>
        <w:t>，这进一步</w:t>
      </w:r>
      <w:r w:rsidRPr="009D423B">
        <w:rPr>
          <w:rFonts w:ascii="微软雅黑" w:eastAsia="微软雅黑" w:hAnsi="微软雅黑" w:hint="eastAsia"/>
          <w:noProof/>
          <w:szCs w:val="21"/>
        </w:rPr>
        <w:t>反映出</w:t>
      </w:r>
      <w:r>
        <w:rPr>
          <w:rFonts w:ascii="微软雅黑" w:eastAsia="微软雅黑" w:hAnsi="微软雅黑" w:hint="eastAsia"/>
          <w:noProof/>
          <w:szCs w:val="21"/>
        </w:rPr>
        <w:t>互联网正不断向</w:t>
      </w:r>
      <w:r w:rsidRPr="009D423B">
        <w:rPr>
          <w:rFonts w:ascii="微软雅黑" w:eastAsia="微软雅黑" w:hAnsi="微软雅黑" w:hint="eastAsia"/>
          <w:noProof/>
          <w:szCs w:val="21"/>
        </w:rPr>
        <w:t>高年龄</w:t>
      </w:r>
      <w:r w:rsidR="00FE4DBB">
        <w:rPr>
          <w:rFonts w:ascii="微软雅黑" w:eastAsia="微软雅黑" w:hAnsi="微软雅黑" w:hint="eastAsia"/>
          <w:noProof/>
          <w:szCs w:val="21"/>
        </w:rPr>
        <w:t>段人群</w:t>
      </w:r>
      <w:r w:rsidRPr="009D423B">
        <w:rPr>
          <w:rFonts w:ascii="微软雅黑" w:eastAsia="微软雅黑" w:hAnsi="微软雅黑" w:hint="eastAsia"/>
          <w:noProof/>
          <w:szCs w:val="21"/>
        </w:rPr>
        <w:t>渗透。</w:t>
      </w:r>
    </w:p>
    <w:p w:rsidR="003F3263" w:rsidRDefault="003F3263" w:rsidP="00263C61">
      <w:pPr>
        <w:snapToGrid w:val="0"/>
        <w:jc w:val="center"/>
        <w:rPr>
          <w:rFonts w:ascii="微软雅黑" w:eastAsia="微软雅黑" w:hAnsi="微软雅黑"/>
          <w:noProof/>
          <w:szCs w:val="21"/>
        </w:rPr>
      </w:pPr>
      <w:r>
        <w:rPr>
          <w:noProof/>
        </w:rPr>
        <w:drawing>
          <wp:inline distT="0" distB="0" distL="0" distR="0">
            <wp:extent cx="4809490" cy="2880000"/>
            <wp:effectExtent l="0" t="0" r="10160" b="1587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3C61" w:rsidRDefault="00263C61" w:rsidP="00263C61">
      <w:pPr>
        <w:pStyle w:val="ab"/>
      </w:pPr>
      <w:bookmarkStart w:id="11" w:name="_Toc524418089"/>
      <w:r w:rsidRPr="009D423B">
        <w:rPr>
          <w:rFonts w:hint="eastAsia"/>
        </w:rPr>
        <w:t>图</w:t>
      </w:r>
      <w:r w:rsidRPr="009D423B">
        <w:t>1-</w:t>
      </w:r>
      <w:r w:rsidR="00001B06">
        <w:rPr>
          <w:rFonts w:hint="eastAsia"/>
        </w:rPr>
        <w:t>3</w:t>
      </w:r>
      <w:r w:rsidR="002F5824" w:rsidRPr="009D423B">
        <w:t xml:space="preserve">  </w:t>
      </w:r>
      <w:r w:rsidR="00A609E4">
        <w:rPr>
          <w:rFonts w:hint="eastAsia"/>
        </w:rPr>
        <w:t>2015-</w:t>
      </w:r>
      <w:r w:rsidR="00A609E4" w:rsidRPr="009D423B">
        <w:t>201</w:t>
      </w:r>
      <w:r w:rsidR="00A609E4">
        <w:rPr>
          <w:rFonts w:hint="eastAsia"/>
        </w:rPr>
        <w:t>7</w:t>
      </w:r>
      <w:r w:rsidR="0050355B">
        <w:t>年</w:t>
      </w:r>
      <w:r w:rsidRPr="009D423B">
        <w:t>陕西省网民年龄分布</w:t>
      </w:r>
      <w:bookmarkEnd w:id="11"/>
    </w:p>
    <w:p w:rsidR="00263C61" w:rsidRPr="009D423B" w:rsidRDefault="00263C61"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（3</w:t>
      </w:r>
      <w:r w:rsidR="00777A18">
        <w:rPr>
          <w:rFonts w:ascii="微软雅黑" w:eastAsia="微软雅黑" w:hAnsi="微软雅黑" w:cs="宋体" w:hint="eastAsia"/>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网民婚姻状况</w:t>
      </w:r>
    </w:p>
    <w:p w:rsidR="0060351C" w:rsidRDefault="0050355B" w:rsidP="0060351C">
      <w:pPr>
        <w:snapToGrid w:val="0"/>
        <w:ind w:firstLineChars="200" w:firstLine="420"/>
        <w:rPr>
          <w:rFonts w:ascii="微软雅黑" w:eastAsia="微软雅黑" w:hAnsi="微软雅黑"/>
          <w:szCs w:val="21"/>
        </w:rPr>
      </w:pPr>
      <w:r>
        <w:rPr>
          <w:rFonts w:ascii="微软雅黑" w:eastAsia="微软雅黑" w:hAnsi="微软雅黑" w:hint="eastAsia"/>
          <w:noProof/>
          <w:szCs w:val="21"/>
        </w:rPr>
        <w:t>2017年</w:t>
      </w:r>
      <w:r w:rsidR="00263C61" w:rsidRPr="009D423B">
        <w:rPr>
          <w:rFonts w:ascii="微软雅黑" w:eastAsia="微软雅黑" w:hAnsi="微软雅黑" w:hint="eastAsia"/>
          <w:noProof/>
          <w:szCs w:val="21"/>
        </w:rPr>
        <w:t>陕西省网民中</w:t>
      </w:r>
      <w:r w:rsidR="00773FB4" w:rsidRPr="009D423B">
        <w:rPr>
          <w:rFonts w:ascii="微软雅黑" w:eastAsia="微软雅黑" w:hAnsi="微软雅黑" w:hint="eastAsia"/>
          <w:noProof/>
          <w:szCs w:val="21"/>
        </w:rPr>
        <w:t>已婚</w:t>
      </w:r>
      <w:r w:rsidR="002F5824">
        <w:rPr>
          <w:rFonts w:ascii="微软雅黑" w:eastAsia="微软雅黑" w:hAnsi="微软雅黑" w:hint="eastAsia"/>
          <w:noProof/>
          <w:szCs w:val="21"/>
        </w:rPr>
        <w:t>群体占比为51.4%，较2016年提升1.4个百分点</w:t>
      </w:r>
      <w:r w:rsidR="00072130">
        <w:rPr>
          <w:rFonts w:ascii="微软雅黑" w:eastAsia="微软雅黑" w:hAnsi="微软雅黑" w:hint="eastAsia"/>
          <w:noProof/>
          <w:szCs w:val="21"/>
        </w:rPr>
        <w:t>。</w:t>
      </w:r>
      <w:r w:rsidR="002F5824">
        <w:rPr>
          <w:rFonts w:ascii="微软雅黑" w:eastAsia="微软雅黑" w:hAnsi="微软雅黑" w:hint="eastAsia"/>
          <w:noProof/>
          <w:szCs w:val="21"/>
        </w:rPr>
        <w:t>与全国</w:t>
      </w:r>
      <w:r w:rsidR="00072130">
        <w:rPr>
          <w:rFonts w:ascii="微软雅黑" w:eastAsia="微软雅黑" w:hAnsi="微软雅黑" w:hint="eastAsia"/>
          <w:noProof/>
          <w:szCs w:val="21"/>
        </w:rPr>
        <w:t>网民52.2：47.8的</w:t>
      </w:r>
      <w:r w:rsidR="00072130" w:rsidRPr="009D423B">
        <w:rPr>
          <w:rFonts w:ascii="微软雅黑" w:eastAsia="微软雅黑" w:hAnsi="微软雅黑" w:hint="eastAsia"/>
          <w:noProof/>
          <w:szCs w:val="21"/>
        </w:rPr>
        <w:t>已婚</w:t>
      </w:r>
      <w:r w:rsidR="00072130">
        <w:rPr>
          <w:rFonts w:ascii="微软雅黑" w:eastAsia="微软雅黑" w:hAnsi="微软雅黑" w:hint="eastAsia"/>
          <w:noProof/>
          <w:szCs w:val="21"/>
        </w:rPr>
        <w:t>和</w:t>
      </w:r>
      <w:r w:rsidR="00072130" w:rsidRPr="009D423B">
        <w:rPr>
          <w:rFonts w:ascii="微软雅黑" w:eastAsia="微软雅黑" w:hAnsi="微软雅黑" w:hint="eastAsia"/>
          <w:noProof/>
          <w:szCs w:val="21"/>
        </w:rPr>
        <w:t>未婚</w:t>
      </w:r>
      <w:r w:rsidR="00072130">
        <w:rPr>
          <w:rFonts w:ascii="微软雅黑" w:eastAsia="微软雅黑" w:hAnsi="微软雅黑" w:hint="eastAsia"/>
          <w:noProof/>
          <w:szCs w:val="21"/>
        </w:rPr>
        <w:t>比例结构相比，陕西省网民婚姻结构与全国平均水平的差异正不断缩小</w:t>
      </w:r>
      <w:r w:rsidR="002F5824">
        <w:rPr>
          <w:rFonts w:ascii="微软雅黑" w:eastAsia="微软雅黑" w:hAnsi="微软雅黑" w:hint="eastAsia"/>
          <w:noProof/>
          <w:szCs w:val="21"/>
        </w:rPr>
        <w:t>。</w:t>
      </w:r>
    </w:p>
    <w:p w:rsidR="00FD2106" w:rsidRPr="009D423B" w:rsidRDefault="0060351C" w:rsidP="00263C61">
      <w:pPr>
        <w:snapToGrid w:val="0"/>
        <w:jc w:val="center"/>
        <w:rPr>
          <w:rFonts w:ascii="微软雅黑" w:eastAsia="微软雅黑" w:hAnsi="微软雅黑"/>
          <w:szCs w:val="21"/>
        </w:rPr>
      </w:pPr>
      <w:r>
        <w:rPr>
          <w:noProof/>
        </w:rPr>
        <w:drawing>
          <wp:inline distT="0" distB="0" distL="0" distR="0">
            <wp:extent cx="4810125" cy="2880000"/>
            <wp:effectExtent l="0" t="0" r="9525" b="1587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63C61" w:rsidRDefault="00263C61" w:rsidP="00263C61">
      <w:pPr>
        <w:pStyle w:val="ab"/>
      </w:pPr>
      <w:bookmarkStart w:id="12" w:name="_Toc524418090"/>
      <w:r w:rsidRPr="009D423B">
        <w:rPr>
          <w:rFonts w:hint="eastAsia"/>
        </w:rPr>
        <w:t>图</w:t>
      </w:r>
      <w:r w:rsidRPr="009D423B">
        <w:t>1-</w:t>
      </w:r>
      <w:r w:rsidR="00001B06">
        <w:rPr>
          <w:rFonts w:hint="eastAsia"/>
        </w:rPr>
        <w:t>4</w:t>
      </w:r>
      <w:r w:rsidR="002F5824" w:rsidRPr="009D423B">
        <w:t xml:space="preserve">  </w:t>
      </w:r>
      <w:r w:rsidR="00A609E4">
        <w:rPr>
          <w:rFonts w:hint="eastAsia"/>
        </w:rPr>
        <w:t>2015-</w:t>
      </w:r>
      <w:r w:rsidR="00A609E4" w:rsidRPr="009D423B">
        <w:t>201</w:t>
      </w:r>
      <w:r w:rsidR="00A609E4">
        <w:rPr>
          <w:rFonts w:hint="eastAsia"/>
        </w:rPr>
        <w:t>7</w:t>
      </w:r>
      <w:r w:rsidR="0050355B">
        <w:t>年</w:t>
      </w:r>
      <w:r w:rsidRPr="009D423B">
        <w:t>陕西省网民</w:t>
      </w:r>
      <w:r w:rsidRPr="009D423B">
        <w:rPr>
          <w:rFonts w:hint="eastAsia"/>
        </w:rPr>
        <w:t>婚姻情况</w:t>
      </w:r>
      <w:bookmarkEnd w:id="12"/>
    </w:p>
    <w:p w:rsidR="00263C61" w:rsidRPr="009D423B" w:rsidRDefault="00263C61"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（4</w:t>
      </w:r>
      <w:r w:rsidR="00777A18">
        <w:rPr>
          <w:rFonts w:ascii="微软雅黑" w:eastAsia="微软雅黑" w:hAnsi="微软雅黑" w:cs="宋体" w:hint="eastAsia"/>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w:t>
      </w:r>
      <w:r w:rsidR="0073146E">
        <w:rPr>
          <w:rFonts w:ascii="微软雅黑" w:eastAsia="微软雅黑" w:hAnsi="微软雅黑" w:cs="宋体" w:hint="eastAsia"/>
          <w:b/>
          <w:bCs/>
          <w:szCs w:val="21"/>
        </w:rPr>
        <w:t>受</w:t>
      </w:r>
      <w:r w:rsidRPr="009D423B">
        <w:rPr>
          <w:rFonts w:ascii="微软雅黑" w:eastAsia="微软雅黑" w:hAnsi="微软雅黑" w:cs="宋体" w:hint="eastAsia"/>
          <w:b/>
          <w:bCs/>
          <w:szCs w:val="21"/>
        </w:rPr>
        <w:t>教育程度</w:t>
      </w:r>
    </w:p>
    <w:p w:rsidR="00FD2106" w:rsidRDefault="0050355B" w:rsidP="0060351C">
      <w:pPr>
        <w:spacing w:line="400" w:lineRule="exact"/>
        <w:ind w:firstLineChars="200" w:firstLine="420"/>
        <w:rPr>
          <w:rFonts w:ascii="微软雅黑" w:eastAsia="微软雅黑" w:hAnsi="微软雅黑"/>
          <w:noProof/>
          <w:szCs w:val="21"/>
        </w:rPr>
      </w:pPr>
      <w:r>
        <w:rPr>
          <w:rFonts w:ascii="微软雅黑" w:eastAsia="微软雅黑" w:hAnsi="微软雅黑" w:hint="eastAsia"/>
          <w:szCs w:val="21"/>
        </w:rPr>
        <w:t>2017年</w:t>
      </w:r>
      <w:r w:rsidR="00263C61" w:rsidRPr="009D423B">
        <w:rPr>
          <w:rFonts w:ascii="微软雅黑" w:eastAsia="微软雅黑" w:hAnsi="微软雅黑" w:hint="eastAsia"/>
          <w:szCs w:val="21"/>
        </w:rPr>
        <w:t>陕西省网民</w:t>
      </w:r>
      <w:r w:rsidR="0063630E">
        <w:rPr>
          <w:rFonts w:ascii="微软雅黑" w:eastAsia="微软雅黑" w:hAnsi="微软雅黑" w:hint="eastAsia"/>
          <w:szCs w:val="21"/>
        </w:rPr>
        <w:t>学历分布与2016年相比</w:t>
      </w:r>
      <w:r w:rsidR="00777A18">
        <w:rPr>
          <w:rFonts w:ascii="微软雅黑" w:eastAsia="微软雅黑" w:hAnsi="微软雅黑" w:hint="eastAsia"/>
          <w:szCs w:val="21"/>
        </w:rPr>
        <w:t>保持</w:t>
      </w:r>
      <w:r w:rsidR="0063630E">
        <w:rPr>
          <w:rFonts w:ascii="微软雅黑" w:eastAsia="微软雅黑" w:hAnsi="微软雅黑" w:hint="eastAsia"/>
          <w:szCs w:val="21"/>
        </w:rPr>
        <w:t>稳定。其中，</w:t>
      </w:r>
      <w:r w:rsidR="00072130">
        <w:rPr>
          <w:rFonts w:ascii="微软雅黑" w:eastAsia="微软雅黑" w:hAnsi="微软雅黑" w:hint="eastAsia"/>
          <w:szCs w:val="21"/>
        </w:rPr>
        <w:t>具有</w:t>
      </w:r>
      <w:r w:rsidR="00263C61" w:rsidRPr="009D423B">
        <w:rPr>
          <w:rFonts w:ascii="微软雅黑" w:eastAsia="微软雅黑" w:hAnsi="微软雅黑" w:hint="eastAsia"/>
          <w:szCs w:val="21"/>
        </w:rPr>
        <w:t>大学本科学历</w:t>
      </w:r>
      <w:r w:rsidR="00072130">
        <w:rPr>
          <w:rFonts w:ascii="微软雅黑" w:eastAsia="微软雅黑" w:hAnsi="微软雅黑" w:hint="eastAsia"/>
          <w:szCs w:val="21"/>
        </w:rPr>
        <w:t>的网民</w:t>
      </w:r>
      <w:r w:rsidR="00263C61" w:rsidRPr="009D423B">
        <w:rPr>
          <w:rFonts w:ascii="微软雅黑" w:eastAsia="微软雅黑" w:hAnsi="微软雅黑" w:hint="eastAsia"/>
          <w:szCs w:val="21"/>
        </w:rPr>
        <w:t>占比达到</w:t>
      </w:r>
      <w:r w:rsidR="00072130">
        <w:rPr>
          <w:rFonts w:ascii="微软雅黑" w:eastAsia="微软雅黑" w:hAnsi="微软雅黑" w:hint="eastAsia"/>
          <w:szCs w:val="21"/>
        </w:rPr>
        <w:t>50.4</w:t>
      </w:r>
      <w:r w:rsidR="00263C61" w:rsidRPr="009D423B">
        <w:rPr>
          <w:rFonts w:ascii="微软雅黑" w:eastAsia="微软雅黑" w:hAnsi="微软雅黑" w:hint="eastAsia"/>
          <w:szCs w:val="21"/>
        </w:rPr>
        <w:t>%，</w:t>
      </w:r>
      <w:r w:rsidR="00072130">
        <w:rPr>
          <w:rFonts w:ascii="微软雅黑" w:eastAsia="微软雅黑" w:hAnsi="微软雅黑" w:hint="eastAsia"/>
          <w:szCs w:val="21"/>
        </w:rPr>
        <w:t>超过</w:t>
      </w:r>
      <w:r w:rsidR="00263C61" w:rsidRPr="009D423B">
        <w:rPr>
          <w:rFonts w:ascii="微软雅黑" w:eastAsia="微软雅黑" w:hAnsi="微软雅黑" w:hint="eastAsia"/>
          <w:szCs w:val="21"/>
        </w:rPr>
        <w:t>一半；具备大学</w:t>
      </w:r>
      <w:r w:rsidR="00365E32">
        <w:rPr>
          <w:rFonts w:ascii="微软雅黑" w:eastAsia="微软雅黑" w:hAnsi="微软雅黑" w:hint="eastAsia"/>
          <w:szCs w:val="21"/>
        </w:rPr>
        <w:t>专科</w:t>
      </w:r>
      <w:r w:rsidR="00072130">
        <w:rPr>
          <w:rFonts w:ascii="微软雅黑" w:eastAsia="微软雅黑" w:hAnsi="微软雅黑" w:hint="eastAsia"/>
          <w:szCs w:val="21"/>
        </w:rPr>
        <w:t>及</w:t>
      </w:r>
      <w:r w:rsidR="00263C61" w:rsidRPr="009D423B">
        <w:rPr>
          <w:rFonts w:ascii="微软雅黑" w:eastAsia="微软雅黑" w:hAnsi="微软雅黑" w:hint="eastAsia"/>
          <w:szCs w:val="21"/>
        </w:rPr>
        <w:t>以上学历的网民合计</w:t>
      </w:r>
      <w:r w:rsidR="00072130">
        <w:rPr>
          <w:rFonts w:ascii="微软雅黑" w:eastAsia="微软雅黑" w:hAnsi="微软雅黑" w:hint="eastAsia"/>
          <w:szCs w:val="21"/>
        </w:rPr>
        <w:t>占比</w:t>
      </w:r>
      <w:r w:rsidR="00263C61" w:rsidRPr="009D423B">
        <w:rPr>
          <w:rFonts w:ascii="微软雅黑" w:eastAsia="微软雅黑" w:hAnsi="微软雅黑" w:hint="eastAsia"/>
          <w:szCs w:val="21"/>
        </w:rPr>
        <w:t>达</w:t>
      </w:r>
      <w:r w:rsidR="00072130">
        <w:rPr>
          <w:rFonts w:ascii="微软雅黑" w:eastAsia="微软雅黑" w:hAnsi="微软雅黑" w:hint="eastAsia"/>
          <w:szCs w:val="21"/>
        </w:rPr>
        <w:t>到了</w:t>
      </w:r>
      <w:r w:rsidR="00263C61" w:rsidRPr="009D423B">
        <w:rPr>
          <w:rFonts w:ascii="微软雅黑" w:eastAsia="微软雅黑" w:hAnsi="微软雅黑" w:hint="eastAsia"/>
          <w:szCs w:val="21"/>
        </w:rPr>
        <w:t>86.</w:t>
      </w:r>
      <w:r w:rsidR="00072130">
        <w:rPr>
          <w:rFonts w:ascii="微软雅黑" w:eastAsia="微软雅黑" w:hAnsi="微软雅黑" w:hint="eastAsia"/>
          <w:szCs w:val="21"/>
        </w:rPr>
        <w:t>2</w:t>
      </w:r>
      <w:r w:rsidR="00263C61" w:rsidRPr="009D423B">
        <w:rPr>
          <w:rFonts w:ascii="微软雅黑" w:eastAsia="微软雅黑" w:hAnsi="微软雅黑" w:hint="eastAsia"/>
          <w:szCs w:val="21"/>
        </w:rPr>
        <w:t>%，</w:t>
      </w:r>
      <w:r w:rsidR="00072130">
        <w:rPr>
          <w:rFonts w:ascii="微软雅黑" w:eastAsia="微软雅黑" w:hAnsi="微软雅黑" w:hint="eastAsia"/>
          <w:szCs w:val="21"/>
        </w:rPr>
        <w:t>较2016年提升0.1个百分点</w:t>
      </w:r>
      <w:r w:rsidR="00C72DBB">
        <w:rPr>
          <w:rFonts w:ascii="微软雅黑" w:eastAsia="微软雅黑" w:hAnsi="微软雅黑" w:hint="eastAsia"/>
          <w:szCs w:val="21"/>
        </w:rPr>
        <w:t>，</w:t>
      </w:r>
      <w:r w:rsidR="00072130">
        <w:rPr>
          <w:rFonts w:ascii="微软雅黑" w:eastAsia="微软雅黑" w:hAnsi="微软雅黑" w:hint="eastAsia"/>
          <w:szCs w:val="21"/>
        </w:rPr>
        <w:t>这</w:t>
      </w:r>
      <w:r w:rsidR="00263C61" w:rsidRPr="009D423B">
        <w:rPr>
          <w:rFonts w:ascii="微软雅黑" w:eastAsia="微软雅黑" w:hAnsi="微软雅黑" w:hint="eastAsia"/>
          <w:szCs w:val="21"/>
        </w:rPr>
        <w:t>反映出陕西省网民整体</w:t>
      </w:r>
      <w:r w:rsidR="0063630E">
        <w:rPr>
          <w:rFonts w:ascii="微软雅黑" w:eastAsia="微软雅黑" w:hAnsi="微软雅黑" w:hint="eastAsia"/>
          <w:szCs w:val="21"/>
        </w:rPr>
        <w:t>受</w:t>
      </w:r>
      <w:r w:rsidR="00263C61" w:rsidRPr="009D423B">
        <w:rPr>
          <w:rFonts w:ascii="微软雅黑" w:eastAsia="微软雅黑" w:hAnsi="微软雅黑" w:hint="eastAsia"/>
          <w:szCs w:val="21"/>
        </w:rPr>
        <w:t>教育程度较高</w:t>
      </w:r>
      <w:r w:rsidR="003957FE">
        <w:rPr>
          <w:rFonts w:ascii="微软雅黑" w:eastAsia="微软雅黑" w:hAnsi="微软雅黑" w:hint="eastAsia"/>
          <w:szCs w:val="21"/>
        </w:rPr>
        <w:t>。</w:t>
      </w:r>
    </w:p>
    <w:p w:rsidR="0060351C" w:rsidRPr="009D423B" w:rsidRDefault="0060351C" w:rsidP="00263C61">
      <w:pPr>
        <w:snapToGrid w:val="0"/>
        <w:jc w:val="center"/>
        <w:rPr>
          <w:rFonts w:ascii="微软雅黑" w:eastAsia="微软雅黑" w:hAnsi="微软雅黑"/>
          <w:noProof/>
          <w:szCs w:val="21"/>
        </w:rPr>
      </w:pPr>
      <w:r>
        <w:rPr>
          <w:noProof/>
        </w:rPr>
        <w:drawing>
          <wp:inline distT="0" distB="0" distL="0" distR="0">
            <wp:extent cx="4809490" cy="2880000"/>
            <wp:effectExtent l="0" t="0" r="10160" b="1587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4AD5" w:rsidRDefault="00263C61" w:rsidP="00864AD5">
      <w:pPr>
        <w:pStyle w:val="ab"/>
      </w:pPr>
      <w:bookmarkStart w:id="13" w:name="_Toc524418091"/>
      <w:r w:rsidRPr="009D423B">
        <w:rPr>
          <w:rFonts w:hint="eastAsia"/>
        </w:rPr>
        <w:t>图</w:t>
      </w:r>
      <w:r w:rsidRPr="009D423B">
        <w:t>1-</w:t>
      </w:r>
      <w:r w:rsidR="00001B06">
        <w:rPr>
          <w:rFonts w:hint="eastAsia"/>
        </w:rPr>
        <w:t>5</w:t>
      </w:r>
      <w:r w:rsidR="002F5824" w:rsidRPr="009D423B">
        <w:t xml:space="preserve">  </w:t>
      </w:r>
      <w:r w:rsidR="00A609E4">
        <w:rPr>
          <w:rFonts w:hint="eastAsia"/>
        </w:rPr>
        <w:t>2015-</w:t>
      </w:r>
      <w:r w:rsidR="00A609E4" w:rsidRPr="009D423B">
        <w:t>201</w:t>
      </w:r>
      <w:r w:rsidR="00A609E4">
        <w:rPr>
          <w:rFonts w:hint="eastAsia"/>
        </w:rPr>
        <w:t>7</w:t>
      </w:r>
      <w:r w:rsidR="0050355B">
        <w:t>年</w:t>
      </w:r>
      <w:r w:rsidRPr="009D423B">
        <w:t>陕西省网民</w:t>
      </w:r>
      <w:r w:rsidRPr="009D423B">
        <w:rPr>
          <w:rFonts w:hint="eastAsia"/>
        </w:rPr>
        <w:t>学历分布</w:t>
      </w:r>
      <w:bookmarkEnd w:id="13"/>
    </w:p>
    <w:p w:rsidR="00864AD5" w:rsidRPr="009D423B" w:rsidRDefault="00864AD5" w:rsidP="00864AD5">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w:t>
      </w:r>
      <w:r>
        <w:rPr>
          <w:rFonts w:ascii="微软雅黑" w:eastAsia="微软雅黑" w:hAnsi="微软雅黑" w:cs="宋体" w:hint="eastAsia"/>
          <w:b/>
          <w:bCs/>
          <w:szCs w:val="21"/>
        </w:rPr>
        <w:t>5</w:t>
      </w:r>
      <w:r w:rsidR="00777A18">
        <w:rPr>
          <w:rFonts w:ascii="微软雅黑" w:eastAsia="微软雅黑" w:hAnsi="微软雅黑" w:cs="宋体" w:hint="eastAsia"/>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网民所在行业分布</w:t>
      </w:r>
    </w:p>
    <w:p w:rsidR="0063630E" w:rsidRDefault="0050355B" w:rsidP="00864AD5">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00864AD5" w:rsidRPr="009D423B">
        <w:rPr>
          <w:rFonts w:ascii="微软雅黑" w:eastAsia="微软雅黑" w:hAnsi="微软雅黑"/>
          <w:szCs w:val="21"/>
        </w:rPr>
        <w:t>，陕西省网民所在行业</w:t>
      </w:r>
      <w:r w:rsidR="00864AD5" w:rsidRPr="009D423B">
        <w:rPr>
          <w:rFonts w:ascii="微软雅黑" w:eastAsia="微软雅黑" w:hAnsi="微软雅黑" w:hint="eastAsia"/>
          <w:szCs w:val="21"/>
        </w:rPr>
        <w:t>分布</w:t>
      </w:r>
      <w:r w:rsidR="00864AD5">
        <w:rPr>
          <w:rFonts w:ascii="微软雅黑" w:eastAsia="微软雅黑" w:hAnsi="微软雅黑" w:hint="eastAsia"/>
          <w:szCs w:val="21"/>
        </w:rPr>
        <w:t>相对均衡</w:t>
      </w:r>
      <w:r w:rsidR="00864AD5" w:rsidRPr="009D423B">
        <w:rPr>
          <w:rFonts w:ascii="微软雅黑" w:eastAsia="微软雅黑" w:hAnsi="微软雅黑" w:hint="eastAsia"/>
          <w:szCs w:val="21"/>
        </w:rPr>
        <w:t>，</w:t>
      </w:r>
      <w:r w:rsidR="00864AD5">
        <w:rPr>
          <w:rFonts w:ascii="微软雅黑" w:eastAsia="微软雅黑" w:hAnsi="微软雅黑" w:hint="eastAsia"/>
          <w:szCs w:val="21"/>
        </w:rPr>
        <w:t>与</w:t>
      </w:r>
      <w:r w:rsidR="0063630E">
        <w:rPr>
          <w:rFonts w:ascii="微软雅黑" w:eastAsia="微软雅黑" w:hAnsi="微软雅黑" w:hint="eastAsia"/>
          <w:szCs w:val="21"/>
        </w:rPr>
        <w:t>2016年相比变化不大</w:t>
      </w:r>
      <w:r w:rsidR="00864AD5">
        <w:rPr>
          <w:rFonts w:ascii="微软雅黑" w:eastAsia="微软雅黑" w:hAnsi="微软雅黑" w:hint="eastAsia"/>
          <w:szCs w:val="21"/>
        </w:rPr>
        <w:t>。</w:t>
      </w:r>
      <w:r w:rsidR="0063630E">
        <w:rPr>
          <w:rFonts w:ascii="微软雅黑" w:eastAsia="微软雅黑" w:hAnsi="微软雅黑" w:hint="eastAsia"/>
          <w:szCs w:val="21"/>
        </w:rPr>
        <w:t>从网民分布的具体行业来看，</w:t>
      </w:r>
      <w:r w:rsidR="0063630E" w:rsidRPr="009D423B">
        <w:rPr>
          <w:rFonts w:ascii="微软雅黑" w:eastAsia="微软雅黑" w:hAnsi="微软雅黑"/>
          <w:szCs w:val="21"/>
        </w:rPr>
        <w:t>教育</w:t>
      </w:r>
      <w:r w:rsidR="0063630E" w:rsidRPr="009D423B">
        <w:rPr>
          <w:rFonts w:ascii="微软雅黑" w:eastAsia="微软雅黑" w:hAnsi="微软雅黑" w:hint="eastAsia"/>
          <w:szCs w:val="21"/>
        </w:rPr>
        <w:t>/</w:t>
      </w:r>
      <w:r w:rsidR="0063630E" w:rsidRPr="009D423B">
        <w:rPr>
          <w:rFonts w:ascii="微软雅黑" w:eastAsia="微软雅黑" w:hAnsi="微软雅黑"/>
          <w:szCs w:val="21"/>
        </w:rPr>
        <w:t>科研</w:t>
      </w:r>
      <w:r w:rsidR="0063630E" w:rsidRPr="009D423B">
        <w:rPr>
          <w:rFonts w:ascii="微软雅黑" w:eastAsia="微软雅黑" w:hAnsi="微软雅黑" w:hint="eastAsia"/>
          <w:szCs w:val="21"/>
        </w:rPr>
        <w:t>、</w:t>
      </w:r>
      <w:r w:rsidR="0063630E" w:rsidRPr="009D423B">
        <w:rPr>
          <w:rFonts w:ascii="微软雅黑" w:eastAsia="微软雅黑" w:hAnsi="微软雅黑"/>
          <w:szCs w:val="21"/>
        </w:rPr>
        <w:t>制造业</w:t>
      </w:r>
      <w:r w:rsidR="0063630E" w:rsidRPr="009D423B">
        <w:rPr>
          <w:rFonts w:ascii="微软雅黑" w:eastAsia="微软雅黑" w:hAnsi="微软雅黑" w:hint="eastAsia"/>
          <w:szCs w:val="21"/>
        </w:rPr>
        <w:t>、</w:t>
      </w:r>
      <w:r w:rsidR="0063630E" w:rsidRPr="009D423B">
        <w:rPr>
          <w:rFonts w:ascii="微软雅黑" w:eastAsia="微软雅黑" w:hAnsi="微软雅黑"/>
          <w:szCs w:val="21"/>
        </w:rPr>
        <w:t>IT行业</w:t>
      </w:r>
      <w:r w:rsidR="0063630E" w:rsidRPr="009D423B">
        <w:rPr>
          <w:rFonts w:ascii="微软雅黑" w:eastAsia="微软雅黑" w:hAnsi="微软雅黑" w:hint="eastAsia"/>
          <w:szCs w:val="21"/>
        </w:rPr>
        <w:t>、</w:t>
      </w:r>
      <w:r w:rsidR="0063630E" w:rsidRPr="009D423B">
        <w:rPr>
          <w:rFonts w:ascii="微软雅黑" w:eastAsia="微软雅黑" w:hAnsi="微软雅黑"/>
          <w:szCs w:val="21"/>
        </w:rPr>
        <w:t>政府机关</w:t>
      </w:r>
      <w:r w:rsidR="0063630E" w:rsidRPr="009D423B">
        <w:rPr>
          <w:rFonts w:ascii="微软雅黑" w:eastAsia="微软雅黑" w:hAnsi="微软雅黑" w:hint="eastAsia"/>
          <w:szCs w:val="21"/>
        </w:rPr>
        <w:t>/社会团体、商业/贸易和建筑/房地产</w:t>
      </w:r>
      <w:r w:rsidR="0063630E" w:rsidRPr="009D423B">
        <w:rPr>
          <w:rFonts w:ascii="微软雅黑" w:eastAsia="微软雅黑" w:hAnsi="微软雅黑"/>
          <w:szCs w:val="21"/>
        </w:rPr>
        <w:t>等领域</w:t>
      </w:r>
      <w:r w:rsidR="0063630E">
        <w:rPr>
          <w:rFonts w:ascii="微软雅黑" w:eastAsia="微软雅黑" w:hAnsi="微软雅黑"/>
          <w:szCs w:val="21"/>
        </w:rPr>
        <w:t>网民相对较多</w:t>
      </w:r>
      <w:r w:rsidR="0063630E">
        <w:rPr>
          <w:rFonts w:ascii="微软雅黑" w:eastAsia="微软雅黑" w:hAnsi="微软雅黑" w:hint="eastAsia"/>
          <w:szCs w:val="21"/>
        </w:rPr>
        <w:t>，</w:t>
      </w:r>
      <w:r w:rsidR="0063630E" w:rsidRPr="009D423B">
        <w:rPr>
          <w:rFonts w:ascii="微软雅黑" w:eastAsia="微软雅黑" w:hAnsi="微软雅黑" w:hint="eastAsia"/>
          <w:szCs w:val="21"/>
        </w:rPr>
        <w:t>合计</w:t>
      </w:r>
      <w:r w:rsidR="0063630E">
        <w:rPr>
          <w:rFonts w:ascii="微软雅黑" w:eastAsia="微软雅黑" w:hAnsi="微软雅黑" w:hint="eastAsia"/>
          <w:szCs w:val="21"/>
        </w:rPr>
        <w:t>达58.6</w:t>
      </w:r>
      <w:r w:rsidR="0063630E" w:rsidRPr="009D423B">
        <w:rPr>
          <w:rFonts w:ascii="微软雅黑" w:eastAsia="微软雅黑" w:hAnsi="微软雅黑" w:hint="eastAsia"/>
          <w:szCs w:val="21"/>
        </w:rPr>
        <w:t>%</w:t>
      </w:r>
      <w:r w:rsidR="0063630E" w:rsidRPr="009D423B">
        <w:rPr>
          <w:rFonts w:ascii="微软雅黑" w:eastAsia="微软雅黑" w:hAnsi="微软雅黑"/>
          <w:szCs w:val="21"/>
        </w:rPr>
        <w:t>。</w:t>
      </w:r>
    </w:p>
    <w:p w:rsidR="00864AD5" w:rsidRPr="009D423B" w:rsidRDefault="00864AD5" w:rsidP="00864AD5">
      <w:pPr>
        <w:jc w:val="center"/>
        <w:rPr>
          <w:rFonts w:ascii="微软雅黑" w:eastAsia="微软雅黑" w:hAnsi="微软雅黑"/>
          <w:szCs w:val="21"/>
        </w:rPr>
      </w:pPr>
      <w:r>
        <w:rPr>
          <w:noProof/>
        </w:rPr>
        <w:drawing>
          <wp:inline distT="0" distB="0" distL="0" distR="0">
            <wp:extent cx="4809600" cy="3240000"/>
            <wp:effectExtent l="0" t="0" r="10160" b="17780"/>
            <wp:docPr id="1059" name="图表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4AD5" w:rsidRDefault="00864AD5" w:rsidP="00864AD5">
      <w:pPr>
        <w:pStyle w:val="ab"/>
      </w:pPr>
      <w:bookmarkStart w:id="14" w:name="_Toc524418092"/>
      <w:r w:rsidRPr="009D423B">
        <w:rPr>
          <w:rFonts w:hint="eastAsia"/>
        </w:rPr>
        <w:t>图</w:t>
      </w:r>
      <w:r w:rsidRPr="009D423B">
        <w:t>1-</w:t>
      </w:r>
      <w:r w:rsidR="00001B06">
        <w:rPr>
          <w:rFonts w:hint="eastAsia"/>
        </w:rPr>
        <w:t>6</w:t>
      </w:r>
      <w:r w:rsidR="005D121F" w:rsidRPr="009D423B">
        <w:t xml:space="preserve">  </w:t>
      </w:r>
      <w:r w:rsidR="0050355B">
        <w:t>2017年</w:t>
      </w:r>
      <w:r w:rsidRPr="009D423B">
        <w:t>陕西省网民所在行业分布</w:t>
      </w:r>
      <w:bookmarkEnd w:id="14"/>
    </w:p>
    <w:p w:rsidR="00263C61" w:rsidRPr="009D423B" w:rsidRDefault="00263C61"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w:t>
      </w:r>
      <w:r w:rsidR="00864AD5">
        <w:rPr>
          <w:rFonts w:ascii="微软雅黑" w:eastAsia="微软雅黑" w:hAnsi="微软雅黑" w:cs="宋体" w:hint="eastAsia"/>
          <w:b/>
          <w:bCs/>
          <w:szCs w:val="21"/>
        </w:rPr>
        <w:t>6</w:t>
      </w:r>
      <w:r w:rsidR="00777A18">
        <w:rPr>
          <w:rFonts w:ascii="微软雅黑" w:eastAsia="微软雅黑" w:hAnsi="微软雅黑" w:cs="宋体" w:hint="eastAsia"/>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网民职业结构</w:t>
      </w:r>
    </w:p>
    <w:p w:rsidR="00263C61" w:rsidRDefault="0050355B" w:rsidP="00A17B6B">
      <w:pPr>
        <w:spacing w:line="400" w:lineRule="exact"/>
        <w:ind w:firstLineChars="200" w:firstLine="420"/>
        <w:rPr>
          <w:rFonts w:ascii="微软雅黑" w:eastAsia="微软雅黑" w:hAnsi="微软雅黑"/>
          <w:noProof/>
          <w:szCs w:val="21"/>
        </w:rPr>
      </w:pPr>
      <w:r>
        <w:rPr>
          <w:rFonts w:ascii="微软雅黑" w:eastAsia="微软雅黑" w:hAnsi="微软雅黑"/>
          <w:szCs w:val="21"/>
        </w:rPr>
        <w:t>2017年</w:t>
      </w:r>
      <w:r w:rsidR="00263C61" w:rsidRPr="009D423B">
        <w:rPr>
          <w:rFonts w:ascii="微软雅黑" w:eastAsia="微软雅黑" w:hAnsi="微软雅黑"/>
          <w:szCs w:val="21"/>
        </w:rPr>
        <w:t>，陕西省网民</w:t>
      </w:r>
      <w:r w:rsidR="00263C61" w:rsidRPr="009D423B">
        <w:rPr>
          <w:rFonts w:ascii="微软雅黑" w:eastAsia="微软雅黑" w:hAnsi="微软雅黑" w:hint="eastAsia"/>
          <w:szCs w:val="21"/>
        </w:rPr>
        <w:t>中</w:t>
      </w:r>
      <w:r w:rsidR="00263C61" w:rsidRPr="009D423B">
        <w:rPr>
          <w:rFonts w:ascii="微软雅黑" w:eastAsia="微软雅黑" w:hAnsi="微软雅黑"/>
          <w:szCs w:val="21"/>
        </w:rPr>
        <w:t>在校</w:t>
      </w:r>
      <w:r w:rsidR="00263C61" w:rsidRPr="009D423B">
        <w:rPr>
          <w:rFonts w:ascii="微软雅黑" w:eastAsia="微软雅黑" w:hAnsi="微软雅黑" w:hint="eastAsia"/>
          <w:szCs w:val="21"/>
        </w:rPr>
        <w:t>学生</w:t>
      </w:r>
      <w:r w:rsidR="0063630E">
        <w:rPr>
          <w:rFonts w:ascii="微软雅黑" w:eastAsia="微软雅黑" w:hAnsi="微软雅黑" w:hint="eastAsia"/>
          <w:szCs w:val="21"/>
        </w:rPr>
        <w:t>的</w:t>
      </w:r>
      <w:r w:rsidR="00F5132A">
        <w:rPr>
          <w:rFonts w:ascii="微软雅黑" w:eastAsia="微软雅黑" w:hAnsi="微软雅黑" w:hint="eastAsia"/>
          <w:szCs w:val="21"/>
        </w:rPr>
        <w:t>比例</w:t>
      </w:r>
      <w:r w:rsidR="0063630E">
        <w:rPr>
          <w:rFonts w:ascii="微软雅黑" w:eastAsia="微软雅黑" w:hAnsi="微软雅黑" w:hint="eastAsia"/>
          <w:szCs w:val="21"/>
        </w:rPr>
        <w:t>最高，达到</w:t>
      </w:r>
      <w:r w:rsidR="00263C61" w:rsidRPr="009D423B">
        <w:rPr>
          <w:rFonts w:ascii="微软雅黑" w:eastAsia="微软雅黑" w:hAnsi="微软雅黑" w:hint="eastAsia"/>
          <w:szCs w:val="21"/>
        </w:rPr>
        <w:t>20.</w:t>
      </w:r>
      <w:r w:rsidR="0063630E">
        <w:rPr>
          <w:rFonts w:ascii="微软雅黑" w:eastAsia="微软雅黑" w:hAnsi="微软雅黑" w:hint="eastAsia"/>
          <w:szCs w:val="21"/>
        </w:rPr>
        <w:t>0</w:t>
      </w:r>
      <w:r w:rsidR="00263C61" w:rsidRPr="009D423B">
        <w:rPr>
          <w:rFonts w:ascii="微软雅黑" w:eastAsia="微软雅黑" w:hAnsi="微软雅黑"/>
          <w:szCs w:val="21"/>
        </w:rPr>
        <w:t>%</w:t>
      </w:r>
      <w:r w:rsidR="00F5132A">
        <w:rPr>
          <w:rFonts w:ascii="微软雅黑" w:eastAsia="微软雅黑" w:hAnsi="微软雅黑" w:hint="eastAsia"/>
          <w:szCs w:val="21"/>
        </w:rPr>
        <w:t>；</w:t>
      </w:r>
      <w:r w:rsidR="00263C61" w:rsidRPr="009D423B">
        <w:rPr>
          <w:rFonts w:ascii="微软雅黑" w:eastAsia="微软雅黑" w:hAnsi="微软雅黑" w:hint="eastAsia"/>
          <w:szCs w:val="21"/>
        </w:rPr>
        <w:t>其次是</w:t>
      </w:r>
      <w:r w:rsidR="00263C61" w:rsidRPr="009D423B">
        <w:rPr>
          <w:rFonts w:ascii="微软雅黑" w:eastAsia="微软雅黑" w:hAnsi="微软雅黑"/>
          <w:szCs w:val="21"/>
        </w:rPr>
        <w:t>文职/办事人员</w:t>
      </w:r>
      <w:r w:rsidR="00F5132A">
        <w:rPr>
          <w:rFonts w:ascii="微软雅黑" w:eastAsia="微软雅黑" w:hAnsi="微软雅黑" w:hint="eastAsia"/>
          <w:szCs w:val="21"/>
        </w:rPr>
        <w:t>，</w:t>
      </w:r>
      <w:r w:rsidR="00F5132A">
        <w:rPr>
          <w:rFonts w:ascii="微软雅黑" w:eastAsia="微软雅黑" w:hAnsi="微软雅黑"/>
          <w:szCs w:val="21"/>
        </w:rPr>
        <w:t>占比为</w:t>
      </w:r>
      <w:r w:rsidR="00263C61" w:rsidRPr="009D423B">
        <w:rPr>
          <w:rFonts w:ascii="微软雅黑" w:eastAsia="微软雅黑" w:hAnsi="微软雅黑" w:hint="eastAsia"/>
          <w:szCs w:val="21"/>
        </w:rPr>
        <w:t>13.0%</w:t>
      </w:r>
      <w:r w:rsidR="00F5132A">
        <w:rPr>
          <w:rFonts w:ascii="微软雅黑" w:eastAsia="微软雅黑" w:hAnsi="微软雅黑" w:hint="eastAsia"/>
          <w:szCs w:val="21"/>
        </w:rPr>
        <w:t>；</w:t>
      </w:r>
      <w:r w:rsidR="00F5132A">
        <w:rPr>
          <w:rFonts w:ascii="微软雅黑" w:eastAsia="微软雅黑" w:hAnsi="微软雅黑"/>
          <w:szCs w:val="21"/>
        </w:rPr>
        <w:t>专业人士</w:t>
      </w:r>
      <w:r w:rsidR="00F5132A">
        <w:rPr>
          <w:rFonts w:ascii="微软雅黑" w:eastAsia="微软雅黑" w:hAnsi="微软雅黑" w:hint="eastAsia"/>
          <w:szCs w:val="21"/>
        </w:rPr>
        <w:t>、</w:t>
      </w:r>
      <w:r w:rsidR="00F5132A">
        <w:rPr>
          <w:rFonts w:ascii="微软雅黑" w:eastAsia="微软雅黑" w:hAnsi="微软雅黑"/>
          <w:szCs w:val="21"/>
        </w:rPr>
        <w:t>教师和</w:t>
      </w:r>
      <w:r w:rsidR="00F5132A" w:rsidRPr="009D423B">
        <w:rPr>
          <w:rFonts w:ascii="微软雅黑" w:eastAsia="微软雅黑" w:hAnsi="微软雅黑" w:hint="eastAsia"/>
          <w:szCs w:val="21"/>
        </w:rPr>
        <w:t>技术人员</w:t>
      </w:r>
      <w:r w:rsidR="00F5132A">
        <w:rPr>
          <w:rFonts w:ascii="微软雅黑" w:eastAsia="微软雅黑" w:hAnsi="微软雅黑" w:hint="eastAsia"/>
          <w:szCs w:val="21"/>
        </w:rPr>
        <w:t>比重接近，分别为</w:t>
      </w:r>
      <w:r w:rsidR="00263C61" w:rsidRPr="009D423B">
        <w:rPr>
          <w:rFonts w:ascii="微软雅黑" w:eastAsia="微软雅黑" w:hAnsi="微软雅黑" w:hint="eastAsia"/>
          <w:szCs w:val="21"/>
        </w:rPr>
        <w:t>8.</w:t>
      </w:r>
      <w:r w:rsidR="0063630E">
        <w:rPr>
          <w:rFonts w:ascii="微软雅黑" w:eastAsia="微软雅黑" w:hAnsi="微软雅黑" w:hint="eastAsia"/>
          <w:szCs w:val="21"/>
        </w:rPr>
        <w:t>2</w:t>
      </w:r>
      <w:r w:rsidR="00263C61" w:rsidRPr="009D423B">
        <w:rPr>
          <w:rFonts w:ascii="微软雅黑" w:eastAsia="微软雅黑" w:hAnsi="微软雅黑" w:hint="eastAsia"/>
          <w:szCs w:val="21"/>
        </w:rPr>
        <w:t>%</w:t>
      </w:r>
      <w:r w:rsidR="00F5132A">
        <w:rPr>
          <w:rFonts w:ascii="微软雅黑" w:eastAsia="微软雅黑" w:hAnsi="微软雅黑" w:hint="eastAsia"/>
          <w:szCs w:val="21"/>
        </w:rPr>
        <w:t>、</w:t>
      </w:r>
      <w:r w:rsidR="0063630E">
        <w:rPr>
          <w:rFonts w:ascii="微软雅黑" w:eastAsia="微软雅黑" w:hAnsi="微软雅黑" w:hint="eastAsia"/>
          <w:szCs w:val="21"/>
        </w:rPr>
        <w:t>8.1</w:t>
      </w:r>
      <w:r w:rsidR="00263C61" w:rsidRPr="009D423B">
        <w:rPr>
          <w:rFonts w:ascii="微软雅黑" w:eastAsia="微软雅黑" w:hAnsi="微软雅黑" w:hint="eastAsia"/>
          <w:szCs w:val="21"/>
        </w:rPr>
        <w:t>%和7.</w:t>
      </w:r>
      <w:r w:rsidR="0063630E">
        <w:rPr>
          <w:rFonts w:ascii="微软雅黑" w:eastAsia="微软雅黑" w:hAnsi="微软雅黑" w:hint="eastAsia"/>
          <w:szCs w:val="21"/>
        </w:rPr>
        <w:t>6</w:t>
      </w:r>
      <w:r w:rsidR="00263C61" w:rsidRPr="009D423B">
        <w:rPr>
          <w:rFonts w:ascii="微软雅黑" w:eastAsia="微软雅黑" w:hAnsi="微软雅黑" w:hint="eastAsia"/>
          <w:szCs w:val="21"/>
        </w:rPr>
        <w:t>%</w:t>
      </w:r>
      <w:r w:rsidR="00263C61" w:rsidRPr="009D423B">
        <w:rPr>
          <w:rFonts w:ascii="微软雅黑" w:eastAsia="微软雅黑" w:hAnsi="微软雅黑"/>
          <w:szCs w:val="21"/>
        </w:rPr>
        <w:t>。</w:t>
      </w:r>
    </w:p>
    <w:p w:rsidR="00864AD5" w:rsidRPr="009D423B" w:rsidRDefault="00864AD5" w:rsidP="00263C61">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1058" name="图表 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3C61" w:rsidRPr="009D423B" w:rsidRDefault="00263C61" w:rsidP="00263C61">
      <w:pPr>
        <w:pStyle w:val="ab"/>
      </w:pPr>
      <w:bookmarkStart w:id="15" w:name="_Toc524418093"/>
      <w:r w:rsidRPr="009D423B">
        <w:rPr>
          <w:rFonts w:hint="eastAsia"/>
        </w:rPr>
        <w:t>图</w:t>
      </w:r>
      <w:r w:rsidRPr="009D423B">
        <w:t>1-</w:t>
      </w:r>
      <w:r w:rsidR="00001B06">
        <w:rPr>
          <w:rFonts w:hint="eastAsia"/>
        </w:rPr>
        <w:t>7</w:t>
      </w:r>
      <w:r w:rsidR="005D121F" w:rsidRPr="009D423B">
        <w:t xml:space="preserve">  </w:t>
      </w:r>
      <w:r w:rsidR="0050355B">
        <w:t>2017年</w:t>
      </w:r>
      <w:r w:rsidRPr="009D423B">
        <w:t>陕西省网民职业</w:t>
      </w:r>
      <w:r w:rsidRPr="009D423B">
        <w:rPr>
          <w:rFonts w:hint="eastAsia"/>
        </w:rPr>
        <w:t>分布</w:t>
      </w:r>
      <w:bookmarkEnd w:id="15"/>
    </w:p>
    <w:p w:rsidR="00263C61" w:rsidRPr="009D423B" w:rsidRDefault="00263C61"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w:t>
      </w:r>
      <w:r w:rsidR="00864AD5">
        <w:rPr>
          <w:rFonts w:ascii="微软雅黑" w:eastAsia="微软雅黑" w:hAnsi="微软雅黑" w:cs="宋体" w:hint="eastAsia"/>
          <w:b/>
          <w:bCs/>
          <w:szCs w:val="21"/>
        </w:rPr>
        <w:t>7</w:t>
      </w:r>
      <w:r w:rsidRPr="009D423B">
        <w:rPr>
          <w:rFonts w:ascii="微软雅黑" w:eastAsia="微软雅黑" w:hAnsi="微软雅黑" w:cs="宋体"/>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网民个人月收入情况</w:t>
      </w:r>
    </w:p>
    <w:p w:rsidR="0060351C" w:rsidRDefault="0050355B" w:rsidP="0060351C">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00263C61" w:rsidRPr="009D423B">
        <w:rPr>
          <w:rFonts w:ascii="微软雅黑" w:eastAsia="微软雅黑" w:hAnsi="微软雅黑"/>
          <w:szCs w:val="21"/>
        </w:rPr>
        <w:t>，陕西省网民个人月收入主要集中在1000~</w:t>
      </w:r>
      <w:r w:rsidR="00263C61" w:rsidRPr="009D423B">
        <w:rPr>
          <w:rFonts w:ascii="微软雅黑" w:eastAsia="微软雅黑" w:hAnsi="微软雅黑" w:hint="eastAsia"/>
          <w:szCs w:val="21"/>
        </w:rPr>
        <w:t>3</w:t>
      </w:r>
      <w:r w:rsidR="00263C61" w:rsidRPr="009D423B">
        <w:rPr>
          <w:rFonts w:ascii="微软雅黑" w:eastAsia="微软雅黑" w:hAnsi="微软雅黑"/>
          <w:szCs w:val="21"/>
        </w:rPr>
        <w:t>000元的区间内，</w:t>
      </w:r>
      <w:r w:rsidR="00263C61" w:rsidRPr="009D423B">
        <w:rPr>
          <w:rFonts w:ascii="微软雅黑" w:eastAsia="微软雅黑" w:hAnsi="微软雅黑" w:hint="eastAsia"/>
          <w:szCs w:val="21"/>
        </w:rPr>
        <w:t>占比</w:t>
      </w:r>
      <w:r w:rsidR="00263C61" w:rsidRPr="009D423B">
        <w:rPr>
          <w:rFonts w:ascii="微软雅黑" w:eastAsia="微软雅黑" w:hAnsi="微软雅黑"/>
          <w:szCs w:val="21"/>
        </w:rPr>
        <w:t>为</w:t>
      </w:r>
      <w:r w:rsidR="00263C61" w:rsidRPr="009D423B">
        <w:rPr>
          <w:rFonts w:ascii="微软雅黑" w:eastAsia="微软雅黑" w:hAnsi="微软雅黑" w:hint="eastAsia"/>
          <w:szCs w:val="21"/>
        </w:rPr>
        <w:t>46.</w:t>
      </w:r>
      <w:r w:rsidR="0063630E">
        <w:rPr>
          <w:rFonts w:ascii="微软雅黑" w:eastAsia="微软雅黑" w:hAnsi="微软雅黑" w:hint="eastAsia"/>
          <w:szCs w:val="21"/>
        </w:rPr>
        <w:t>8</w:t>
      </w:r>
      <w:r w:rsidR="00263C61" w:rsidRPr="009D423B">
        <w:rPr>
          <w:rFonts w:ascii="微软雅黑" w:eastAsia="微软雅黑" w:hAnsi="微软雅黑"/>
          <w:szCs w:val="21"/>
        </w:rPr>
        <w:t>%</w:t>
      </w:r>
      <w:r w:rsidR="0060351C">
        <w:rPr>
          <w:rFonts w:ascii="微软雅黑" w:eastAsia="微软雅黑" w:hAnsi="微软雅黑" w:hint="eastAsia"/>
          <w:szCs w:val="21"/>
        </w:rPr>
        <w:t>，</w:t>
      </w:r>
      <w:r w:rsidR="0060351C">
        <w:rPr>
          <w:rFonts w:ascii="微软雅黑" w:eastAsia="微软雅黑" w:hAnsi="微软雅黑"/>
          <w:szCs w:val="21"/>
        </w:rPr>
        <w:t>较</w:t>
      </w:r>
      <w:r w:rsidR="0060351C">
        <w:rPr>
          <w:rFonts w:ascii="微软雅黑" w:eastAsia="微软雅黑" w:hAnsi="微软雅黑" w:hint="eastAsia"/>
          <w:szCs w:val="21"/>
        </w:rPr>
        <w:t>2016年提升0.2个百分点</w:t>
      </w:r>
      <w:r w:rsidR="00153C25">
        <w:rPr>
          <w:rFonts w:ascii="微软雅黑" w:eastAsia="微软雅黑" w:hAnsi="微软雅黑" w:hint="eastAsia"/>
          <w:szCs w:val="21"/>
        </w:rPr>
        <w:t>；</w:t>
      </w:r>
      <w:r w:rsidR="00153C25" w:rsidRPr="009D423B">
        <w:rPr>
          <w:rFonts w:ascii="微软雅黑" w:eastAsia="微软雅黑" w:hAnsi="微软雅黑" w:hint="eastAsia"/>
          <w:szCs w:val="21"/>
        </w:rPr>
        <w:t>3000元及以上</w:t>
      </w:r>
      <w:r w:rsidR="00153C25">
        <w:rPr>
          <w:rFonts w:ascii="微软雅黑" w:eastAsia="微软雅黑" w:hAnsi="微软雅黑" w:hint="eastAsia"/>
          <w:szCs w:val="21"/>
        </w:rPr>
        <w:t>网民占比为23.</w:t>
      </w:r>
      <w:r w:rsidR="0063630E">
        <w:rPr>
          <w:rFonts w:ascii="微软雅黑" w:eastAsia="微软雅黑" w:hAnsi="微软雅黑" w:hint="eastAsia"/>
          <w:szCs w:val="21"/>
        </w:rPr>
        <w:t>9</w:t>
      </w:r>
      <w:r w:rsidR="00153C25">
        <w:rPr>
          <w:rFonts w:ascii="微软雅黑" w:eastAsia="微软雅黑" w:hAnsi="微软雅黑" w:hint="eastAsia"/>
          <w:szCs w:val="21"/>
        </w:rPr>
        <w:t>%</w:t>
      </w:r>
      <w:r w:rsidR="0060351C">
        <w:rPr>
          <w:rFonts w:ascii="微软雅黑" w:eastAsia="微软雅黑" w:hAnsi="微软雅黑" w:hint="eastAsia"/>
          <w:szCs w:val="21"/>
        </w:rPr>
        <w:t>，</w:t>
      </w:r>
      <w:r w:rsidR="0060351C" w:rsidRPr="0060351C">
        <w:rPr>
          <w:rFonts w:ascii="微软雅黑" w:eastAsia="微软雅黑" w:hAnsi="微软雅黑" w:hint="eastAsia"/>
          <w:szCs w:val="21"/>
        </w:rPr>
        <w:t>较2016年提升了0.2个百分点。</w:t>
      </w:r>
    </w:p>
    <w:p w:rsidR="0060351C" w:rsidRPr="009D423B" w:rsidRDefault="0060351C" w:rsidP="0060351C">
      <w:pPr>
        <w:ind w:firstLineChars="200" w:firstLine="420"/>
        <w:rPr>
          <w:rFonts w:ascii="微软雅黑" w:eastAsia="微软雅黑" w:hAnsi="微软雅黑"/>
          <w:noProof/>
          <w:szCs w:val="21"/>
        </w:rPr>
      </w:pPr>
      <w:r>
        <w:rPr>
          <w:noProof/>
        </w:rPr>
        <w:drawing>
          <wp:inline distT="0" distB="0" distL="0" distR="0">
            <wp:extent cx="4809490" cy="2880000"/>
            <wp:effectExtent l="0" t="0" r="10160" b="1587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3C61" w:rsidRDefault="00263C61" w:rsidP="00263C61">
      <w:pPr>
        <w:pStyle w:val="ab"/>
      </w:pPr>
      <w:bookmarkStart w:id="16" w:name="_Toc524418094"/>
      <w:r w:rsidRPr="009D423B">
        <w:rPr>
          <w:rFonts w:hint="eastAsia"/>
        </w:rPr>
        <w:t>图</w:t>
      </w:r>
      <w:r w:rsidRPr="009D423B">
        <w:t>1-</w:t>
      </w:r>
      <w:r w:rsidR="00001B06">
        <w:rPr>
          <w:rFonts w:hint="eastAsia"/>
        </w:rPr>
        <w:t>8</w:t>
      </w:r>
      <w:r w:rsidR="005D121F" w:rsidRPr="009D423B">
        <w:t xml:space="preserve">  </w:t>
      </w:r>
      <w:r w:rsidR="00A609E4">
        <w:rPr>
          <w:rFonts w:hint="eastAsia"/>
        </w:rPr>
        <w:t>2015-</w:t>
      </w:r>
      <w:r w:rsidR="00A609E4" w:rsidRPr="009D423B">
        <w:t>201</w:t>
      </w:r>
      <w:r w:rsidR="00A609E4">
        <w:rPr>
          <w:rFonts w:hint="eastAsia"/>
        </w:rPr>
        <w:t>7</w:t>
      </w:r>
      <w:r w:rsidR="0050355B">
        <w:t>年</w:t>
      </w:r>
      <w:r w:rsidRPr="009D423B">
        <w:t>陕西省网民个人月收入</w:t>
      </w:r>
      <w:r w:rsidRPr="009D423B">
        <w:rPr>
          <w:rFonts w:hint="eastAsia"/>
        </w:rPr>
        <w:t>分布</w:t>
      </w:r>
      <w:bookmarkEnd w:id="16"/>
    </w:p>
    <w:p w:rsidR="00263C61" w:rsidRPr="009D423B" w:rsidRDefault="00263C61"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w:t>
      </w:r>
      <w:r w:rsidR="0060351C">
        <w:rPr>
          <w:rFonts w:ascii="微软雅黑" w:eastAsia="微软雅黑" w:hAnsi="微软雅黑" w:cs="宋体" w:hint="eastAsia"/>
          <w:b/>
          <w:bCs/>
          <w:szCs w:val="21"/>
        </w:rPr>
        <w:t>8</w:t>
      </w:r>
      <w:r w:rsidRPr="009D423B">
        <w:rPr>
          <w:rFonts w:ascii="微软雅黑" w:eastAsia="微软雅黑" w:hAnsi="微软雅黑" w:cs="宋体"/>
          <w:b/>
          <w:bCs/>
          <w:szCs w:val="21"/>
        </w:rPr>
        <w:t>）</w:t>
      </w:r>
      <w:r w:rsidR="00A609E4">
        <w:rPr>
          <w:rFonts w:ascii="微软雅黑" w:eastAsia="微软雅黑" w:hAnsi="微软雅黑" w:cs="宋体" w:hint="eastAsia"/>
          <w:b/>
          <w:bCs/>
          <w:szCs w:val="21"/>
        </w:rPr>
        <w:t>PC端</w:t>
      </w:r>
      <w:r w:rsidRPr="009D423B">
        <w:rPr>
          <w:rFonts w:ascii="微软雅黑" w:eastAsia="微软雅黑" w:hAnsi="微软雅黑" w:cs="宋体" w:hint="eastAsia"/>
          <w:b/>
          <w:bCs/>
          <w:szCs w:val="21"/>
        </w:rPr>
        <w:t>网民家庭月收入情况</w:t>
      </w:r>
    </w:p>
    <w:p w:rsidR="00263C61" w:rsidRPr="009D423B" w:rsidRDefault="0050355B" w:rsidP="00263C61">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00071148">
        <w:rPr>
          <w:rFonts w:ascii="微软雅黑" w:eastAsia="微软雅黑" w:hAnsi="微软雅黑" w:hint="eastAsia"/>
          <w:szCs w:val="21"/>
        </w:rPr>
        <w:t>，</w:t>
      </w:r>
      <w:r w:rsidR="00263C61" w:rsidRPr="009D423B">
        <w:rPr>
          <w:rFonts w:ascii="微软雅黑" w:eastAsia="微软雅黑" w:hAnsi="微软雅黑"/>
          <w:szCs w:val="21"/>
        </w:rPr>
        <w:t>陕西省网民家庭月收入主要集中在2000</w:t>
      </w:r>
      <w:r w:rsidR="00263C61" w:rsidRPr="009D423B">
        <w:rPr>
          <w:rFonts w:ascii="微软雅黑" w:eastAsia="微软雅黑" w:hAnsi="微软雅黑" w:hint="eastAsia"/>
          <w:szCs w:val="21"/>
        </w:rPr>
        <w:t>-6</w:t>
      </w:r>
      <w:r w:rsidR="00263C61" w:rsidRPr="009D423B">
        <w:rPr>
          <w:rFonts w:ascii="微软雅黑" w:eastAsia="微软雅黑" w:hAnsi="微软雅黑"/>
          <w:szCs w:val="21"/>
        </w:rPr>
        <w:t>000元区间内，</w:t>
      </w:r>
      <w:r w:rsidR="00263C61" w:rsidRPr="009D423B">
        <w:rPr>
          <w:rFonts w:ascii="微软雅黑" w:eastAsia="微软雅黑" w:hAnsi="微软雅黑" w:hint="eastAsia"/>
          <w:szCs w:val="21"/>
        </w:rPr>
        <w:t>合计占比</w:t>
      </w:r>
      <w:r w:rsidR="00263C61" w:rsidRPr="009D423B">
        <w:rPr>
          <w:rFonts w:ascii="微软雅黑" w:eastAsia="微软雅黑" w:hAnsi="微软雅黑"/>
          <w:szCs w:val="21"/>
        </w:rPr>
        <w:t>达</w:t>
      </w:r>
      <w:r w:rsidR="00263C61" w:rsidRPr="009D423B">
        <w:rPr>
          <w:rFonts w:ascii="微软雅黑" w:eastAsia="微软雅黑" w:hAnsi="微软雅黑" w:hint="eastAsia"/>
          <w:szCs w:val="21"/>
        </w:rPr>
        <w:t>58.</w:t>
      </w:r>
      <w:r w:rsidR="00071148">
        <w:rPr>
          <w:rFonts w:ascii="微软雅黑" w:eastAsia="微软雅黑" w:hAnsi="微软雅黑" w:hint="eastAsia"/>
          <w:szCs w:val="21"/>
        </w:rPr>
        <w:t>2</w:t>
      </w:r>
      <w:r w:rsidR="00263C61" w:rsidRPr="009D423B">
        <w:rPr>
          <w:rFonts w:ascii="微软雅黑" w:eastAsia="微软雅黑" w:hAnsi="微软雅黑"/>
          <w:szCs w:val="21"/>
        </w:rPr>
        <w:t>%</w:t>
      </w:r>
      <w:r w:rsidR="00071148">
        <w:rPr>
          <w:rFonts w:ascii="微软雅黑" w:eastAsia="微软雅黑" w:hAnsi="微软雅黑" w:hint="eastAsia"/>
          <w:szCs w:val="21"/>
        </w:rPr>
        <w:t>，</w:t>
      </w:r>
      <w:r w:rsidR="00071148">
        <w:rPr>
          <w:rFonts w:ascii="微软雅黑" w:eastAsia="微软雅黑" w:hAnsi="微软雅黑"/>
          <w:szCs w:val="21"/>
        </w:rPr>
        <w:t>与</w:t>
      </w:r>
      <w:r w:rsidR="00071148">
        <w:rPr>
          <w:rFonts w:ascii="微软雅黑" w:eastAsia="微软雅黑" w:hAnsi="微软雅黑" w:hint="eastAsia"/>
          <w:szCs w:val="21"/>
        </w:rPr>
        <w:t>2016年基本一致</w:t>
      </w:r>
      <w:r w:rsidR="00263C61" w:rsidRPr="009D423B">
        <w:rPr>
          <w:rFonts w:ascii="微软雅黑" w:eastAsia="微软雅黑" w:hAnsi="微软雅黑" w:hint="eastAsia"/>
          <w:szCs w:val="21"/>
        </w:rPr>
        <w:t>；</w:t>
      </w:r>
      <w:r w:rsidR="00071148">
        <w:rPr>
          <w:rFonts w:ascii="微软雅黑" w:eastAsia="微软雅黑" w:hAnsi="微软雅黑" w:hint="eastAsia"/>
          <w:szCs w:val="21"/>
        </w:rPr>
        <w:t>全省网民</w:t>
      </w:r>
      <w:r w:rsidR="00263C61" w:rsidRPr="009D423B">
        <w:rPr>
          <w:rFonts w:ascii="微软雅黑" w:eastAsia="微软雅黑" w:hAnsi="微软雅黑" w:hint="eastAsia"/>
          <w:szCs w:val="21"/>
        </w:rPr>
        <w:t>家庭收入在6000元以上</w:t>
      </w:r>
      <w:r w:rsidR="008B6331">
        <w:rPr>
          <w:rFonts w:ascii="微软雅黑" w:eastAsia="微软雅黑" w:hAnsi="微软雅黑" w:hint="eastAsia"/>
          <w:szCs w:val="21"/>
        </w:rPr>
        <w:t>占比为</w:t>
      </w:r>
      <w:r w:rsidR="00D4293E">
        <w:rPr>
          <w:rFonts w:ascii="微软雅黑" w:eastAsia="微软雅黑" w:hAnsi="微软雅黑" w:hint="eastAsia"/>
          <w:szCs w:val="21"/>
        </w:rPr>
        <w:t>27.1</w:t>
      </w:r>
      <w:r w:rsidR="00263C61" w:rsidRPr="009D423B">
        <w:rPr>
          <w:rFonts w:ascii="微软雅黑" w:eastAsia="微软雅黑" w:hAnsi="微软雅黑" w:hint="eastAsia"/>
          <w:szCs w:val="21"/>
        </w:rPr>
        <w:t>%，相</w:t>
      </w:r>
      <w:r w:rsidR="00D4293E">
        <w:rPr>
          <w:rFonts w:ascii="微软雅黑" w:eastAsia="微软雅黑" w:hAnsi="微软雅黑" w:hint="eastAsia"/>
          <w:szCs w:val="21"/>
        </w:rPr>
        <w:t>较</w:t>
      </w:r>
      <w:r w:rsidR="00D4293E" w:rsidRPr="009D423B">
        <w:rPr>
          <w:rFonts w:ascii="微软雅黑" w:eastAsia="微软雅黑" w:hAnsi="微软雅黑" w:hint="eastAsia"/>
          <w:szCs w:val="21"/>
        </w:rPr>
        <w:t>201</w:t>
      </w:r>
      <w:r w:rsidR="00D4293E">
        <w:rPr>
          <w:rFonts w:ascii="微软雅黑" w:eastAsia="微软雅黑" w:hAnsi="微软雅黑" w:hint="eastAsia"/>
          <w:szCs w:val="21"/>
        </w:rPr>
        <w:t>6</w:t>
      </w:r>
      <w:r w:rsidR="00263C61" w:rsidRPr="009D423B">
        <w:rPr>
          <w:rFonts w:ascii="微软雅黑" w:eastAsia="微软雅黑" w:hAnsi="微软雅黑" w:hint="eastAsia"/>
          <w:szCs w:val="21"/>
        </w:rPr>
        <w:t>年增加了</w:t>
      </w:r>
      <w:r w:rsidR="00D4293E">
        <w:rPr>
          <w:rFonts w:ascii="微软雅黑" w:eastAsia="微软雅黑" w:hAnsi="微软雅黑" w:hint="eastAsia"/>
          <w:szCs w:val="21"/>
        </w:rPr>
        <w:t>0.2</w:t>
      </w:r>
      <w:r w:rsidR="00263C61" w:rsidRPr="009D423B">
        <w:rPr>
          <w:rFonts w:ascii="微软雅黑" w:eastAsia="微软雅黑" w:hAnsi="微软雅黑" w:hint="eastAsia"/>
          <w:szCs w:val="21"/>
        </w:rPr>
        <w:t>个百分点。</w:t>
      </w:r>
    </w:p>
    <w:p w:rsidR="00263C61" w:rsidRPr="009D423B" w:rsidRDefault="00263C61" w:rsidP="00263C61">
      <w:pPr>
        <w:spacing w:line="100" w:lineRule="exact"/>
        <w:ind w:firstLineChars="200" w:firstLine="40"/>
        <w:rPr>
          <w:rFonts w:ascii="微软雅黑" w:eastAsia="微软雅黑" w:hAnsi="微软雅黑"/>
          <w:noProof/>
          <w:sz w:val="2"/>
          <w:szCs w:val="2"/>
        </w:rPr>
      </w:pPr>
    </w:p>
    <w:p w:rsidR="00864AD5" w:rsidRPr="009D423B" w:rsidRDefault="00864AD5" w:rsidP="00263C61">
      <w:pPr>
        <w:snapToGrid w:val="0"/>
        <w:jc w:val="center"/>
        <w:rPr>
          <w:rFonts w:ascii="微软雅黑" w:eastAsia="微软雅黑" w:hAnsi="微软雅黑"/>
          <w:noProof/>
          <w:szCs w:val="21"/>
        </w:rPr>
      </w:pPr>
      <w:r>
        <w:rPr>
          <w:noProof/>
        </w:rPr>
        <w:drawing>
          <wp:inline distT="0" distB="0" distL="0" distR="0">
            <wp:extent cx="4809600" cy="3060000"/>
            <wp:effectExtent l="0" t="0" r="10160" b="26670"/>
            <wp:docPr id="1062" name="图表 10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63C61" w:rsidRDefault="00263C61" w:rsidP="00263C61">
      <w:pPr>
        <w:pStyle w:val="ab"/>
      </w:pPr>
      <w:bookmarkStart w:id="17" w:name="_Toc524418095"/>
      <w:r w:rsidRPr="009D423B">
        <w:rPr>
          <w:rFonts w:hint="eastAsia"/>
        </w:rPr>
        <w:t>图</w:t>
      </w:r>
      <w:r w:rsidRPr="009D423B">
        <w:t>1-</w:t>
      </w:r>
      <w:r w:rsidR="00001B06">
        <w:rPr>
          <w:rFonts w:hint="eastAsia"/>
        </w:rPr>
        <w:t>9</w:t>
      </w:r>
      <w:r w:rsidR="005D121F" w:rsidRPr="009D423B">
        <w:t xml:space="preserve">  </w:t>
      </w:r>
      <w:r w:rsidR="0050355B">
        <w:t>2017年</w:t>
      </w:r>
      <w:r w:rsidRPr="009D423B">
        <w:t>陕西省网民家庭月收入</w:t>
      </w:r>
      <w:r w:rsidRPr="009D423B">
        <w:rPr>
          <w:rFonts w:hint="eastAsia"/>
        </w:rPr>
        <w:t>分布</w:t>
      </w:r>
      <w:bookmarkEnd w:id="17"/>
    </w:p>
    <w:p w:rsidR="00A36DDA" w:rsidRPr="009D423B" w:rsidRDefault="00A36DDA" w:rsidP="00A25E10">
      <w:pPr>
        <w:outlineLvl w:val="3"/>
        <w:rPr>
          <w:rFonts w:ascii="微软雅黑" w:eastAsia="微软雅黑" w:hAnsi="微软雅黑"/>
          <w:b/>
          <w:bCs/>
        </w:rPr>
      </w:pPr>
      <w:bookmarkStart w:id="18" w:name="_Toc524417970"/>
      <w:r w:rsidRPr="009D423B">
        <w:rPr>
          <w:rFonts w:ascii="微软雅黑" w:eastAsia="微软雅黑" w:hAnsi="微软雅黑"/>
          <w:b/>
          <w:bCs/>
        </w:rPr>
        <w:t>2.移动端网民结构特征</w:t>
      </w:r>
      <w:bookmarkEnd w:id="18"/>
    </w:p>
    <w:p w:rsidR="003C70AA" w:rsidRPr="009D423B" w:rsidRDefault="003C70AA" w:rsidP="003C70AA">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（1）移动端网民性别分布</w:t>
      </w:r>
    </w:p>
    <w:p w:rsidR="008A56F0" w:rsidRDefault="0050355B" w:rsidP="0060351C">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2017年</w:t>
      </w:r>
      <w:r w:rsidR="003C70AA" w:rsidRPr="009D423B">
        <w:rPr>
          <w:rFonts w:ascii="微软雅黑" w:eastAsia="微软雅黑" w:hAnsi="微软雅黑" w:hint="eastAsia"/>
          <w:szCs w:val="21"/>
        </w:rPr>
        <w:t>，</w:t>
      </w:r>
      <w:r w:rsidR="00C52865" w:rsidRPr="009D423B">
        <w:rPr>
          <w:rFonts w:ascii="微软雅黑" w:eastAsia="微软雅黑" w:hAnsi="微软雅黑" w:hint="eastAsia"/>
          <w:szCs w:val="21"/>
        </w:rPr>
        <w:t>陕西省</w:t>
      </w:r>
      <w:r w:rsidR="003C70AA" w:rsidRPr="009D423B">
        <w:rPr>
          <w:rFonts w:ascii="微软雅黑" w:eastAsia="微软雅黑" w:hAnsi="微软雅黑" w:hint="eastAsia"/>
          <w:szCs w:val="21"/>
        </w:rPr>
        <w:t>移动端网民中男性与女性比例为5</w:t>
      </w:r>
      <w:r w:rsidR="00D4293E">
        <w:rPr>
          <w:rFonts w:ascii="微软雅黑" w:eastAsia="微软雅黑" w:hAnsi="微软雅黑" w:hint="eastAsia"/>
          <w:szCs w:val="21"/>
        </w:rPr>
        <w:t>8</w:t>
      </w:r>
      <w:r w:rsidR="00A609E4">
        <w:rPr>
          <w:rFonts w:ascii="微软雅黑" w:eastAsia="微软雅黑" w:hAnsi="微软雅黑" w:hint="eastAsia"/>
          <w:szCs w:val="21"/>
        </w:rPr>
        <w:t>：</w:t>
      </w:r>
      <w:r w:rsidR="003C70AA" w:rsidRPr="009D423B">
        <w:rPr>
          <w:rFonts w:ascii="微软雅黑" w:eastAsia="微软雅黑" w:hAnsi="微软雅黑" w:hint="eastAsia"/>
          <w:szCs w:val="21"/>
        </w:rPr>
        <w:t>4</w:t>
      </w:r>
      <w:r w:rsidR="00D4293E">
        <w:rPr>
          <w:rFonts w:ascii="微软雅黑" w:eastAsia="微软雅黑" w:hAnsi="微软雅黑" w:hint="eastAsia"/>
          <w:szCs w:val="21"/>
        </w:rPr>
        <w:t>2</w:t>
      </w:r>
      <w:r w:rsidR="003C70AA" w:rsidRPr="009D423B">
        <w:rPr>
          <w:rFonts w:ascii="微软雅黑" w:eastAsia="微软雅黑" w:hAnsi="微软雅黑" w:hint="eastAsia"/>
          <w:szCs w:val="21"/>
        </w:rPr>
        <w:t>，</w:t>
      </w:r>
      <w:r w:rsidR="00D4293E">
        <w:rPr>
          <w:rFonts w:ascii="微软雅黑" w:eastAsia="微软雅黑" w:hAnsi="微软雅黑" w:hint="eastAsia"/>
          <w:szCs w:val="21"/>
        </w:rPr>
        <w:t>与2016年相比，移动端男性网民占比提升了1.4个百分点。</w:t>
      </w:r>
      <w:r w:rsidR="005D121F">
        <w:rPr>
          <w:rFonts w:ascii="微软雅黑" w:eastAsia="微软雅黑" w:hAnsi="微软雅黑" w:hint="eastAsia"/>
          <w:szCs w:val="21"/>
        </w:rPr>
        <w:t>整体来看，陕西省移动端网民与全国58.4：41.6的</w:t>
      </w:r>
      <w:r w:rsidR="00A609E4">
        <w:rPr>
          <w:rFonts w:ascii="微软雅黑" w:eastAsia="微软雅黑" w:hAnsi="微软雅黑" w:hint="eastAsia"/>
          <w:szCs w:val="21"/>
        </w:rPr>
        <w:t>性别</w:t>
      </w:r>
      <w:r w:rsidR="005D121F">
        <w:rPr>
          <w:rFonts w:ascii="微软雅黑" w:eastAsia="微软雅黑" w:hAnsi="微软雅黑" w:hint="eastAsia"/>
          <w:szCs w:val="21"/>
        </w:rPr>
        <w:t>比例结构基本一致。</w:t>
      </w:r>
    </w:p>
    <w:p w:rsidR="0060351C" w:rsidRPr="0060351C" w:rsidRDefault="0060351C" w:rsidP="0060351C">
      <w:pPr>
        <w:widowControl/>
        <w:ind w:firstLineChars="200" w:firstLine="200"/>
        <w:jc w:val="left"/>
        <w:rPr>
          <w:rFonts w:ascii="微软雅黑" w:eastAsia="微软雅黑" w:hAnsi="微软雅黑"/>
          <w:sz w:val="10"/>
          <w:szCs w:val="10"/>
        </w:rPr>
      </w:pPr>
    </w:p>
    <w:p w:rsidR="0060351C" w:rsidRDefault="0060351C" w:rsidP="003C70AA">
      <w:pPr>
        <w:jc w:val="center"/>
        <w:rPr>
          <w:szCs w:val="21"/>
        </w:rPr>
      </w:pPr>
      <w:r>
        <w:rPr>
          <w:noProof/>
        </w:rPr>
        <w:drawing>
          <wp:inline distT="0" distB="0" distL="0" distR="0">
            <wp:extent cx="4810125" cy="3060000"/>
            <wp:effectExtent l="0" t="0" r="9525" b="2667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70AA" w:rsidRDefault="003C70AA" w:rsidP="003C70AA">
      <w:pPr>
        <w:pStyle w:val="ab"/>
      </w:pPr>
      <w:bookmarkStart w:id="19" w:name="_Toc483275429"/>
      <w:bookmarkStart w:id="20" w:name="_Toc524418096"/>
      <w:r w:rsidRPr="009D423B">
        <w:rPr>
          <w:rFonts w:hint="eastAsia"/>
        </w:rPr>
        <w:t>图1-</w:t>
      </w:r>
      <w:r w:rsidR="00461E73" w:rsidRPr="009D423B">
        <w:rPr>
          <w:rFonts w:hint="eastAsia"/>
        </w:rPr>
        <w:t>1</w:t>
      </w:r>
      <w:r w:rsidR="00001B06">
        <w:rPr>
          <w:rFonts w:hint="eastAsia"/>
        </w:rPr>
        <w:t>0</w:t>
      </w:r>
      <w:r w:rsidR="00461E73" w:rsidRPr="009D423B">
        <w:rPr>
          <w:rFonts w:hint="eastAsia"/>
        </w:rPr>
        <w:t xml:space="preserve">  </w:t>
      </w:r>
      <w:r w:rsidR="00A609E4">
        <w:rPr>
          <w:rFonts w:hint="eastAsia"/>
        </w:rPr>
        <w:t>2015-</w:t>
      </w:r>
      <w:r w:rsidR="00A609E4" w:rsidRPr="009D423B">
        <w:t>201</w:t>
      </w:r>
      <w:r w:rsidR="00A609E4">
        <w:rPr>
          <w:rFonts w:hint="eastAsia"/>
        </w:rPr>
        <w:t>7</w:t>
      </w:r>
      <w:r w:rsidR="0050355B">
        <w:rPr>
          <w:rFonts w:hint="eastAsia"/>
        </w:rPr>
        <w:t>年</w:t>
      </w:r>
      <w:r w:rsidR="00C52865" w:rsidRPr="009D423B">
        <w:rPr>
          <w:rFonts w:hint="eastAsia"/>
        </w:rPr>
        <w:t>陕西省</w:t>
      </w:r>
      <w:r w:rsidRPr="009D423B">
        <w:rPr>
          <w:rFonts w:hint="eastAsia"/>
        </w:rPr>
        <w:t>移动端网民性别分布</w:t>
      </w:r>
      <w:bookmarkEnd w:id="19"/>
      <w:bookmarkEnd w:id="20"/>
    </w:p>
    <w:p w:rsidR="0060351C" w:rsidRPr="00F454DF" w:rsidRDefault="0060351C" w:rsidP="00F454DF">
      <w:pPr>
        <w:widowControl/>
        <w:spacing w:line="380" w:lineRule="exact"/>
        <w:ind w:firstLineChars="200" w:firstLine="420"/>
        <w:jc w:val="left"/>
        <w:rPr>
          <w:rFonts w:ascii="微软雅黑" w:eastAsia="微软雅黑" w:hAnsi="微软雅黑"/>
          <w:szCs w:val="21"/>
        </w:rPr>
      </w:pPr>
    </w:p>
    <w:p w:rsidR="003C70AA" w:rsidRPr="009D423B" w:rsidRDefault="003C70AA" w:rsidP="003F3263">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（2）移动端网民年龄分布</w:t>
      </w:r>
    </w:p>
    <w:p w:rsidR="0060351C" w:rsidRDefault="0060351C" w:rsidP="00FD3933">
      <w:pPr>
        <w:widowControl/>
        <w:spacing w:line="380" w:lineRule="exact"/>
        <w:ind w:firstLineChars="200" w:firstLine="420"/>
        <w:jc w:val="left"/>
        <w:rPr>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移动端网民中，</w:t>
      </w:r>
      <w:r w:rsidRPr="009D423B">
        <w:rPr>
          <w:rFonts w:ascii="微软雅黑" w:eastAsia="微软雅黑" w:hAnsi="微软雅黑" w:hint="eastAsia"/>
          <w:szCs w:val="21"/>
        </w:rPr>
        <w:t>25-30岁</w:t>
      </w:r>
      <w:r>
        <w:rPr>
          <w:rFonts w:ascii="微软雅黑" w:eastAsia="微软雅黑" w:hAnsi="微软雅黑" w:hint="eastAsia"/>
          <w:szCs w:val="21"/>
        </w:rPr>
        <w:t>、40岁以上两个年龄段用户占比</w:t>
      </w:r>
      <w:r w:rsidR="00EA0D3B">
        <w:rPr>
          <w:rFonts w:ascii="微软雅黑" w:eastAsia="微软雅黑" w:hAnsi="微软雅黑" w:hint="eastAsia"/>
          <w:szCs w:val="21"/>
        </w:rPr>
        <w:t>与</w:t>
      </w:r>
      <w:r>
        <w:rPr>
          <w:rFonts w:ascii="微软雅黑" w:eastAsia="微软雅黑" w:hAnsi="微软雅黑" w:hint="eastAsia"/>
          <w:szCs w:val="21"/>
        </w:rPr>
        <w:t>2016年</w:t>
      </w:r>
      <w:r w:rsidR="00EA0D3B">
        <w:rPr>
          <w:rFonts w:ascii="微软雅黑" w:eastAsia="微软雅黑" w:hAnsi="微软雅黑" w:hint="eastAsia"/>
          <w:szCs w:val="21"/>
        </w:rPr>
        <w:t>相比</w:t>
      </w:r>
      <w:r>
        <w:rPr>
          <w:rFonts w:ascii="微软雅黑" w:eastAsia="微软雅黑" w:hAnsi="微软雅黑" w:hint="eastAsia"/>
          <w:szCs w:val="21"/>
        </w:rPr>
        <w:t>有所下降，而24岁以下、31-35岁以及36-40岁则有不同程度增加。总体来看，2017年陕西省移动端</w:t>
      </w:r>
      <w:r w:rsidRPr="009D423B">
        <w:rPr>
          <w:rFonts w:ascii="微软雅黑" w:eastAsia="微软雅黑" w:hAnsi="微软雅黑" w:hint="eastAsia"/>
          <w:szCs w:val="21"/>
        </w:rPr>
        <w:t>网民</w:t>
      </w:r>
      <w:r>
        <w:rPr>
          <w:rFonts w:ascii="微软雅黑" w:eastAsia="微软雅黑" w:hAnsi="微软雅黑" w:hint="eastAsia"/>
          <w:szCs w:val="21"/>
        </w:rPr>
        <w:t>在</w:t>
      </w:r>
      <w:r w:rsidRPr="009D423B">
        <w:rPr>
          <w:rFonts w:ascii="微软雅黑" w:eastAsia="微软雅黑" w:hAnsi="微软雅黑" w:hint="eastAsia"/>
          <w:szCs w:val="21"/>
        </w:rPr>
        <w:t>24岁以下</w:t>
      </w:r>
      <w:r>
        <w:rPr>
          <w:rFonts w:ascii="微软雅黑" w:eastAsia="微软雅黑" w:hAnsi="微软雅黑" w:hint="eastAsia"/>
          <w:szCs w:val="21"/>
        </w:rPr>
        <w:t>、</w:t>
      </w:r>
      <w:r w:rsidRPr="009D423B">
        <w:rPr>
          <w:rFonts w:ascii="微软雅黑" w:eastAsia="微软雅黑" w:hAnsi="微软雅黑" w:hint="eastAsia"/>
          <w:szCs w:val="21"/>
        </w:rPr>
        <w:t>25-30岁</w:t>
      </w:r>
      <w:r>
        <w:rPr>
          <w:rFonts w:ascii="微软雅黑" w:eastAsia="微软雅黑" w:hAnsi="微软雅黑" w:hint="eastAsia"/>
          <w:szCs w:val="21"/>
        </w:rPr>
        <w:t>以及</w:t>
      </w:r>
      <w:r w:rsidRPr="009D423B">
        <w:rPr>
          <w:rFonts w:ascii="微软雅黑" w:eastAsia="微软雅黑" w:hAnsi="微软雅黑" w:hint="eastAsia"/>
          <w:szCs w:val="21"/>
        </w:rPr>
        <w:t>31-35</w:t>
      </w:r>
      <w:r>
        <w:rPr>
          <w:rFonts w:ascii="微软雅黑" w:eastAsia="微软雅黑" w:hAnsi="微软雅黑" w:hint="eastAsia"/>
          <w:szCs w:val="21"/>
        </w:rPr>
        <w:t>岁三个年龄段占比已基本相当，分别为26.0%、26.7%和26.6%，三者合计占比提升至80%附近，是移动端网民分布的主要年龄段。</w:t>
      </w:r>
    </w:p>
    <w:p w:rsidR="008A56F0" w:rsidRPr="009D423B" w:rsidRDefault="0060351C" w:rsidP="003C70AA">
      <w:pPr>
        <w:jc w:val="center"/>
        <w:rPr>
          <w:szCs w:val="21"/>
        </w:rPr>
      </w:pPr>
      <w:r>
        <w:rPr>
          <w:noProof/>
        </w:rPr>
        <w:drawing>
          <wp:inline distT="0" distB="0" distL="0" distR="0">
            <wp:extent cx="4809490" cy="2880000"/>
            <wp:effectExtent l="0" t="0" r="10160" b="15875"/>
            <wp:docPr id="1122" name="图表 1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70AA" w:rsidRDefault="003C70AA" w:rsidP="003C70AA">
      <w:pPr>
        <w:pStyle w:val="ab"/>
      </w:pPr>
      <w:bookmarkStart w:id="21" w:name="_Toc483275430"/>
      <w:bookmarkStart w:id="22" w:name="_Toc524418097"/>
      <w:r w:rsidRPr="009D423B">
        <w:rPr>
          <w:rFonts w:hint="eastAsia"/>
        </w:rPr>
        <w:t>图1-</w:t>
      </w:r>
      <w:r w:rsidR="00461E73" w:rsidRPr="009D423B">
        <w:rPr>
          <w:rFonts w:hint="eastAsia"/>
        </w:rPr>
        <w:t>1</w:t>
      </w:r>
      <w:r w:rsidR="00001B06">
        <w:rPr>
          <w:rFonts w:hint="eastAsia"/>
        </w:rPr>
        <w:t>1</w:t>
      </w:r>
      <w:r w:rsidR="00461E73" w:rsidRPr="009D423B">
        <w:rPr>
          <w:rFonts w:hint="eastAsia"/>
        </w:rPr>
        <w:t xml:space="preserve">  </w:t>
      </w:r>
      <w:r w:rsidR="00A609E4">
        <w:rPr>
          <w:rFonts w:hint="eastAsia"/>
        </w:rPr>
        <w:t>2015-</w:t>
      </w:r>
      <w:r w:rsidR="00A609E4" w:rsidRPr="009D423B">
        <w:t>201</w:t>
      </w:r>
      <w:r w:rsidR="00A609E4">
        <w:rPr>
          <w:rFonts w:hint="eastAsia"/>
        </w:rPr>
        <w:t>7</w:t>
      </w:r>
      <w:r w:rsidR="0050355B">
        <w:rPr>
          <w:rFonts w:hint="eastAsia"/>
        </w:rPr>
        <w:t>年</w:t>
      </w:r>
      <w:r w:rsidR="00C52865" w:rsidRPr="009D423B">
        <w:rPr>
          <w:rFonts w:hint="eastAsia"/>
        </w:rPr>
        <w:t>陕西省</w:t>
      </w:r>
      <w:r w:rsidRPr="009D423B">
        <w:rPr>
          <w:rFonts w:hint="eastAsia"/>
        </w:rPr>
        <w:t>移动端网民年龄分布</w:t>
      </w:r>
      <w:bookmarkEnd w:id="21"/>
      <w:bookmarkEnd w:id="22"/>
    </w:p>
    <w:p w:rsidR="003C70AA" w:rsidRPr="009D423B" w:rsidRDefault="003C70AA" w:rsidP="003C70AA">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w:t>
      </w:r>
      <w:r w:rsidR="008A56F0">
        <w:rPr>
          <w:rFonts w:ascii="微软雅黑" w:eastAsia="微软雅黑" w:hAnsi="微软雅黑" w:hint="eastAsia"/>
          <w:b/>
          <w:szCs w:val="21"/>
        </w:rPr>
        <w:t>3</w:t>
      </w:r>
      <w:r w:rsidRPr="009D423B">
        <w:rPr>
          <w:rFonts w:ascii="微软雅黑" w:eastAsia="微软雅黑" w:hAnsi="微软雅黑" w:hint="eastAsia"/>
          <w:b/>
          <w:szCs w:val="21"/>
        </w:rPr>
        <w:t>）移动端网民使用设备系统情况</w:t>
      </w:r>
    </w:p>
    <w:p w:rsidR="0060351C" w:rsidRPr="00FD3933" w:rsidRDefault="0060351C" w:rsidP="00FD3933">
      <w:pPr>
        <w:widowControl/>
        <w:spacing w:line="380" w:lineRule="exact"/>
        <w:ind w:firstLineChars="200" w:firstLine="420"/>
        <w:jc w:val="left"/>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，陕西省移动端网民使用设备系统中，Android用户占比</w:t>
      </w:r>
      <w:r>
        <w:rPr>
          <w:rFonts w:ascii="微软雅黑" w:eastAsia="微软雅黑" w:hAnsi="微软雅黑" w:hint="eastAsia"/>
          <w:szCs w:val="21"/>
        </w:rPr>
        <w:t>72.4</w:t>
      </w:r>
      <w:r w:rsidRPr="009D423B">
        <w:rPr>
          <w:rFonts w:ascii="微软雅黑" w:eastAsia="微软雅黑" w:hAnsi="微软雅黑" w:hint="eastAsia"/>
          <w:szCs w:val="21"/>
        </w:rPr>
        <w:t>%，IOS</w:t>
      </w:r>
      <w:r>
        <w:rPr>
          <w:rFonts w:ascii="微软雅黑" w:eastAsia="微软雅黑" w:hAnsi="微软雅黑" w:hint="eastAsia"/>
          <w:szCs w:val="21"/>
        </w:rPr>
        <w:t>用户</w:t>
      </w:r>
      <w:r w:rsidRPr="009D423B">
        <w:rPr>
          <w:rFonts w:ascii="微软雅黑" w:eastAsia="微软雅黑" w:hAnsi="微软雅黑" w:hint="eastAsia"/>
          <w:szCs w:val="21"/>
        </w:rPr>
        <w:t>占比</w:t>
      </w:r>
      <w:r>
        <w:rPr>
          <w:rFonts w:ascii="微软雅黑" w:eastAsia="微软雅黑" w:hAnsi="微软雅黑" w:hint="eastAsia"/>
          <w:szCs w:val="21"/>
        </w:rPr>
        <w:t>27.6</w:t>
      </w:r>
      <w:r w:rsidRPr="009D423B">
        <w:rPr>
          <w:rFonts w:ascii="微软雅黑" w:eastAsia="微软雅黑" w:hAnsi="微软雅黑" w:hint="eastAsia"/>
          <w:szCs w:val="21"/>
        </w:rPr>
        <w:t>%（仅监测Android和IOS两大平台）。</w:t>
      </w:r>
      <w:r w:rsidR="00EA0D3B">
        <w:rPr>
          <w:rFonts w:ascii="微软雅黑" w:eastAsia="微软雅黑" w:hAnsi="微软雅黑" w:hint="eastAsia"/>
          <w:szCs w:val="21"/>
        </w:rPr>
        <w:t>与2016年相比，</w:t>
      </w:r>
      <w:r w:rsidR="00EA0D3B" w:rsidRPr="009D423B">
        <w:rPr>
          <w:rFonts w:ascii="微软雅黑" w:eastAsia="微软雅黑" w:hAnsi="微软雅黑" w:hint="eastAsia"/>
          <w:szCs w:val="21"/>
        </w:rPr>
        <w:t>Android系统</w:t>
      </w:r>
      <w:r w:rsidR="00EA0D3B">
        <w:rPr>
          <w:rFonts w:ascii="微软雅黑" w:eastAsia="微软雅黑" w:hAnsi="微软雅黑" w:hint="eastAsia"/>
          <w:szCs w:val="21"/>
        </w:rPr>
        <w:t>占比提升了0.5个百分点，而这与近年来国产品牌手机的快速崛起或存在一定关系。</w:t>
      </w:r>
    </w:p>
    <w:p w:rsidR="008A56F0" w:rsidRPr="009D423B" w:rsidRDefault="00FD3933" w:rsidP="003C70AA">
      <w:pPr>
        <w:jc w:val="center"/>
        <w:rPr>
          <w:szCs w:val="21"/>
        </w:rPr>
      </w:pPr>
      <w:r>
        <w:rPr>
          <w:noProof/>
        </w:rPr>
        <w:drawing>
          <wp:inline distT="0" distB="0" distL="0" distR="0">
            <wp:extent cx="4810125" cy="2880000"/>
            <wp:effectExtent l="0" t="0" r="9525" b="1587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C70AA" w:rsidRDefault="003C70AA" w:rsidP="003C70AA">
      <w:pPr>
        <w:pStyle w:val="ab"/>
      </w:pPr>
      <w:bookmarkStart w:id="23" w:name="_Toc483275432"/>
      <w:bookmarkStart w:id="24" w:name="_Toc524418098"/>
      <w:r w:rsidRPr="009D423B">
        <w:rPr>
          <w:rFonts w:hint="eastAsia"/>
        </w:rPr>
        <w:t>图1-</w:t>
      </w:r>
      <w:r w:rsidR="00461E73" w:rsidRPr="009D423B">
        <w:rPr>
          <w:rFonts w:hint="eastAsia"/>
        </w:rPr>
        <w:t>1</w:t>
      </w:r>
      <w:r w:rsidR="00001B06">
        <w:rPr>
          <w:rFonts w:hint="eastAsia"/>
        </w:rPr>
        <w:t>2</w:t>
      </w:r>
      <w:r w:rsidR="00461E73" w:rsidRPr="009D423B">
        <w:rPr>
          <w:rFonts w:hint="eastAsia"/>
        </w:rPr>
        <w:t xml:space="preserve">  </w:t>
      </w:r>
      <w:r w:rsidR="00A609E4">
        <w:rPr>
          <w:rFonts w:hint="eastAsia"/>
        </w:rPr>
        <w:t>2015-</w:t>
      </w:r>
      <w:r w:rsidR="00A609E4" w:rsidRPr="009D423B">
        <w:t>201</w:t>
      </w:r>
      <w:r w:rsidR="00A609E4">
        <w:rPr>
          <w:rFonts w:hint="eastAsia"/>
        </w:rPr>
        <w:t>7</w:t>
      </w:r>
      <w:r w:rsidR="0050355B">
        <w:rPr>
          <w:rFonts w:hint="eastAsia"/>
        </w:rPr>
        <w:t>年</w:t>
      </w:r>
      <w:r w:rsidR="00C52865" w:rsidRPr="009D423B">
        <w:rPr>
          <w:rFonts w:hint="eastAsia"/>
        </w:rPr>
        <w:t>陕西省</w:t>
      </w:r>
      <w:r w:rsidRPr="009D423B">
        <w:rPr>
          <w:rFonts w:hint="eastAsia"/>
        </w:rPr>
        <w:t>移动端网民使用设备系统情况</w:t>
      </w:r>
      <w:bookmarkEnd w:id="23"/>
      <w:bookmarkEnd w:id="24"/>
    </w:p>
    <w:p w:rsidR="008A56F0" w:rsidRPr="009D423B" w:rsidRDefault="008A56F0" w:rsidP="008A56F0">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w:t>
      </w:r>
      <w:r>
        <w:rPr>
          <w:rFonts w:ascii="微软雅黑" w:eastAsia="微软雅黑" w:hAnsi="微软雅黑" w:hint="eastAsia"/>
          <w:b/>
          <w:szCs w:val="21"/>
        </w:rPr>
        <w:t>4</w:t>
      </w:r>
      <w:r w:rsidRPr="009D423B">
        <w:rPr>
          <w:rFonts w:ascii="微软雅黑" w:eastAsia="微软雅黑" w:hAnsi="微软雅黑" w:hint="eastAsia"/>
          <w:b/>
          <w:szCs w:val="21"/>
        </w:rPr>
        <w:t>）移动端网民使用的终端类型</w:t>
      </w:r>
    </w:p>
    <w:p w:rsidR="00FD3933" w:rsidRPr="00FD3933" w:rsidRDefault="0050355B" w:rsidP="00FD3933">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2017年</w:t>
      </w:r>
      <w:r w:rsidR="008A56F0" w:rsidRPr="009D423B">
        <w:rPr>
          <w:rFonts w:ascii="微软雅黑" w:eastAsia="微软雅黑" w:hAnsi="微软雅黑" w:hint="eastAsia"/>
          <w:szCs w:val="21"/>
        </w:rPr>
        <w:t>，陕西省移动端网民中</w:t>
      </w:r>
      <w:r w:rsidR="00A609E4">
        <w:rPr>
          <w:rFonts w:ascii="微软雅黑" w:eastAsia="微软雅黑" w:hAnsi="微软雅黑" w:hint="eastAsia"/>
          <w:szCs w:val="21"/>
        </w:rPr>
        <w:t>，</w:t>
      </w:r>
      <w:r w:rsidR="00246CF7">
        <w:rPr>
          <w:rFonts w:ascii="微软雅黑" w:eastAsia="微软雅黑" w:hAnsi="微软雅黑" w:hint="eastAsia"/>
          <w:szCs w:val="21"/>
        </w:rPr>
        <w:t>通过</w:t>
      </w:r>
      <w:r w:rsidR="008A56F0" w:rsidRPr="009D423B">
        <w:rPr>
          <w:rFonts w:ascii="微软雅黑" w:eastAsia="微软雅黑" w:hAnsi="微软雅黑" w:hint="eastAsia"/>
          <w:szCs w:val="21"/>
        </w:rPr>
        <w:t>手机上网</w:t>
      </w:r>
      <w:r w:rsidR="00246CF7">
        <w:rPr>
          <w:rFonts w:ascii="微软雅黑" w:eastAsia="微软雅黑" w:hAnsi="微软雅黑" w:hint="eastAsia"/>
          <w:szCs w:val="21"/>
        </w:rPr>
        <w:t>用户占比达91%</w:t>
      </w:r>
      <w:r w:rsidR="008A56F0" w:rsidRPr="009D423B">
        <w:rPr>
          <w:rFonts w:ascii="微软雅黑" w:eastAsia="微软雅黑" w:hAnsi="微软雅黑" w:hint="eastAsia"/>
          <w:szCs w:val="21"/>
        </w:rPr>
        <w:t>，较</w:t>
      </w:r>
      <w:r w:rsidR="00246CF7" w:rsidRPr="009D423B">
        <w:rPr>
          <w:rFonts w:ascii="微软雅黑" w:eastAsia="微软雅黑" w:hAnsi="微软雅黑" w:hint="eastAsia"/>
          <w:szCs w:val="21"/>
        </w:rPr>
        <w:t>201</w:t>
      </w:r>
      <w:r w:rsidR="00246CF7">
        <w:rPr>
          <w:rFonts w:ascii="微软雅黑" w:eastAsia="微软雅黑" w:hAnsi="微软雅黑" w:hint="eastAsia"/>
          <w:szCs w:val="21"/>
        </w:rPr>
        <w:t>6</w:t>
      </w:r>
      <w:r w:rsidR="008A56F0" w:rsidRPr="009D423B">
        <w:rPr>
          <w:rFonts w:ascii="微软雅黑" w:eastAsia="微软雅黑" w:hAnsi="微软雅黑" w:hint="eastAsia"/>
          <w:szCs w:val="21"/>
        </w:rPr>
        <w:t>年提升</w:t>
      </w:r>
      <w:r w:rsidR="00246CF7">
        <w:rPr>
          <w:rFonts w:ascii="微软雅黑" w:eastAsia="微软雅黑" w:hAnsi="微软雅黑" w:hint="eastAsia"/>
          <w:szCs w:val="21"/>
        </w:rPr>
        <w:t>0.2</w:t>
      </w:r>
      <w:r w:rsidR="008A56F0" w:rsidRPr="009D423B">
        <w:rPr>
          <w:rFonts w:ascii="微软雅黑" w:eastAsia="微软雅黑" w:hAnsi="微软雅黑" w:hint="eastAsia"/>
          <w:szCs w:val="21"/>
        </w:rPr>
        <w:t>个百分点</w:t>
      </w:r>
      <w:r w:rsidR="00246CF7">
        <w:rPr>
          <w:rFonts w:ascii="微软雅黑" w:eastAsia="微软雅黑" w:hAnsi="微软雅黑" w:hint="eastAsia"/>
          <w:szCs w:val="21"/>
        </w:rPr>
        <w:t>；</w:t>
      </w:r>
      <w:r w:rsidR="008A56F0" w:rsidRPr="009D423B">
        <w:rPr>
          <w:rFonts w:ascii="微软雅黑" w:eastAsia="微软雅黑" w:hAnsi="微软雅黑" w:hint="eastAsia"/>
          <w:szCs w:val="21"/>
        </w:rPr>
        <w:t>使用平板电脑上网的用户占比则下降到</w:t>
      </w:r>
      <w:r w:rsidR="00246CF7">
        <w:rPr>
          <w:rFonts w:ascii="微软雅黑" w:eastAsia="微软雅黑" w:hAnsi="微软雅黑" w:hint="eastAsia"/>
          <w:szCs w:val="21"/>
        </w:rPr>
        <w:t>9.0</w:t>
      </w:r>
      <w:r w:rsidR="008A56F0" w:rsidRPr="009D423B">
        <w:rPr>
          <w:rFonts w:ascii="微软雅黑" w:eastAsia="微软雅黑" w:hAnsi="微软雅黑" w:hint="eastAsia"/>
          <w:szCs w:val="21"/>
        </w:rPr>
        <w:t>%</w:t>
      </w:r>
      <w:r w:rsidR="00246CF7">
        <w:rPr>
          <w:rFonts w:ascii="微软雅黑" w:eastAsia="微软雅黑" w:hAnsi="微软雅黑" w:hint="eastAsia"/>
          <w:szCs w:val="21"/>
        </w:rPr>
        <w:t>。</w:t>
      </w:r>
      <w:r w:rsidR="00336D76">
        <w:rPr>
          <w:rFonts w:ascii="微软雅黑" w:eastAsia="微软雅黑" w:hAnsi="微软雅黑" w:hint="eastAsia"/>
          <w:szCs w:val="21"/>
        </w:rPr>
        <w:t>整体来看，全省通过手机上网的用户占比连续两年保持增长，这反应出在流量资费不断降低的背景下，越来越多的网民更加倾向于通过手机使用网络服务，而平板</w:t>
      </w:r>
      <w:r w:rsidR="00336D76" w:rsidRPr="00336D76">
        <w:rPr>
          <w:rFonts w:ascii="微软雅黑" w:eastAsia="微软雅黑" w:hAnsi="微软雅黑" w:hint="eastAsia"/>
          <w:szCs w:val="21"/>
        </w:rPr>
        <w:t>电脑</w:t>
      </w:r>
      <w:r w:rsidR="00336D76">
        <w:rPr>
          <w:rFonts w:ascii="微软雅黑" w:eastAsia="微软雅黑" w:hAnsi="微软雅黑" w:hint="eastAsia"/>
          <w:szCs w:val="21"/>
        </w:rPr>
        <w:t>的地位正变得尴尬，其使用率有不断下降的趋势。</w:t>
      </w:r>
    </w:p>
    <w:p w:rsidR="008A56F0" w:rsidRDefault="00FD3933" w:rsidP="008A56F0">
      <w:pPr>
        <w:jc w:val="center"/>
        <w:rPr>
          <w:szCs w:val="21"/>
        </w:rPr>
      </w:pPr>
      <w:r>
        <w:rPr>
          <w:noProof/>
        </w:rPr>
        <w:drawing>
          <wp:inline distT="0" distB="0" distL="0" distR="0">
            <wp:extent cx="4810125" cy="3060000"/>
            <wp:effectExtent l="0" t="0" r="9525" b="26670"/>
            <wp:docPr id="97501" name="图表 97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56F0" w:rsidRPr="009D423B" w:rsidRDefault="008A56F0" w:rsidP="008A56F0">
      <w:pPr>
        <w:pStyle w:val="ab"/>
      </w:pPr>
      <w:bookmarkStart w:id="25" w:name="_Toc524418099"/>
      <w:r w:rsidRPr="009D423B">
        <w:rPr>
          <w:rFonts w:hint="eastAsia"/>
        </w:rPr>
        <w:t>图1-</w:t>
      </w:r>
      <w:r w:rsidR="00461E73" w:rsidRPr="009D423B">
        <w:rPr>
          <w:rFonts w:hint="eastAsia"/>
        </w:rPr>
        <w:t>1</w:t>
      </w:r>
      <w:r w:rsidR="00001B06">
        <w:rPr>
          <w:rFonts w:hint="eastAsia"/>
        </w:rPr>
        <w:t>3</w:t>
      </w:r>
      <w:r w:rsidR="00461E73" w:rsidRPr="009D423B">
        <w:rPr>
          <w:rFonts w:hint="eastAsia"/>
        </w:rPr>
        <w:t xml:space="preserve">  </w:t>
      </w:r>
      <w:r w:rsidR="00A609E4">
        <w:rPr>
          <w:rFonts w:hint="eastAsia"/>
        </w:rPr>
        <w:t>2015-</w:t>
      </w:r>
      <w:r w:rsidR="00A609E4" w:rsidRPr="009D423B">
        <w:t>201</w:t>
      </w:r>
      <w:r w:rsidR="00A609E4">
        <w:rPr>
          <w:rFonts w:hint="eastAsia"/>
        </w:rPr>
        <w:t>7</w:t>
      </w:r>
      <w:r w:rsidR="0050355B">
        <w:rPr>
          <w:rFonts w:hint="eastAsia"/>
        </w:rPr>
        <w:t>年</w:t>
      </w:r>
      <w:r w:rsidRPr="009D423B">
        <w:rPr>
          <w:rFonts w:hint="eastAsia"/>
        </w:rPr>
        <w:t>陕西省移动端网民使用设备终端类型情况</w:t>
      </w:r>
      <w:bookmarkEnd w:id="25"/>
    </w:p>
    <w:p w:rsidR="00FF4A1D" w:rsidRDefault="00FF4A1D" w:rsidP="00CA14F3"/>
    <w:p w:rsidR="00C564F4" w:rsidRDefault="00C564F4" w:rsidP="00CA14F3">
      <w:r>
        <w:br w:type="page"/>
      </w:r>
    </w:p>
    <w:p w:rsidR="00FE7E3C" w:rsidRPr="00AC0CD6" w:rsidRDefault="00C564F4" w:rsidP="00AC0CD6">
      <w:pPr>
        <w:spacing w:line="360" w:lineRule="auto"/>
        <w:outlineLvl w:val="1"/>
        <w:rPr>
          <w:rFonts w:ascii="微软雅黑" w:eastAsia="微软雅黑" w:hAnsi="微软雅黑"/>
          <w:b/>
        </w:rPr>
      </w:pPr>
      <w:bookmarkStart w:id="26" w:name="_Toc524417971"/>
      <w:r w:rsidRPr="00AC0CD6">
        <w:rPr>
          <w:rFonts w:ascii="微软雅黑" w:eastAsia="微软雅黑" w:hAnsi="微软雅黑" w:hint="eastAsia"/>
          <w:b/>
        </w:rPr>
        <w:t>二、陕西省网民新媒体</w:t>
      </w:r>
      <w:r w:rsidRPr="00AD7C9F">
        <w:rPr>
          <w:rFonts w:ascii="微软雅黑" w:eastAsia="微软雅黑" w:hAnsi="微软雅黑" w:hint="eastAsia"/>
          <w:b/>
        </w:rPr>
        <w:t>使用</w:t>
      </w:r>
      <w:r w:rsidRPr="00AC0CD6">
        <w:rPr>
          <w:rFonts w:ascii="微软雅黑" w:eastAsia="微软雅黑" w:hAnsi="微软雅黑" w:hint="eastAsia"/>
          <w:b/>
        </w:rPr>
        <w:t>情况</w:t>
      </w:r>
      <w:bookmarkEnd w:id="26"/>
    </w:p>
    <w:p w:rsidR="00835AA1" w:rsidRDefault="00835AA1" w:rsidP="00835AA1">
      <w:pPr>
        <w:spacing w:line="400" w:lineRule="exact"/>
        <w:ind w:firstLineChars="202" w:firstLine="485"/>
        <w:rPr>
          <w:rFonts w:ascii="微软雅黑" w:eastAsia="微软雅黑" w:hAnsi="微软雅黑"/>
          <w:sz w:val="24"/>
        </w:rPr>
      </w:pPr>
      <w:r w:rsidRPr="00E35226">
        <w:rPr>
          <w:rFonts w:ascii="微软雅黑" w:eastAsia="微软雅黑" w:hAnsi="微软雅黑"/>
          <w:sz w:val="24"/>
        </w:rPr>
        <w:t>新媒体是相对于传统媒体而言</w:t>
      </w:r>
      <w:r>
        <w:rPr>
          <w:rFonts w:ascii="微软雅黑" w:eastAsia="微软雅黑" w:hAnsi="微软雅黑"/>
          <w:sz w:val="24"/>
        </w:rPr>
        <w:t>的</w:t>
      </w:r>
      <w:r>
        <w:rPr>
          <w:rFonts w:ascii="微软雅黑" w:eastAsia="微软雅黑" w:hAnsi="微软雅黑" w:hint="eastAsia"/>
          <w:sz w:val="24"/>
        </w:rPr>
        <w:t>，</w:t>
      </w:r>
      <w:r>
        <w:rPr>
          <w:rFonts w:ascii="微软雅黑" w:eastAsia="微软雅黑" w:hAnsi="微软雅黑"/>
          <w:sz w:val="24"/>
        </w:rPr>
        <w:t>主要指</w:t>
      </w:r>
      <w:r w:rsidRPr="00E35226">
        <w:rPr>
          <w:rFonts w:ascii="微软雅黑" w:eastAsia="微软雅黑" w:hAnsi="微软雅黑"/>
          <w:sz w:val="24"/>
        </w:rPr>
        <w:t>利用数字技术</w:t>
      </w:r>
      <w:r>
        <w:rPr>
          <w:rFonts w:ascii="微软雅黑" w:eastAsia="微软雅黑" w:hAnsi="微软雅黑" w:hint="eastAsia"/>
          <w:sz w:val="24"/>
        </w:rPr>
        <w:t>、</w:t>
      </w:r>
      <w:r w:rsidRPr="00E35226">
        <w:rPr>
          <w:rFonts w:ascii="微软雅黑" w:eastAsia="微软雅黑" w:hAnsi="微软雅黑"/>
          <w:sz w:val="24"/>
        </w:rPr>
        <w:t>网络技术</w:t>
      </w:r>
      <w:r>
        <w:rPr>
          <w:rFonts w:ascii="微软雅黑" w:eastAsia="微软雅黑" w:hAnsi="微软雅黑" w:hint="eastAsia"/>
          <w:sz w:val="24"/>
        </w:rPr>
        <w:t>、</w:t>
      </w:r>
      <w:r w:rsidRPr="00E35226">
        <w:rPr>
          <w:rFonts w:ascii="微软雅黑" w:eastAsia="微软雅黑" w:hAnsi="微软雅黑"/>
          <w:sz w:val="24"/>
        </w:rPr>
        <w:t>移动技术</w:t>
      </w:r>
      <w:r>
        <w:rPr>
          <w:rFonts w:ascii="微软雅黑" w:eastAsia="微软雅黑" w:hAnsi="微软雅黑" w:hint="eastAsia"/>
          <w:sz w:val="24"/>
        </w:rPr>
        <w:t>、</w:t>
      </w:r>
      <w:r w:rsidRPr="00E35226">
        <w:rPr>
          <w:rFonts w:ascii="微软雅黑" w:eastAsia="微软雅黑" w:hAnsi="微软雅黑"/>
          <w:sz w:val="24"/>
        </w:rPr>
        <w:t>通过互联网</w:t>
      </w:r>
      <w:r>
        <w:rPr>
          <w:rFonts w:ascii="微软雅黑" w:eastAsia="微软雅黑" w:hAnsi="微软雅黑" w:hint="eastAsia"/>
          <w:sz w:val="24"/>
        </w:rPr>
        <w:t>、</w:t>
      </w:r>
      <w:r w:rsidRPr="00E35226">
        <w:rPr>
          <w:rFonts w:ascii="微软雅黑" w:eastAsia="微软雅黑" w:hAnsi="微软雅黑"/>
          <w:sz w:val="24"/>
        </w:rPr>
        <w:t>无线通信网</w:t>
      </w:r>
      <w:r>
        <w:rPr>
          <w:rFonts w:ascii="微软雅黑" w:eastAsia="微软雅黑" w:hAnsi="微软雅黑" w:hint="eastAsia"/>
          <w:sz w:val="24"/>
        </w:rPr>
        <w:t>、</w:t>
      </w:r>
      <w:r w:rsidRPr="00E35226">
        <w:rPr>
          <w:rFonts w:ascii="微软雅黑" w:eastAsia="微软雅黑" w:hAnsi="微软雅黑"/>
          <w:sz w:val="24"/>
        </w:rPr>
        <w:t>有线网络等渠道</w:t>
      </w:r>
      <w:r>
        <w:rPr>
          <w:rFonts w:ascii="微软雅黑" w:eastAsia="微软雅黑" w:hAnsi="微软雅黑" w:hint="eastAsia"/>
          <w:sz w:val="24"/>
        </w:rPr>
        <w:t>，通过</w:t>
      </w:r>
      <w:r w:rsidRPr="00E35226">
        <w:rPr>
          <w:rFonts w:ascii="微软雅黑" w:eastAsia="微软雅黑" w:hAnsi="微软雅黑"/>
          <w:sz w:val="24"/>
        </w:rPr>
        <w:t>电脑、手机、数字电视机等终端，向用户提供信息和娱乐的传播形态和媒体形态。</w:t>
      </w:r>
      <w:r w:rsidRPr="00E35226">
        <w:rPr>
          <w:rFonts w:ascii="微软雅黑" w:eastAsia="微软雅黑" w:hAnsi="微软雅黑" w:hint="eastAsia"/>
          <w:sz w:val="24"/>
        </w:rPr>
        <w:t>与传统</w:t>
      </w:r>
      <w:r w:rsidRPr="00E35226">
        <w:rPr>
          <w:rFonts w:ascii="微软雅黑" w:eastAsia="微软雅黑" w:hAnsi="微软雅黑"/>
          <w:sz w:val="24"/>
        </w:rPr>
        <w:t>报刊、广播、电视</w:t>
      </w:r>
      <w:r>
        <w:rPr>
          <w:rFonts w:ascii="微软雅黑" w:eastAsia="微软雅黑" w:hAnsi="微软雅黑"/>
          <w:sz w:val="24"/>
        </w:rPr>
        <w:t>等</w:t>
      </w:r>
      <w:r w:rsidRPr="00E35226">
        <w:rPr>
          <w:rFonts w:ascii="微软雅黑" w:eastAsia="微软雅黑" w:hAnsi="微软雅黑" w:hint="eastAsia"/>
          <w:sz w:val="24"/>
        </w:rPr>
        <w:t>媒体相比，新媒体</w:t>
      </w:r>
      <w:r>
        <w:rPr>
          <w:rFonts w:ascii="微软雅黑" w:eastAsia="微软雅黑" w:hAnsi="微软雅黑" w:hint="eastAsia"/>
          <w:sz w:val="24"/>
        </w:rPr>
        <w:t>具有</w:t>
      </w:r>
      <w:r w:rsidRPr="00E35226">
        <w:rPr>
          <w:rFonts w:ascii="微软雅黑" w:eastAsia="微软雅黑" w:hAnsi="微软雅黑" w:hint="eastAsia"/>
          <w:sz w:val="24"/>
        </w:rPr>
        <w:t>及时性、开放性、互动性的独特优势。</w:t>
      </w:r>
    </w:p>
    <w:p w:rsidR="00ED094E" w:rsidRPr="00E35226" w:rsidRDefault="00ED094E" w:rsidP="00835AA1">
      <w:pPr>
        <w:spacing w:line="400" w:lineRule="exact"/>
        <w:ind w:firstLineChars="202" w:firstLine="485"/>
        <w:rPr>
          <w:rFonts w:ascii="微软雅黑" w:eastAsia="微软雅黑" w:hAnsi="微软雅黑"/>
          <w:sz w:val="24"/>
        </w:rPr>
      </w:pPr>
      <w:r w:rsidRPr="00E35226">
        <w:rPr>
          <w:rFonts w:ascii="微软雅黑" w:eastAsia="微软雅黑" w:hAnsi="微软雅黑" w:hint="eastAsia"/>
          <w:sz w:val="24"/>
        </w:rPr>
        <w:t>从新媒体</w:t>
      </w:r>
      <w:r w:rsidR="0057324D">
        <w:rPr>
          <w:rFonts w:ascii="微软雅黑" w:eastAsia="微软雅黑" w:hAnsi="微软雅黑" w:hint="eastAsia"/>
          <w:sz w:val="24"/>
        </w:rPr>
        <w:t>行业</w:t>
      </w:r>
      <w:r w:rsidRPr="00E35226">
        <w:rPr>
          <w:rFonts w:ascii="微软雅黑" w:eastAsia="微软雅黑" w:hAnsi="微软雅黑" w:hint="eastAsia"/>
          <w:sz w:val="24"/>
        </w:rPr>
        <w:t>发展现状来看，</w:t>
      </w:r>
      <w:r>
        <w:rPr>
          <w:rFonts w:ascii="微软雅黑" w:eastAsia="微软雅黑" w:hAnsi="微软雅黑" w:hint="eastAsia"/>
          <w:sz w:val="24"/>
        </w:rPr>
        <w:t>新媒体</w:t>
      </w:r>
      <w:r w:rsidR="0057324D">
        <w:rPr>
          <w:rFonts w:ascii="微软雅黑" w:eastAsia="微软雅黑" w:hAnsi="微软雅黑" w:hint="eastAsia"/>
          <w:sz w:val="24"/>
        </w:rPr>
        <w:t>的</w:t>
      </w:r>
      <w:r>
        <w:rPr>
          <w:rFonts w:ascii="微软雅黑" w:eastAsia="微软雅黑" w:hAnsi="微软雅黑" w:hint="eastAsia"/>
          <w:sz w:val="24"/>
        </w:rPr>
        <w:t>技术支撑</w:t>
      </w:r>
      <w:r w:rsidR="0066477E">
        <w:rPr>
          <w:rFonts w:ascii="微软雅黑" w:eastAsia="微软雅黑" w:hAnsi="微软雅黑" w:hint="eastAsia"/>
          <w:sz w:val="24"/>
        </w:rPr>
        <w:t>已非常成熟，</w:t>
      </w:r>
      <w:r w:rsidRPr="00E35226">
        <w:rPr>
          <w:rFonts w:ascii="微软雅黑" w:eastAsia="微软雅黑" w:hAnsi="微软雅黑" w:hint="eastAsia"/>
          <w:sz w:val="24"/>
        </w:rPr>
        <w:t>计算机</w:t>
      </w:r>
      <w:r w:rsidR="0057324D">
        <w:rPr>
          <w:rFonts w:ascii="微软雅黑" w:eastAsia="微软雅黑" w:hAnsi="微软雅黑" w:hint="eastAsia"/>
          <w:sz w:val="24"/>
        </w:rPr>
        <w:t>已成为</w:t>
      </w:r>
      <w:r w:rsidRPr="00E35226">
        <w:rPr>
          <w:rFonts w:ascii="微软雅黑" w:eastAsia="微软雅黑" w:hAnsi="微软雅黑" w:hint="eastAsia"/>
          <w:sz w:val="24"/>
        </w:rPr>
        <w:t>新媒体传播的中心环节，互联网</w:t>
      </w:r>
      <w:r w:rsidR="0057324D">
        <w:rPr>
          <w:rFonts w:ascii="微软雅黑" w:eastAsia="微软雅黑" w:hAnsi="微软雅黑" w:hint="eastAsia"/>
          <w:sz w:val="24"/>
        </w:rPr>
        <w:t>则是</w:t>
      </w:r>
      <w:r w:rsidR="0066477E">
        <w:rPr>
          <w:rFonts w:ascii="微软雅黑" w:eastAsia="微软雅黑" w:hAnsi="微软雅黑" w:hint="eastAsia"/>
          <w:sz w:val="24"/>
        </w:rPr>
        <w:t>新媒体的</w:t>
      </w:r>
      <w:r w:rsidRPr="00E35226">
        <w:rPr>
          <w:rFonts w:ascii="微软雅黑" w:eastAsia="微软雅黑" w:hAnsi="微软雅黑" w:hint="eastAsia"/>
          <w:sz w:val="24"/>
        </w:rPr>
        <w:t>基本载体。</w:t>
      </w:r>
      <w:r w:rsidR="0066477E">
        <w:rPr>
          <w:rFonts w:ascii="微软雅黑" w:eastAsia="微软雅黑" w:hAnsi="微软雅黑" w:hint="eastAsia"/>
          <w:sz w:val="24"/>
        </w:rPr>
        <w:t>当前，</w:t>
      </w:r>
      <w:r w:rsidRPr="00E35226">
        <w:rPr>
          <w:rFonts w:ascii="微软雅黑" w:eastAsia="微软雅黑" w:hAnsi="微软雅黑" w:hint="eastAsia"/>
          <w:sz w:val="24"/>
        </w:rPr>
        <w:t>用户对新媒体的接受程度</w:t>
      </w:r>
      <w:r w:rsidR="0057324D">
        <w:rPr>
          <w:rFonts w:ascii="微软雅黑" w:eastAsia="微软雅黑" w:hAnsi="微软雅黑" w:hint="eastAsia"/>
          <w:sz w:val="24"/>
        </w:rPr>
        <w:t>普遍较高，而</w:t>
      </w:r>
      <w:r w:rsidRPr="00E35226">
        <w:rPr>
          <w:rFonts w:ascii="微软雅黑" w:eastAsia="微软雅黑" w:hAnsi="微软雅黑" w:hint="eastAsia"/>
          <w:sz w:val="24"/>
        </w:rPr>
        <w:t>新媒体</w:t>
      </w:r>
      <w:r w:rsidR="0066477E">
        <w:rPr>
          <w:rFonts w:ascii="微软雅黑" w:eastAsia="微软雅黑" w:hAnsi="微软雅黑" w:hint="eastAsia"/>
          <w:sz w:val="24"/>
        </w:rPr>
        <w:t>也</w:t>
      </w:r>
      <w:r w:rsidR="004069F4">
        <w:rPr>
          <w:rFonts w:ascii="微软雅黑" w:eastAsia="微软雅黑" w:hAnsi="微软雅黑" w:hint="eastAsia"/>
          <w:sz w:val="24"/>
        </w:rPr>
        <w:t>正</w:t>
      </w:r>
      <w:r w:rsidR="0066477E">
        <w:rPr>
          <w:rFonts w:ascii="微软雅黑" w:eastAsia="微软雅黑" w:hAnsi="微软雅黑" w:hint="eastAsia"/>
          <w:sz w:val="24"/>
        </w:rPr>
        <w:t>深刻改变了人们的信息接收方式和习惯，这</w:t>
      </w:r>
      <w:r w:rsidRPr="00E35226">
        <w:rPr>
          <w:rFonts w:ascii="微软雅黑" w:eastAsia="微软雅黑" w:hAnsi="微软雅黑" w:hint="eastAsia"/>
          <w:sz w:val="24"/>
        </w:rPr>
        <w:t>让用户</w:t>
      </w:r>
      <w:r w:rsidR="004069F4">
        <w:rPr>
          <w:rFonts w:ascii="微软雅黑" w:eastAsia="微软雅黑" w:hAnsi="微软雅黑" w:hint="eastAsia"/>
          <w:sz w:val="24"/>
        </w:rPr>
        <w:t>能</w:t>
      </w:r>
      <w:r w:rsidR="0057324D">
        <w:rPr>
          <w:rFonts w:ascii="微软雅黑" w:eastAsia="微软雅黑" w:hAnsi="微软雅黑" w:hint="eastAsia"/>
          <w:sz w:val="24"/>
        </w:rPr>
        <w:t>更方便的</w:t>
      </w:r>
      <w:r w:rsidR="0066477E">
        <w:rPr>
          <w:rFonts w:ascii="微软雅黑" w:eastAsia="微软雅黑" w:hAnsi="微软雅黑" w:hint="eastAsia"/>
          <w:sz w:val="24"/>
        </w:rPr>
        <w:t>摆脱</w:t>
      </w:r>
      <w:r w:rsidR="0057324D">
        <w:rPr>
          <w:rFonts w:ascii="微软雅黑" w:eastAsia="微软雅黑" w:hAnsi="微软雅黑" w:hint="eastAsia"/>
          <w:sz w:val="24"/>
        </w:rPr>
        <w:t>过去按时按点</w:t>
      </w:r>
      <w:r w:rsidRPr="00E35226">
        <w:rPr>
          <w:rFonts w:ascii="微软雅黑" w:eastAsia="微软雅黑" w:hAnsi="微软雅黑" w:hint="eastAsia"/>
          <w:sz w:val="24"/>
        </w:rPr>
        <w:t>收看电视、收听广播的束缚，</w:t>
      </w:r>
      <w:r w:rsidR="0057324D">
        <w:rPr>
          <w:rFonts w:ascii="微软雅黑" w:eastAsia="微软雅黑" w:hAnsi="微软雅黑" w:hint="eastAsia"/>
          <w:sz w:val="24"/>
        </w:rPr>
        <w:t>使得用户对信息捕捉</w:t>
      </w:r>
      <w:r w:rsidR="008B6DCE">
        <w:rPr>
          <w:rFonts w:ascii="微软雅黑" w:eastAsia="微软雅黑" w:hAnsi="微软雅黑" w:hint="eastAsia"/>
          <w:sz w:val="24"/>
        </w:rPr>
        <w:t>、</w:t>
      </w:r>
      <w:r w:rsidR="0066477E">
        <w:rPr>
          <w:rFonts w:ascii="微软雅黑" w:eastAsia="微软雅黑" w:hAnsi="微软雅黑" w:hint="eastAsia"/>
          <w:sz w:val="24"/>
        </w:rPr>
        <w:t>交流</w:t>
      </w:r>
      <w:r w:rsidR="0057324D">
        <w:rPr>
          <w:rFonts w:ascii="微软雅黑" w:eastAsia="微软雅黑" w:hAnsi="微软雅黑" w:hint="eastAsia"/>
          <w:sz w:val="24"/>
        </w:rPr>
        <w:t>互动</w:t>
      </w:r>
      <w:r w:rsidR="0066477E">
        <w:rPr>
          <w:rFonts w:ascii="微软雅黑" w:eastAsia="微软雅黑" w:hAnsi="微软雅黑" w:hint="eastAsia"/>
          <w:sz w:val="24"/>
        </w:rPr>
        <w:t>更加便捷。</w:t>
      </w:r>
    </w:p>
    <w:p w:rsidR="00C564F4" w:rsidRPr="00AC0CD6" w:rsidRDefault="00C564F4" w:rsidP="00AC0CD6">
      <w:pPr>
        <w:spacing w:line="360" w:lineRule="auto"/>
        <w:outlineLvl w:val="2"/>
        <w:rPr>
          <w:rFonts w:ascii="微软雅黑" w:eastAsia="微软雅黑" w:hAnsi="微软雅黑"/>
          <w:b/>
        </w:rPr>
      </w:pPr>
      <w:bookmarkStart w:id="27" w:name="_Toc524417972"/>
      <w:r w:rsidRPr="00AC0CD6">
        <w:rPr>
          <w:rFonts w:ascii="微软雅黑" w:eastAsia="微软雅黑" w:hAnsi="微软雅黑" w:hint="eastAsia"/>
          <w:b/>
        </w:rPr>
        <w:t>（一）</w:t>
      </w:r>
      <w:r w:rsidRPr="00AD7C9F">
        <w:rPr>
          <w:rFonts w:ascii="微软雅黑" w:eastAsia="微软雅黑" w:hAnsi="微软雅黑" w:hint="eastAsia"/>
          <w:b/>
        </w:rPr>
        <w:t>新媒体</w:t>
      </w:r>
      <w:r w:rsidR="00872D65">
        <w:rPr>
          <w:rFonts w:ascii="微软雅黑" w:eastAsia="微软雅黑" w:hAnsi="微软雅黑" w:hint="eastAsia"/>
          <w:b/>
        </w:rPr>
        <w:t>用户基本属性</w:t>
      </w:r>
      <w:bookmarkEnd w:id="27"/>
    </w:p>
    <w:p w:rsidR="00C564F4" w:rsidRPr="00AC0CD6" w:rsidRDefault="00C51BC7" w:rsidP="00AC0CD6">
      <w:pPr>
        <w:outlineLvl w:val="3"/>
        <w:rPr>
          <w:rFonts w:ascii="微软雅黑" w:eastAsia="微软雅黑" w:hAnsi="微软雅黑"/>
          <w:b/>
          <w:bCs/>
        </w:rPr>
      </w:pPr>
      <w:bookmarkStart w:id="28" w:name="_Toc524417973"/>
      <w:r w:rsidRPr="00AC0CD6">
        <w:rPr>
          <w:rFonts w:ascii="微软雅黑" w:eastAsia="微软雅黑" w:hAnsi="微软雅黑" w:hint="eastAsia"/>
          <w:b/>
          <w:bCs/>
        </w:rPr>
        <w:t>1.新媒体用户性别分布</w:t>
      </w:r>
      <w:bookmarkEnd w:id="28"/>
    </w:p>
    <w:p w:rsidR="008B6DCE" w:rsidRDefault="0066477E" w:rsidP="00420755">
      <w:pPr>
        <w:spacing w:line="400" w:lineRule="exact"/>
        <w:ind w:firstLineChars="200" w:firstLine="420"/>
        <w:rPr>
          <w:rFonts w:ascii="微软雅黑" w:eastAsia="微软雅黑" w:hAnsi="微软雅黑"/>
          <w:noProof/>
          <w:szCs w:val="21"/>
        </w:rPr>
      </w:pPr>
      <w:r>
        <w:rPr>
          <w:rFonts w:ascii="微软雅黑" w:eastAsia="微软雅黑" w:hAnsi="微软雅黑" w:hint="eastAsia"/>
          <w:noProof/>
          <w:szCs w:val="21"/>
        </w:rPr>
        <w:t>从全国范围来看，在使用新媒</w:t>
      </w:r>
      <w:r w:rsidR="00F454DF">
        <w:rPr>
          <w:rFonts w:ascii="微软雅黑" w:eastAsia="微软雅黑" w:hAnsi="微软雅黑" w:hint="eastAsia"/>
          <w:noProof/>
          <w:szCs w:val="21"/>
        </w:rPr>
        <w:t>体的用户中，目前</w:t>
      </w:r>
      <w:r>
        <w:rPr>
          <w:rFonts w:ascii="微软雅黑" w:eastAsia="微软雅黑" w:hAnsi="微软雅黑" w:hint="eastAsia"/>
          <w:noProof/>
          <w:szCs w:val="21"/>
        </w:rPr>
        <w:t>以男性</w:t>
      </w:r>
      <w:r w:rsidR="00F454DF">
        <w:rPr>
          <w:rFonts w:ascii="微软雅黑" w:eastAsia="微软雅黑" w:hAnsi="微软雅黑" w:hint="eastAsia"/>
          <w:noProof/>
          <w:szCs w:val="21"/>
        </w:rPr>
        <w:t>用户</w:t>
      </w:r>
      <w:r>
        <w:rPr>
          <w:rFonts w:ascii="微软雅黑" w:eastAsia="微软雅黑" w:hAnsi="微软雅黑" w:hint="eastAsia"/>
          <w:noProof/>
          <w:szCs w:val="21"/>
        </w:rPr>
        <w:t>居多</w:t>
      </w:r>
      <w:r w:rsidR="008B6DCE">
        <w:rPr>
          <w:rFonts w:ascii="微软雅黑" w:eastAsia="微软雅黑" w:hAnsi="微软雅黑" w:hint="eastAsia"/>
          <w:noProof/>
          <w:szCs w:val="21"/>
        </w:rPr>
        <w:t>。根据艾瑞智云新媒体</w:t>
      </w:r>
      <w:r w:rsidR="00F454DF">
        <w:rPr>
          <w:rFonts w:ascii="微软雅黑" w:eastAsia="微软雅黑" w:hAnsi="微软雅黑" w:hint="eastAsia"/>
          <w:noProof/>
          <w:szCs w:val="21"/>
        </w:rPr>
        <w:t>OneMedia</w:t>
      </w:r>
      <w:r w:rsidR="008B6DCE">
        <w:rPr>
          <w:rFonts w:ascii="微软雅黑" w:eastAsia="微软雅黑" w:hAnsi="微软雅黑" w:hint="eastAsia"/>
          <w:noProof/>
          <w:szCs w:val="21"/>
        </w:rPr>
        <w:t>的监测数据显示，在2018年6月，全国新媒体用户男女性别比为60.2:39.8，男性用户比女性用户多出20.4个百分点</w:t>
      </w:r>
      <w:r w:rsidR="00F64C58">
        <w:rPr>
          <w:rFonts w:ascii="微软雅黑" w:eastAsia="微软雅黑" w:hAnsi="微软雅黑" w:hint="eastAsia"/>
          <w:noProof/>
          <w:szCs w:val="21"/>
        </w:rPr>
        <w:t>；</w:t>
      </w:r>
      <w:r w:rsidR="009903CC">
        <w:rPr>
          <w:rFonts w:ascii="微软雅黑" w:eastAsia="微软雅黑" w:hAnsi="微软雅黑" w:hint="eastAsia"/>
          <w:noProof/>
          <w:szCs w:val="21"/>
        </w:rPr>
        <w:t>而</w:t>
      </w:r>
      <w:r w:rsidR="008B6DCE">
        <w:rPr>
          <w:rFonts w:ascii="微软雅黑" w:eastAsia="微软雅黑" w:hAnsi="微软雅黑" w:hint="eastAsia"/>
          <w:noProof/>
          <w:szCs w:val="21"/>
        </w:rPr>
        <w:t>这与男性用户普遍能更快、更熟练地使用</w:t>
      </w:r>
      <w:r w:rsidR="00F64C58">
        <w:rPr>
          <w:rFonts w:ascii="微软雅黑" w:eastAsia="微软雅黑" w:hAnsi="微软雅黑" w:hint="eastAsia"/>
          <w:noProof/>
          <w:szCs w:val="21"/>
        </w:rPr>
        <w:t>各类智能终端设备，且对</w:t>
      </w:r>
      <w:r w:rsidR="008B6DCE">
        <w:rPr>
          <w:rFonts w:ascii="微软雅黑" w:eastAsia="微软雅黑" w:hAnsi="微软雅黑" w:hint="eastAsia"/>
          <w:noProof/>
          <w:szCs w:val="21"/>
        </w:rPr>
        <w:t>新的信息获取渠道拥有着更强的兴趣是存在一定关联的</w:t>
      </w:r>
      <w:r>
        <w:rPr>
          <w:rFonts w:ascii="微软雅黑" w:eastAsia="微软雅黑" w:hAnsi="微软雅黑" w:hint="eastAsia"/>
          <w:noProof/>
          <w:szCs w:val="21"/>
        </w:rPr>
        <w:t>。</w:t>
      </w:r>
      <w:r w:rsidR="00F64C58">
        <w:rPr>
          <w:rFonts w:ascii="微软雅黑" w:eastAsia="微软雅黑" w:hAnsi="微软雅黑" w:hint="eastAsia"/>
          <w:noProof/>
          <w:szCs w:val="21"/>
        </w:rPr>
        <w:t>在</w:t>
      </w:r>
      <w:r w:rsidR="008B6DCE">
        <w:rPr>
          <w:rFonts w:ascii="微软雅黑" w:eastAsia="微软雅黑" w:hAnsi="微软雅黑" w:hint="eastAsia"/>
          <w:noProof/>
          <w:szCs w:val="21"/>
        </w:rPr>
        <w:t>同期，</w:t>
      </w:r>
      <w:r w:rsidR="00420755" w:rsidRPr="009D423B">
        <w:rPr>
          <w:rFonts w:ascii="微软雅黑" w:eastAsia="微软雅黑" w:hAnsi="微软雅黑"/>
          <w:noProof/>
          <w:szCs w:val="21"/>
        </w:rPr>
        <w:t>陕西省</w:t>
      </w:r>
      <w:r w:rsidR="00420755">
        <w:rPr>
          <w:rFonts w:ascii="微软雅黑" w:eastAsia="微软雅黑" w:hAnsi="微软雅黑"/>
          <w:noProof/>
          <w:szCs w:val="21"/>
        </w:rPr>
        <w:t>使用新媒体</w:t>
      </w:r>
      <w:r w:rsidR="008B6DCE">
        <w:rPr>
          <w:rFonts w:ascii="微软雅黑" w:eastAsia="微软雅黑" w:hAnsi="微软雅黑"/>
          <w:noProof/>
          <w:szCs w:val="21"/>
        </w:rPr>
        <w:t>的用户</w:t>
      </w:r>
      <w:r w:rsidR="00420755" w:rsidRPr="009D423B">
        <w:rPr>
          <w:rFonts w:ascii="微软雅黑" w:eastAsia="微软雅黑" w:hAnsi="微软雅黑"/>
          <w:noProof/>
          <w:szCs w:val="21"/>
        </w:rPr>
        <w:t>中</w:t>
      </w:r>
      <w:r w:rsidR="00420755">
        <w:rPr>
          <w:rFonts w:ascii="微软雅黑" w:eastAsia="微软雅黑" w:hAnsi="微软雅黑" w:hint="eastAsia"/>
          <w:noProof/>
          <w:szCs w:val="21"/>
        </w:rPr>
        <w:t>，</w:t>
      </w:r>
      <w:r w:rsidR="00420755" w:rsidRPr="009D423B">
        <w:rPr>
          <w:rFonts w:ascii="微软雅黑" w:eastAsia="微软雅黑" w:hAnsi="微软雅黑"/>
          <w:noProof/>
          <w:szCs w:val="21"/>
        </w:rPr>
        <w:t>男性</w:t>
      </w:r>
      <w:r w:rsidR="00645CE5">
        <w:rPr>
          <w:rFonts w:ascii="微软雅黑" w:eastAsia="微软雅黑" w:hAnsi="微软雅黑" w:hint="eastAsia"/>
          <w:noProof/>
          <w:szCs w:val="21"/>
        </w:rPr>
        <w:t>与</w:t>
      </w:r>
      <w:r w:rsidR="00420755" w:rsidRPr="009D423B">
        <w:rPr>
          <w:rFonts w:ascii="微软雅黑" w:eastAsia="微软雅黑" w:hAnsi="微软雅黑"/>
          <w:noProof/>
          <w:szCs w:val="21"/>
        </w:rPr>
        <w:t>女性比例</w:t>
      </w:r>
      <w:r w:rsidR="00420755" w:rsidRPr="009D423B">
        <w:rPr>
          <w:rFonts w:ascii="微软雅黑" w:eastAsia="微软雅黑" w:hAnsi="微软雅黑" w:hint="eastAsia"/>
          <w:noProof/>
          <w:szCs w:val="21"/>
        </w:rPr>
        <w:t>为5</w:t>
      </w:r>
      <w:r w:rsidR="00420755">
        <w:rPr>
          <w:rFonts w:ascii="微软雅黑" w:eastAsia="微软雅黑" w:hAnsi="微软雅黑" w:hint="eastAsia"/>
          <w:noProof/>
          <w:szCs w:val="21"/>
        </w:rPr>
        <w:t>4.9</w:t>
      </w:r>
      <w:r w:rsidR="00420755" w:rsidRPr="009D423B">
        <w:rPr>
          <w:rFonts w:ascii="微软雅黑" w:eastAsia="微软雅黑" w:hAnsi="微软雅黑" w:hint="eastAsia"/>
          <w:noProof/>
          <w:szCs w:val="21"/>
        </w:rPr>
        <w:t>：</w:t>
      </w:r>
      <w:r w:rsidR="00420755">
        <w:rPr>
          <w:rFonts w:ascii="微软雅黑" w:eastAsia="微软雅黑" w:hAnsi="微软雅黑" w:hint="eastAsia"/>
          <w:noProof/>
          <w:szCs w:val="21"/>
        </w:rPr>
        <w:t>45.1</w:t>
      </w:r>
      <w:r w:rsidR="008B6DCE">
        <w:rPr>
          <w:rFonts w:ascii="微软雅黑" w:eastAsia="微软雅黑" w:hAnsi="微软雅黑" w:hint="eastAsia"/>
          <w:noProof/>
          <w:szCs w:val="21"/>
        </w:rPr>
        <w:t>，相对于全国20.4%的</w:t>
      </w:r>
      <w:r w:rsidR="009903CC">
        <w:rPr>
          <w:rFonts w:ascii="微软雅黑" w:eastAsia="微软雅黑" w:hAnsi="微软雅黑" w:hint="eastAsia"/>
          <w:noProof/>
          <w:szCs w:val="21"/>
        </w:rPr>
        <w:t>性别</w:t>
      </w:r>
      <w:r w:rsidR="008B6DCE">
        <w:rPr>
          <w:rFonts w:ascii="微软雅黑" w:eastAsia="微软雅黑" w:hAnsi="微软雅黑" w:hint="eastAsia"/>
          <w:noProof/>
          <w:szCs w:val="21"/>
        </w:rPr>
        <w:t>差异，陕西省男性用户比女性用户仅多出9.8</w:t>
      </w:r>
      <w:r w:rsidR="00F64C58">
        <w:rPr>
          <w:rFonts w:ascii="微软雅黑" w:eastAsia="微软雅黑" w:hAnsi="微软雅黑" w:hint="eastAsia"/>
          <w:noProof/>
          <w:szCs w:val="21"/>
        </w:rPr>
        <w:t>个百分点，这显示出</w:t>
      </w:r>
      <w:r w:rsidR="008B6DCE">
        <w:rPr>
          <w:rFonts w:ascii="微软雅黑" w:eastAsia="微软雅黑" w:hAnsi="微软雅黑" w:hint="eastAsia"/>
          <w:noProof/>
          <w:szCs w:val="21"/>
        </w:rPr>
        <w:t>陕西省使用新媒体的网民性别分布相对均匀，也</w:t>
      </w:r>
      <w:r w:rsidR="00F64C58">
        <w:rPr>
          <w:rFonts w:ascii="微软雅黑" w:eastAsia="微软雅黑" w:hAnsi="微软雅黑" w:hint="eastAsia"/>
          <w:noProof/>
          <w:szCs w:val="21"/>
        </w:rPr>
        <w:t>侧面</w:t>
      </w:r>
      <w:r w:rsidR="008B6DCE">
        <w:rPr>
          <w:rFonts w:ascii="微软雅黑" w:eastAsia="微软雅黑" w:hAnsi="微软雅黑" w:hint="eastAsia"/>
          <w:noProof/>
          <w:szCs w:val="21"/>
        </w:rPr>
        <w:t>反映出陕西省</w:t>
      </w:r>
      <w:r w:rsidR="00F64C58">
        <w:rPr>
          <w:rFonts w:ascii="微软雅黑" w:eastAsia="微软雅黑" w:hAnsi="微软雅黑" w:hint="eastAsia"/>
          <w:noProof/>
          <w:szCs w:val="21"/>
        </w:rPr>
        <w:t>的女性用户对新媒体的使用率是高于</w:t>
      </w:r>
      <w:r w:rsidR="008B6DCE">
        <w:rPr>
          <w:rFonts w:ascii="微软雅黑" w:eastAsia="微软雅黑" w:hAnsi="微软雅黑" w:hint="eastAsia"/>
          <w:noProof/>
          <w:szCs w:val="21"/>
        </w:rPr>
        <w:t>全国平均水平</w:t>
      </w:r>
      <w:r w:rsidR="00F64C58">
        <w:rPr>
          <w:rFonts w:ascii="微软雅黑" w:eastAsia="微软雅黑" w:hAnsi="微软雅黑" w:hint="eastAsia"/>
          <w:noProof/>
          <w:szCs w:val="21"/>
        </w:rPr>
        <w:t>的</w:t>
      </w:r>
      <w:r w:rsidR="008B6DCE">
        <w:rPr>
          <w:rFonts w:ascii="微软雅黑" w:eastAsia="微软雅黑" w:hAnsi="微软雅黑" w:hint="eastAsia"/>
          <w:noProof/>
          <w:szCs w:val="21"/>
        </w:rPr>
        <w:t>。</w:t>
      </w:r>
    </w:p>
    <w:p w:rsidR="008B6DCE" w:rsidRDefault="008B6DCE" w:rsidP="008B6DCE">
      <w:pPr>
        <w:ind w:firstLineChars="200" w:firstLine="420"/>
        <w:rPr>
          <w:rFonts w:ascii="微软雅黑" w:eastAsia="微软雅黑" w:hAnsi="微软雅黑"/>
          <w:noProof/>
          <w:szCs w:val="21"/>
        </w:rPr>
      </w:pPr>
      <w:r>
        <w:rPr>
          <w:noProof/>
        </w:rPr>
        <w:drawing>
          <wp:inline distT="0" distB="0" distL="0" distR="0">
            <wp:extent cx="4809490" cy="2880000"/>
            <wp:effectExtent l="0" t="0" r="10160" b="15875"/>
            <wp:docPr id="97500" name="图表 97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6DCE" w:rsidRDefault="008B6DCE" w:rsidP="008B6DCE">
      <w:pPr>
        <w:pStyle w:val="ab"/>
      </w:pPr>
      <w:bookmarkStart w:id="29" w:name="_Toc524418100"/>
      <w:r w:rsidRPr="009D423B">
        <w:rPr>
          <w:rFonts w:hint="eastAsia"/>
        </w:rPr>
        <w:t>图</w:t>
      </w:r>
      <w:r>
        <w:rPr>
          <w:rFonts w:hint="eastAsia"/>
        </w:rPr>
        <w:t>2</w:t>
      </w:r>
      <w:r w:rsidRPr="009D423B">
        <w:rPr>
          <w:rFonts w:hint="eastAsia"/>
        </w:rPr>
        <w:t>-</w:t>
      </w:r>
      <w:r>
        <w:rPr>
          <w:rFonts w:hint="eastAsia"/>
        </w:rPr>
        <w:t>1</w:t>
      </w:r>
      <w:r w:rsidRPr="009D423B">
        <w:rPr>
          <w:rFonts w:hint="eastAsia"/>
        </w:rPr>
        <w:t xml:space="preserve">  </w:t>
      </w:r>
      <w:r>
        <w:rPr>
          <w:rFonts w:hint="eastAsia"/>
        </w:rPr>
        <w:t>2018年6月全国新媒体用户性别分布情况</w:t>
      </w:r>
      <w:bookmarkEnd w:id="29"/>
    </w:p>
    <w:p w:rsidR="008B6DCE" w:rsidRPr="008B6DCE" w:rsidRDefault="008B6DCE" w:rsidP="008B6DCE">
      <w:pPr>
        <w:ind w:firstLineChars="200" w:firstLine="420"/>
        <w:rPr>
          <w:rFonts w:ascii="微软雅黑" w:eastAsia="微软雅黑" w:hAnsi="微软雅黑"/>
          <w:noProof/>
          <w:szCs w:val="21"/>
        </w:rPr>
      </w:pPr>
    </w:p>
    <w:p w:rsidR="00C51BC7" w:rsidRDefault="00C51BC7" w:rsidP="00420755">
      <w:pPr>
        <w:jc w:val="center"/>
      </w:pPr>
      <w:r>
        <w:rPr>
          <w:noProof/>
        </w:rPr>
        <w:drawing>
          <wp:inline distT="0" distB="0" distL="0" distR="0">
            <wp:extent cx="4809490" cy="2880000"/>
            <wp:effectExtent l="0" t="0" r="10160" b="15875"/>
            <wp:docPr id="97485" name="图表 97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1BC7" w:rsidRDefault="00420755" w:rsidP="00F64C58">
      <w:pPr>
        <w:pStyle w:val="ab"/>
      </w:pPr>
      <w:bookmarkStart w:id="30" w:name="_Toc524418101"/>
      <w:r w:rsidRPr="009D423B">
        <w:rPr>
          <w:rFonts w:hint="eastAsia"/>
        </w:rPr>
        <w:t>图</w:t>
      </w:r>
      <w:r>
        <w:rPr>
          <w:rFonts w:hint="eastAsia"/>
        </w:rPr>
        <w:t>2-</w:t>
      </w:r>
      <w:r w:rsidR="00F64C58">
        <w:rPr>
          <w:rFonts w:hint="eastAsia"/>
        </w:rPr>
        <w:t>2</w:t>
      </w:r>
      <w:r w:rsidRPr="009D423B">
        <w:rPr>
          <w:rFonts w:hint="eastAsia"/>
        </w:rPr>
        <w:t xml:space="preserve">  </w:t>
      </w:r>
      <w:r w:rsidR="00F64C58">
        <w:rPr>
          <w:rFonts w:hint="eastAsia"/>
        </w:rPr>
        <w:t>2018年6月陕西省新媒体用户性别分布情况</w:t>
      </w:r>
      <w:bookmarkEnd w:id="30"/>
    </w:p>
    <w:p w:rsidR="00C51BC7" w:rsidRPr="00AC0CD6" w:rsidRDefault="00C51BC7" w:rsidP="00AC0CD6">
      <w:pPr>
        <w:outlineLvl w:val="3"/>
        <w:rPr>
          <w:rFonts w:ascii="微软雅黑" w:eastAsia="微软雅黑" w:hAnsi="微软雅黑"/>
          <w:b/>
          <w:bCs/>
        </w:rPr>
      </w:pPr>
      <w:bookmarkStart w:id="31" w:name="_Toc524417974"/>
      <w:r w:rsidRPr="00AC0CD6">
        <w:rPr>
          <w:rFonts w:ascii="微软雅黑" w:eastAsia="微软雅黑" w:hAnsi="微软雅黑" w:hint="eastAsia"/>
          <w:b/>
          <w:bCs/>
        </w:rPr>
        <w:t>2.新媒体用户年龄分布</w:t>
      </w:r>
      <w:bookmarkEnd w:id="31"/>
    </w:p>
    <w:p w:rsidR="000D75F8" w:rsidRDefault="00F64C58" w:rsidP="00F64C58">
      <w:pPr>
        <w:spacing w:line="400" w:lineRule="exact"/>
        <w:ind w:firstLineChars="200" w:firstLine="420"/>
        <w:rPr>
          <w:rFonts w:ascii="微软雅黑" w:eastAsia="微软雅黑" w:hAnsi="微软雅黑"/>
          <w:noProof/>
          <w:szCs w:val="21"/>
        </w:rPr>
      </w:pPr>
      <w:r w:rsidRPr="00F64C58">
        <w:rPr>
          <w:rFonts w:ascii="微软雅黑" w:eastAsia="微软雅黑" w:hAnsi="微软雅黑"/>
          <w:noProof/>
          <w:szCs w:val="21"/>
        </w:rPr>
        <w:t>从</w:t>
      </w:r>
      <w:r>
        <w:rPr>
          <w:rFonts w:ascii="微软雅黑" w:eastAsia="微软雅黑" w:hAnsi="微软雅黑" w:hint="eastAsia"/>
          <w:noProof/>
          <w:szCs w:val="21"/>
        </w:rPr>
        <w:t>年龄</w:t>
      </w:r>
      <w:r w:rsidRPr="00F64C58">
        <w:rPr>
          <w:rFonts w:ascii="微软雅黑" w:eastAsia="微软雅黑" w:hAnsi="微软雅黑"/>
          <w:noProof/>
          <w:szCs w:val="21"/>
        </w:rPr>
        <w:t>分布情况来看</w:t>
      </w:r>
      <w:r w:rsidRPr="00F64C58">
        <w:rPr>
          <w:rFonts w:ascii="微软雅黑" w:eastAsia="微软雅黑" w:hAnsi="微软雅黑" w:hint="eastAsia"/>
          <w:noProof/>
          <w:szCs w:val="21"/>
        </w:rPr>
        <w:t>，</w:t>
      </w:r>
      <w:r w:rsidR="000D75F8">
        <w:rPr>
          <w:rFonts w:ascii="微软雅黑" w:eastAsia="微软雅黑" w:hAnsi="微软雅黑" w:hint="eastAsia"/>
          <w:noProof/>
          <w:szCs w:val="21"/>
        </w:rPr>
        <w:t>陕西省使用</w:t>
      </w:r>
      <w:r w:rsidR="000D75F8" w:rsidRPr="00F64C58">
        <w:rPr>
          <w:rFonts w:ascii="微软雅黑" w:eastAsia="微软雅黑" w:hAnsi="微软雅黑"/>
          <w:noProof/>
          <w:szCs w:val="21"/>
        </w:rPr>
        <w:t>新媒体</w:t>
      </w:r>
      <w:r w:rsidR="000D75F8">
        <w:rPr>
          <w:rFonts w:ascii="微软雅黑" w:eastAsia="微软雅黑" w:hAnsi="微软雅黑"/>
          <w:noProof/>
          <w:szCs w:val="21"/>
        </w:rPr>
        <w:t>的</w:t>
      </w:r>
      <w:r w:rsidR="000D75F8">
        <w:rPr>
          <w:rFonts w:ascii="微软雅黑" w:eastAsia="微软雅黑" w:hAnsi="微软雅黑" w:hint="eastAsia"/>
          <w:noProof/>
          <w:szCs w:val="21"/>
        </w:rPr>
        <w:t>用户年龄与全国平均水平的差异不大。其中，陕西省25-30岁年龄段的用户占比最多，达到28.8%；其次是24岁及以下年龄段用户，占比为27.4%；31-35岁年龄段用户占比为21.7%，排在第三。总体来看，35岁及以下三个年龄段的用户使用新媒体占比合计超过了75%，</w:t>
      </w:r>
      <w:r w:rsidR="00EC58FB">
        <w:rPr>
          <w:rFonts w:ascii="微软雅黑" w:eastAsia="微软雅黑" w:hAnsi="微软雅黑" w:hint="eastAsia"/>
          <w:noProof/>
          <w:szCs w:val="21"/>
        </w:rPr>
        <w:t>而40岁及以下用户占比更是超过90%。</w:t>
      </w:r>
      <w:r w:rsidR="000D75F8">
        <w:rPr>
          <w:rFonts w:ascii="微软雅黑" w:eastAsia="微软雅黑" w:hAnsi="微软雅黑" w:hint="eastAsia"/>
          <w:noProof/>
          <w:szCs w:val="21"/>
        </w:rPr>
        <w:t>这表明</w:t>
      </w:r>
      <w:r w:rsidR="00EC58FB">
        <w:rPr>
          <w:rFonts w:ascii="微软雅黑" w:eastAsia="微软雅黑" w:hAnsi="微软雅黑" w:hint="eastAsia"/>
          <w:noProof/>
          <w:szCs w:val="21"/>
        </w:rPr>
        <w:t>当前使用新媒体的用户还是以中青年人群为主，而这一年龄段用户也是互联网的主力人群，对网络的依赖</w:t>
      </w:r>
      <w:r w:rsidR="00CF5969">
        <w:rPr>
          <w:rFonts w:ascii="微软雅黑" w:eastAsia="微软雅黑" w:hAnsi="微软雅黑" w:hint="eastAsia"/>
          <w:noProof/>
          <w:szCs w:val="21"/>
        </w:rPr>
        <w:t>和应用</w:t>
      </w:r>
      <w:r w:rsidR="00EC58FB">
        <w:rPr>
          <w:rFonts w:ascii="微软雅黑" w:eastAsia="微软雅黑" w:hAnsi="微软雅黑" w:hint="eastAsia"/>
          <w:noProof/>
          <w:szCs w:val="21"/>
        </w:rPr>
        <w:t>程度相对更高。</w:t>
      </w:r>
    </w:p>
    <w:p w:rsidR="00C51BC7" w:rsidRDefault="00C51BC7" w:rsidP="00CF5969">
      <w:pPr>
        <w:jc w:val="center"/>
      </w:pPr>
      <w:r>
        <w:rPr>
          <w:noProof/>
        </w:rPr>
        <w:drawing>
          <wp:inline distT="0" distB="0" distL="0" distR="0">
            <wp:extent cx="4809600" cy="2880000"/>
            <wp:effectExtent l="0" t="0" r="10160" b="15875"/>
            <wp:docPr id="97503" name="图表 97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F5969" w:rsidRDefault="00CF5969" w:rsidP="00CF5969">
      <w:pPr>
        <w:pStyle w:val="ab"/>
      </w:pPr>
      <w:bookmarkStart w:id="32" w:name="_Toc524418102"/>
      <w:r w:rsidRPr="009D423B">
        <w:rPr>
          <w:rFonts w:hint="eastAsia"/>
        </w:rPr>
        <w:t>图</w:t>
      </w:r>
      <w:r>
        <w:rPr>
          <w:rFonts w:hint="eastAsia"/>
        </w:rPr>
        <w:t>2-3</w:t>
      </w:r>
      <w:r w:rsidRPr="009D423B">
        <w:rPr>
          <w:rFonts w:hint="eastAsia"/>
        </w:rPr>
        <w:t xml:space="preserve">  </w:t>
      </w:r>
      <w:r>
        <w:rPr>
          <w:rFonts w:hint="eastAsia"/>
        </w:rPr>
        <w:t>2018年6月陕西省及全国新媒体用户年龄分布情况</w:t>
      </w:r>
      <w:bookmarkEnd w:id="32"/>
    </w:p>
    <w:p w:rsidR="00872D65" w:rsidRDefault="00872D65" w:rsidP="00872D65"/>
    <w:p w:rsidR="00872D65" w:rsidRPr="00872D65" w:rsidRDefault="00872D65" w:rsidP="00872D65"/>
    <w:p w:rsidR="00C564F4" w:rsidRPr="00AC0CD6" w:rsidRDefault="00C564F4" w:rsidP="00AC0CD6">
      <w:pPr>
        <w:spacing w:line="360" w:lineRule="auto"/>
        <w:outlineLvl w:val="2"/>
        <w:rPr>
          <w:rFonts w:ascii="微软雅黑" w:eastAsia="微软雅黑" w:hAnsi="微软雅黑"/>
          <w:b/>
        </w:rPr>
      </w:pPr>
      <w:bookmarkStart w:id="33" w:name="_Toc524417975"/>
      <w:r w:rsidRPr="00AC0CD6">
        <w:rPr>
          <w:rFonts w:ascii="微软雅黑" w:eastAsia="微软雅黑" w:hAnsi="微软雅黑" w:hint="eastAsia"/>
          <w:b/>
        </w:rPr>
        <w:t>（二）</w:t>
      </w:r>
      <w:r w:rsidR="00C51BC7">
        <w:rPr>
          <w:rFonts w:ascii="微软雅黑" w:eastAsia="微软雅黑" w:hAnsi="微软雅黑" w:hint="eastAsia"/>
          <w:b/>
        </w:rPr>
        <w:t>网民使用新媒体</w:t>
      </w:r>
      <w:r w:rsidRPr="00AC0CD6">
        <w:rPr>
          <w:rFonts w:ascii="微软雅黑" w:eastAsia="微软雅黑" w:hAnsi="微软雅黑" w:hint="eastAsia"/>
          <w:b/>
        </w:rPr>
        <w:t>情况</w:t>
      </w:r>
      <w:bookmarkEnd w:id="33"/>
    </w:p>
    <w:p w:rsidR="00872D65" w:rsidRPr="00AC0CD6" w:rsidRDefault="00872D65" w:rsidP="00872D65">
      <w:pPr>
        <w:outlineLvl w:val="3"/>
        <w:rPr>
          <w:rFonts w:ascii="微软雅黑" w:eastAsia="微软雅黑" w:hAnsi="微软雅黑"/>
          <w:b/>
          <w:bCs/>
        </w:rPr>
      </w:pPr>
      <w:bookmarkStart w:id="34" w:name="_Toc524417976"/>
      <w:r>
        <w:rPr>
          <w:rFonts w:ascii="微软雅黑" w:eastAsia="微软雅黑" w:hAnsi="微软雅黑" w:hint="eastAsia"/>
          <w:b/>
          <w:bCs/>
        </w:rPr>
        <w:t>1.用户使用新媒体整体情况</w:t>
      </w:r>
      <w:bookmarkEnd w:id="34"/>
    </w:p>
    <w:p w:rsidR="00EA4640" w:rsidRDefault="008E178A" w:rsidP="00065FB8">
      <w:pPr>
        <w:spacing w:line="400" w:lineRule="exact"/>
        <w:ind w:firstLineChars="200" w:firstLine="420"/>
        <w:rPr>
          <w:rFonts w:ascii="微软雅黑" w:eastAsia="微软雅黑" w:hAnsi="微软雅黑"/>
          <w:noProof/>
          <w:szCs w:val="21"/>
        </w:rPr>
      </w:pPr>
      <w:r>
        <w:rPr>
          <w:rFonts w:ascii="微软雅黑" w:eastAsia="微软雅黑" w:hAnsi="微软雅黑" w:hint="eastAsia"/>
          <w:noProof/>
          <w:szCs w:val="21"/>
        </w:rPr>
        <w:t>在常见的主流</w:t>
      </w:r>
      <w:r w:rsidR="000102FC">
        <w:rPr>
          <w:rFonts w:ascii="微软雅黑" w:eastAsia="微软雅黑" w:hAnsi="微软雅黑" w:hint="eastAsia"/>
          <w:noProof/>
          <w:szCs w:val="21"/>
        </w:rPr>
        <w:t>新媒体</w:t>
      </w:r>
      <w:r>
        <w:rPr>
          <w:rFonts w:ascii="微软雅黑" w:eastAsia="微软雅黑" w:hAnsi="微软雅黑" w:hint="eastAsia"/>
          <w:noProof/>
          <w:szCs w:val="21"/>
        </w:rPr>
        <w:t>渠道中，用户对</w:t>
      </w:r>
      <w:r w:rsidRPr="008E178A">
        <w:rPr>
          <w:rFonts w:ascii="微软雅黑" w:eastAsia="微软雅黑" w:hAnsi="微软雅黑"/>
          <w:noProof/>
          <w:szCs w:val="21"/>
        </w:rPr>
        <w:t>抖音短视频</w:t>
      </w:r>
      <w:r w:rsidR="008235E3">
        <w:rPr>
          <w:rFonts w:ascii="微软雅黑" w:eastAsia="微软雅黑" w:hAnsi="微软雅黑" w:hint="eastAsia"/>
          <w:noProof/>
          <w:szCs w:val="21"/>
        </w:rPr>
        <w:t>、</w:t>
      </w:r>
      <w:r w:rsidR="00D03CD1" w:rsidRPr="008E178A">
        <w:rPr>
          <w:rFonts w:ascii="微软雅黑" w:eastAsia="微软雅黑" w:hAnsi="微软雅黑"/>
          <w:noProof/>
          <w:szCs w:val="21"/>
        </w:rPr>
        <w:t>微信公众号</w:t>
      </w:r>
      <w:r w:rsidRPr="008E178A">
        <w:rPr>
          <w:rFonts w:ascii="微软雅黑" w:eastAsia="微软雅黑" w:hAnsi="微软雅黑"/>
          <w:noProof/>
          <w:szCs w:val="21"/>
        </w:rPr>
        <w:t>等</w:t>
      </w:r>
      <w:r w:rsidR="000102FC">
        <w:rPr>
          <w:rFonts w:ascii="微软雅黑" w:eastAsia="微软雅黑" w:hAnsi="微软雅黑"/>
          <w:noProof/>
          <w:szCs w:val="21"/>
        </w:rPr>
        <w:t>有着较高的</w:t>
      </w:r>
      <w:r w:rsidRPr="008E178A">
        <w:rPr>
          <w:rFonts w:ascii="微软雅黑" w:eastAsia="微软雅黑" w:hAnsi="微软雅黑"/>
          <w:noProof/>
          <w:szCs w:val="21"/>
        </w:rPr>
        <w:t>使用</w:t>
      </w:r>
      <w:r w:rsidR="00066AD7">
        <w:rPr>
          <w:rFonts w:ascii="微软雅黑" w:eastAsia="微软雅黑" w:hAnsi="微软雅黑"/>
          <w:noProof/>
          <w:szCs w:val="21"/>
        </w:rPr>
        <w:t>率</w:t>
      </w:r>
      <w:r w:rsidR="000102FC">
        <w:rPr>
          <w:rFonts w:ascii="微软雅黑" w:eastAsia="微软雅黑" w:hAnsi="微软雅黑" w:hint="eastAsia"/>
          <w:noProof/>
          <w:szCs w:val="21"/>
        </w:rPr>
        <w:t>。</w:t>
      </w:r>
      <w:r w:rsidR="009A5F57">
        <w:rPr>
          <w:rFonts w:ascii="微软雅黑" w:eastAsia="微软雅黑" w:hAnsi="微软雅黑" w:hint="eastAsia"/>
          <w:noProof/>
          <w:szCs w:val="21"/>
        </w:rPr>
        <w:t>根据艾瑞</w:t>
      </w:r>
      <w:r w:rsidR="00714508">
        <w:rPr>
          <w:rFonts w:ascii="微软雅黑" w:eastAsia="微软雅黑" w:hAnsi="微软雅黑" w:hint="eastAsia"/>
          <w:noProof/>
          <w:szCs w:val="21"/>
        </w:rPr>
        <w:t>智云新媒体OneMedia</w:t>
      </w:r>
      <w:r w:rsidR="00F454DF">
        <w:rPr>
          <w:rFonts w:ascii="微软雅黑" w:eastAsia="微软雅黑" w:hAnsi="微软雅黑" w:hint="eastAsia"/>
          <w:noProof/>
          <w:szCs w:val="21"/>
        </w:rPr>
        <w:t>的</w:t>
      </w:r>
      <w:r w:rsidR="000102FC">
        <w:rPr>
          <w:rFonts w:ascii="微软雅黑" w:eastAsia="微软雅黑" w:hAnsi="微软雅黑" w:hint="eastAsia"/>
          <w:noProof/>
          <w:szCs w:val="21"/>
        </w:rPr>
        <w:t>监测数据</w:t>
      </w:r>
      <w:r w:rsidR="008235E3">
        <w:rPr>
          <w:rFonts w:ascii="微软雅黑" w:eastAsia="微软雅黑" w:hAnsi="微软雅黑" w:hint="eastAsia"/>
          <w:noProof/>
          <w:szCs w:val="21"/>
        </w:rPr>
        <w:t>显示</w:t>
      </w:r>
      <w:r w:rsidR="00872D65">
        <w:rPr>
          <w:rFonts w:ascii="微软雅黑" w:eastAsia="微软雅黑" w:hAnsi="微软雅黑" w:hint="eastAsia"/>
          <w:noProof/>
          <w:szCs w:val="21"/>
        </w:rPr>
        <w:t>，</w:t>
      </w:r>
      <w:r w:rsidR="000102FC">
        <w:rPr>
          <w:rFonts w:ascii="微软雅黑" w:eastAsia="微软雅黑" w:hAnsi="微软雅黑" w:hint="eastAsia"/>
          <w:noProof/>
          <w:szCs w:val="21"/>
        </w:rPr>
        <w:t>按照</w:t>
      </w:r>
      <w:r w:rsidR="00A63FB3">
        <w:rPr>
          <w:rFonts w:ascii="微软雅黑" w:eastAsia="微软雅黑" w:hAnsi="微软雅黑" w:hint="eastAsia"/>
          <w:noProof/>
          <w:szCs w:val="21"/>
        </w:rPr>
        <w:t>对</w:t>
      </w:r>
      <w:r w:rsidR="000102FC">
        <w:rPr>
          <w:rFonts w:ascii="微软雅黑" w:eastAsia="微软雅黑" w:hAnsi="微软雅黑" w:hint="eastAsia"/>
          <w:noProof/>
          <w:szCs w:val="21"/>
        </w:rPr>
        <w:t>特定账号的</w:t>
      </w:r>
      <w:r w:rsidR="009A5F57">
        <w:rPr>
          <w:rFonts w:ascii="微软雅黑" w:eastAsia="微软雅黑" w:hAnsi="微软雅黑" w:hint="eastAsia"/>
          <w:noProof/>
          <w:szCs w:val="21"/>
        </w:rPr>
        <w:t>人群</w:t>
      </w:r>
      <w:r w:rsidR="000102FC">
        <w:rPr>
          <w:rFonts w:ascii="微软雅黑" w:eastAsia="微软雅黑" w:hAnsi="微软雅黑" w:hint="eastAsia"/>
          <w:noProof/>
          <w:szCs w:val="21"/>
        </w:rPr>
        <w:t>触达设备数量</w:t>
      </w:r>
      <w:r w:rsidR="00844187">
        <w:rPr>
          <w:rFonts w:ascii="微软雅黑" w:eastAsia="微软雅黑" w:hAnsi="微软雅黑" w:hint="eastAsia"/>
          <w:noProof/>
          <w:szCs w:val="21"/>
        </w:rPr>
        <w:t>以及TGI值</w:t>
      </w:r>
      <w:r w:rsidR="00D03CD1">
        <w:rPr>
          <w:rFonts w:ascii="微软雅黑" w:eastAsia="微软雅黑" w:hAnsi="微软雅黑" w:hint="eastAsia"/>
          <w:noProof/>
          <w:szCs w:val="21"/>
        </w:rPr>
        <w:t>进行</w:t>
      </w:r>
      <w:r w:rsidR="009A5F57">
        <w:rPr>
          <w:rFonts w:ascii="微软雅黑" w:eastAsia="微软雅黑" w:hAnsi="微软雅黑" w:hint="eastAsia"/>
          <w:noProof/>
          <w:szCs w:val="21"/>
        </w:rPr>
        <w:t>排序，</w:t>
      </w:r>
      <w:r w:rsidR="006A0E50">
        <w:rPr>
          <w:rFonts w:ascii="微软雅黑" w:eastAsia="微软雅黑" w:hAnsi="微软雅黑" w:hint="eastAsia"/>
          <w:noProof/>
          <w:szCs w:val="21"/>
        </w:rPr>
        <w:t>在</w:t>
      </w:r>
      <w:r w:rsidR="0043094C">
        <w:rPr>
          <w:rFonts w:ascii="微软雅黑" w:eastAsia="微软雅黑" w:hAnsi="微软雅黑" w:hint="eastAsia"/>
          <w:noProof/>
          <w:szCs w:val="21"/>
        </w:rPr>
        <w:t>2018年6月</w:t>
      </w:r>
      <w:r w:rsidR="00A63FB3">
        <w:rPr>
          <w:rFonts w:ascii="微软雅黑" w:eastAsia="微软雅黑" w:hAnsi="微软雅黑" w:hint="eastAsia"/>
          <w:noProof/>
          <w:szCs w:val="21"/>
        </w:rPr>
        <w:t>，</w:t>
      </w:r>
      <w:r w:rsidR="006A0E50">
        <w:rPr>
          <w:rFonts w:ascii="微软雅黑" w:eastAsia="微软雅黑" w:hAnsi="微软雅黑" w:hint="eastAsia"/>
          <w:noProof/>
          <w:szCs w:val="21"/>
        </w:rPr>
        <w:t>陕西省用户</w:t>
      </w:r>
      <w:r w:rsidR="005208FC">
        <w:rPr>
          <w:rFonts w:ascii="微软雅黑" w:eastAsia="微软雅黑" w:hAnsi="微软雅黑" w:hint="eastAsia"/>
          <w:noProof/>
          <w:szCs w:val="21"/>
        </w:rPr>
        <w:t>最常</w:t>
      </w:r>
      <w:r w:rsidR="006A0E50">
        <w:rPr>
          <w:rFonts w:ascii="微软雅黑" w:eastAsia="微软雅黑" w:hAnsi="微软雅黑" w:hint="eastAsia"/>
          <w:noProof/>
          <w:szCs w:val="21"/>
        </w:rPr>
        <w:t>关注</w:t>
      </w:r>
      <w:r w:rsidR="005208FC">
        <w:rPr>
          <w:rFonts w:ascii="微软雅黑" w:eastAsia="微软雅黑" w:hAnsi="微软雅黑" w:hint="eastAsia"/>
          <w:noProof/>
          <w:szCs w:val="21"/>
        </w:rPr>
        <w:t>及</w:t>
      </w:r>
      <w:r w:rsidR="006A0E50">
        <w:rPr>
          <w:rFonts w:ascii="微软雅黑" w:eastAsia="微软雅黑" w:hAnsi="微软雅黑" w:hint="eastAsia"/>
          <w:noProof/>
          <w:szCs w:val="21"/>
        </w:rPr>
        <w:t>使用</w:t>
      </w:r>
      <w:r w:rsidR="00065FB8">
        <w:rPr>
          <w:rFonts w:ascii="微软雅黑" w:eastAsia="微软雅黑" w:hAnsi="微软雅黑"/>
          <w:noProof/>
          <w:szCs w:val="21"/>
        </w:rPr>
        <w:t>前</w:t>
      </w:r>
      <w:r w:rsidR="00065FB8">
        <w:rPr>
          <w:rFonts w:ascii="微软雅黑" w:eastAsia="微软雅黑" w:hAnsi="微软雅黑" w:hint="eastAsia"/>
          <w:noProof/>
          <w:szCs w:val="21"/>
        </w:rPr>
        <w:t>300个</w:t>
      </w:r>
      <w:r w:rsidR="006A0E50">
        <w:rPr>
          <w:rFonts w:ascii="微软雅黑" w:eastAsia="微软雅黑" w:hAnsi="微软雅黑" w:hint="eastAsia"/>
          <w:noProof/>
          <w:szCs w:val="21"/>
        </w:rPr>
        <w:t>微信公众号、</w:t>
      </w:r>
      <w:r w:rsidR="006A0E50" w:rsidRPr="008E178A">
        <w:rPr>
          <w:rFonts w:ascii="微软雅黑" w:eastAsia="微软雅黑" w:hAnsi="微软雅黑"/>
          <w:noProof/>
          <w:szCs w:val="21"/>
        </w:rPr>
        <w:t>抖音</w:t>
      </w:r>
      <w:r w:rsidR="00065FB8">
        <w:rPr>
          <w:rFonts w:ascii="微软雅黑" w:eastAsia="微软雅黑" w:hAnsi="微软雅黑" w:hint="eastAsia"/>
          <w:noProof/>
          <w:szCs w:val="21"/>
        </w:rPr>
        <w:t>短视频</w:t>
      </w:r>
      <w:r w:rsidR="00D03CD1">
        <w:rPr>
          <w:rFonts w:ascii="微软雅黑" w:eastAsia="微软雅黑" w:hAnsi="微软雅黑" w:hint="eastAsia"/>
          <w:noProof/>
          <w:szCs w:val="21"/>
        </w:rPr>
        <w:t>账号</w:t>
      </w:r>
      <w:r w:rsidR="006A0E50">
        <w:rPr>
          <w:rFonts w:ascii="微软雅黑" w:eastAsia="微软雅黑" w:hAnsi="微软雅黑" w:hint="eastAsia"/>
          <w:noProof/>
          <w:szCs w:val="21"/>
        </w:rPr>
        <w:t>的</w:t>
      </w:r>
      <w:r w:rsidR="00844187">
        <w:rPr>
          <w:rFonts w:ascii="微软雅黑" w:eastAsia="微软雅黑" w:hAnsi="微软雅黑" w:hint="eastAsia"/>
          <w:noProof/>
          <w:szCs w:val="21"/>
        </w:rPr>
        <w:t>区间</w:t>
      </w:r>
      <w:r w:rsidR="00D03CD1">
        <w:rPr>
          <w:rFonts w:ascii="微软雅黑" w:eastAsia="微软雅黑" w:hAnsi="微软雅黑" w:hint="eastAsia"/>
          <w:noProof/>
          <w:szCs w:val="21"/>
        </w:rPr>
        <w:t>分布如下图所示</w:t>
      </w:r>
      <w:r w:rsidR="00F67F7C">
        <w:rPr>
          <w:rFonts w:ascii="微软雅黑" w:eastAsia="微软雅黑" w:hAnsi="微软雅黑" w:hint="eastAsia"/>
          <w:noProof/>
          <w:szCs w:val="21"/>
        </w:rPr>
        <w:t>：</w:t>
      </w:r>
    </w:p>
    <w:p w:rsidR="00EA4640" w:rsidRDefault="00065FB8" w:rsidP="00EA4640">
      <w:pPr>
        <w:jc w:val="center"/>
      </w:pPr>
      <w:r>
        <w:rPr>
          <w:noProof/>
        </w:rPr>
        <w:drawing>
          <wp:inline distT="0" distB="0" distL="0" distR="0">
            <wp:extent cx="5278120" cy="17602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总榜分析-陕西-2018年6月-3副本.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8120" cy="1760220"/>
                    </a:xfrm>
                    <a:prstGeom prst="rect">
                      <a:avLst/>
                    </a:prstGeom>
                  </pic:spPr>
                </pic:pic>
              </a:graphicData>
            </a:graphic>
          </wp:inline>
        </w:drawing>
      </w:r>
    </w:p>
    <w:p w:rsidR="00EA4640" w:rsidRDefault="00EA4640" w:rsidP="00EA4640">
      <w:pPr>
        <w:pStyle w:val="ab"/>
      </w:pPr>
      <w:bookmarkStart w:id="35" w:name="_Toc524418103"/>
      <w:r w:rsidRPr="009D423B">
        <w:rPr>
          <w:rFonts w:hint="eastAsia"/>
        </w:rPr>
        <w:t>图</w:t>
      </w:r>
      <w:r>
        <w:rPr>
          <w:rFonts w:hint="eastAsia"/>
        </w:rPr>
        <w:t>2-4</w:t>
      </w:r>
      <w:r w:rsidRPr="009D423B">
        <w:rPr>
          <w:rFonts w:hint="eastAsia"/>
        </w:rPr>
        <w:t xml:space="preserve">  </w:t>
      </w:r>
      <w:r>
        <w:rPr>
          <w:rFonts w:hint="eastAsia"/>
        </w:rPr>
        <w:t>2018年6月陕西省用户使用的主要新媒体区间分布情况</w:t>
      </w:r>
      <w:bookmarkEnd w:id="35"/>
    </w:p>
    <w:p w:rsidR="00D03CD1" w:rsidRDefault="00D03CD1" w:rsidP="009A5F57">
      <w:pPr>
        <w:spacing w:line="400" w:lineRule="exact"/>
        <w:ind w:firstLineChars="200" w:firstLine="420"/>
        <w:rPr>
          <w:rFonts w:ascii="微软雅黑" w:eastAsia="微软雅黑" w:hAnsi="微软雅黑"/>
          <w:noProof/>
          <w:szCs w:val="21"/>
        </w:rPr>
      </w:pPr>
      <w:r>
        <w:rPr>
          <w:rFonts w:ascii="微软雅黑" w:eastAsia="微软雅黑" w:hAnsi="微软雅黑" w:hint="eastAsia"/>
          <w:noProof/>
          <w:szCs w:val="21"/>
        </w:rPr>
        <w:t>从图</w:t>
      </w:r>
      <w:r w:rsidR="009A5F57">
        <w:rPr>
          <w:rFonts w:ascii="微软雅黑" w:eastAsia="微软雅黑" w:hAnsi="微软雅黑" w:hint="eastAsia"/>
          <w:noProof/>
          <w:szCs w:val="21"/>
        </w:rPr>
        <w:t>中</w:t>
      </w:r>
      <w:r>
        <w:rPr>
          <w:rFonts w:ascii="微软雅黑" w:eastAsia="微软雅黑" w:hAnsi="微软雅黑" w:hint="eastAsia"/>
          <w:noProof/>
          <w:szCs w:val="21"/>
        </w:rPr>
        <w:t>可以看出</w:t>
      </w:r>
      <w:r w:rsidR="009A5F57">
        <w:rPr>
          <w:rFonts w:ascii="微软雅黑" w:eastAsia="微软雅黑" w:hAnsi="微软雅黑" w:hint="eastAsia"/>
          <w:noProof/>
          <w:szCs w:val="21"/>
        </w:rPr>
        <w:t>，</w:t>
      </w:r>
      <w:r w:rsidR="000E386B">
        <w:rPr>
          <w:rFonts w:ascii="微软雅黑" w:eastAsia="微软雅黑" w:hAnsi="微软雅黑" w:hint="eastAsia"/>
          <w:noProof/>
          <w:szCs w:val="21"/>
        </w:rPr>
        <w:t>排在前300位的各类新媒体账号中，</w:t>
      </w:r>
      <w:r w:rsidR="009A5F57">
        <w:rPr>
          <w:rFonts w:ascii="微软雅黑" w:eastAsia="微软雅黑" w:hAnsi="微软雅黑" w:hint="eastAsia"/>
          <w:noProof/>
          <w:szCs w:val="21"/>
        </w:rPr>
        <w:t>抖音短视频的数量</w:t>
      </w:r>
      <w:r w:rsidR="00F67F7C">
        <w:rPr>
          <w:rFonts w:ascii="微软雅黑" w:eastAsia="微软雅黑" w:hAnsi="微软雅黑" w:hint="eastAsia"/>
          <w:noProof/>
          <w:szCs w:val="21"/>
        </w:rPr>
        <w:t>相对</w:t>
      </w:r>
      <w:r w:rsidR="009A5F57">
        <w:rPr>
          <w:rFonts w:ascii="微软雅黑" w:eastAsia="微软雅黑" w:hAnsi="微软雅黑" w:hint="eastAsia"/>
          <w:noProof/>
          <w:szCs w:val="21"/>
        </w:rPr>
        <w:t>较多，</w:t>
      </w:r>
      <w:r w:rsidR="006602FE">
        <w:rPr>
          <w:rFonts w:ascii="微软雅黑" w:eastAsia="微软雅黑" w:hAnsi="微软雅黑" w:hint="eastAsia"/>
          <w:noProof/>
          <w:szCs w:val="21"/>
        </w:rPr>
        <w:t>但其</w:t>
      </w:r>
      <w:r w:rsidR="009A5F57">
        <w:rPr>
          <w:rFonts w:ascii="微软雅黑" w:eastAsia="微软雅黑" w:hAnsi="微软雅黑" w:hint="eastAsia"/>
          <w:noProof/>
          <w:szCs w:val="21"/>
        </w:rPr>
        <w:t>TGI值普遍在100</w:t>
      </w:r>
      <w:r>
        <w:rPr>
          <w:rFonts w:ascii="微软雅黑" w:eastAsia="微软雅黑" w:hAnsi="微软雅黑" w:hint="eastAsia"/>
          <w:noProof/>
          <w:szCs w:val="21"/>
        </w:rPr>
        <w:t>附近</w:t>
      </w:r>
      <w:r w:rsidR="000E386B">
        <w:rPr>
          <w:rFonts w:ascii="微软雅黑" w:eastAsia="微软雅黑" w:hAnsi="微软雅黑" w:hint="eastAsia"/>
          <w:noProof/>
          <w:szCs w:val="21"/>
        </w:rPr>
        <w:t>；</w:t>
      </w:r>
      <w:r>
        <w:rPr>
          <w:rFonts w:ascii="微软雅黑" w:eastAsia="微软雅黑" w:hAnsi="微软雅黑" w:hint="eastAsia"/>
          <w:noProof/>
          <w:szCs w:val="21"/>
        </w:rPr>
        <w:t>而</w:t>
      </w:r>
      <w:r w:rsidR="009A5F57">
        <w:rPr>
          <w:rFonts w:ascii="微软雅黑" w:eastAsia="微软雅黑" w:hAnsi="微软雅黑" w:hint="eastAsia"/>
          <w:noProof/>
          <w:szCs w:val="21"/>
        </w:rPr>
        <w:t>微信公众号的总体数量一般，</w:t>
      </w:r>
      <w:r>
        <w:rPr>
          <w:rFonts w:ascii="微软雅黑" w:eastAsia="微软雅黑" w:hAnsi="微软雅黑" w:hint="eastAsia"/>
          <w:noProof/>
          <w:szCs w:val="21"/>
        </w:rPr>
        <w:t>其</w:t>
      </w:r>
      <w:r w:rsidR="009A5F57">
        <w:rPr>
          <w:rFonts w:ascii="微软雅黑" w:eastAsia="微软雅黑" w:hAnsi="微软雅黑" w:hint="eastAsia"/>
          <w:noProof/>
          <w:szCs w:val="21"/>
        </w:rPr>
        <w:t>TGI值</w:t>
      </w:r>
      <w:r w:rsidR="006602FE">
        <w:rPr>
          <w:rFonts w:ascii="微软雅黑" w:eastAsia="微软雅黑" w:hAnsi="微软雅黑" w:hint="eastAsia"/>
          <w:noProof/>
          <w:szCs w:val="21"/>
        </w:rPr>
        <w:t>则</w:t>
      </w:r>
      <w:r w:rsidR="009A5F57">
        <w:rPr>
          <w:rFonts w:ascii="微软雅黑" w:eastAsia="微软雅黑" w:hAnsi="微软雅黑" w:hint="eastAsia"/>
          <w:noProof/>
          <w:szCs w:val="21"/>
        </w:rPr>
        <w:t>多介于100-200之间</w:t>
      </w:r>
      <w:r>
        <w:rPr>
          <w:rFonts w:ascii="微软雅黑" w:eastAsia="微软雅黑" w:hAnsi="微软雅黑" w:hint="eastAsia"/>
          <w:noProof/>
          <w:szCs w:val="21"/>
        </w:rPr>
        <w:t>。抖音短视频的数量较多，与</w:t>
      </w:r>
      <w:r w:rsidR="001217E7">
        <w:rPr>
          <w:rFonts w:ascii="微软雅黑" w:eastAsia="微软雅黑" w:hAnsi="微软雅黑" w:hint="eastAsia"/>
          <w:noProof/>
          <w:szCs w:val="21"/>
        </w:rPr>
        <w:t>其</w:t>
      </w:r>
      <w:r w:rsidR="006433B2">
        <w:rPr>
          <w:rFonts w:ascii="微软雅黑" w:eastAsia="微软雅黑" w:hAnsi="微软雅黑" w:hint="eastAsia"/>
          <w:noProof/>
          <w:szCs w:val="21"/>
        </w:rPr>
        <w:t>近期用户</w:t>
      </w:r>
      <w:r w:rsidR="00F67F7C">
        <w:rPr>
          <w:rFonts w:ascii="微软雅黑" w:eastAsia="微软雅黑" w:hAnsi="微软雅黑" w:hint="eastAsia"/>
          <w:noProof/>
          <w:szCs w:val="21"/>
        </w:rPr>
        <w:t>快速</w:t>
      </w:r>
      <w:r w:rsidR="006433B2">
        <w:rPr>
          <w:rFonts w:ascii="微软雅黑" w:eastAsia="微软雅黑" w:hAnsi="微软雅黑" w:hint="eastAsia"/>
          <w:noProof/>
          <w:szCs w:val="21"/>
        </w:rPr>
        <w:t>增长</w:t>
      </w:r>
      <w:r>
        <w:rPr>
          <w:rFonts w:ascii="微软雅黑" w:eastAsia="微软雅黑" w:hAnsi="微软雅黑" w:hint="eastAsia"/>
          <w:noProof/>
          <w:szCs w:val="21"/>
        </w:rPr>
        <w:t>有较大</w:t>
      </w:r>
      <w:r w:rsidR="00F67F7C">
        <w:rPr>
          <w:rFonts w:ascii="微软雅黑" w:eastAsia="微软雅黑" w:hAnsi="微软雅黑" w:hint="eastAsia"/>
          <w:noProof/>
          <w:szCs w:val="21"/>
        </w:rPr>
        <w:t>的</w:t>
      </w:r>
      <w:r>
        <w:rPr>
          <w:rFonts w:ascii="微软雅黑" w:eastAsia="微软雅黑" w:hAnsi="微软雅黑" w:hint="eastAsia"/>
          <w:noProof/>
          <w:szCs w:val="21"/>
        </w:rPr>
        <w:t>关联</w:t>
      </w:r>
      <w:r w:rsidR="001217E7">
        <w:rPr>
          <w:rFonts w:ascii="微软雅黑" w:eastAsia="微软雅黑" w:hAnsi="微软雅黑" w:hint="eastAsia"/>
          <w:noProof/>
          <w:szCs w:val="21"/>
        </w:rPr>
        <w:t>。由于</w:t>
      </w:r>
      <w:r w:rsidR="006433B2">
        <w:rPr>
          <w:rFonts w:ascii="微软雅黑" w:eastAsia="微软雅黑" w:hAnsi="微软雅黑" w:hint="eastAsia"/>
          <w:noProof/>
          <w:szCs w:val="21"/>
        </w:rPr>
        <w:t>用户参与门槛不高，</w:t>
      </w:r>
      <w:r w:rsidR="001217E7">
        <w:rPr>
          <w:rFonts w:ascii="微软雅黑" w:eastAsia="微软雅黑" w:hAnsi="微软雅黑" w:hint="eastAsia"/>
          <w:noProof/>
          <w:szCs w:val="21"/>
        </w:rPr>
        <w:t>且</w:t>
      </w:r>
      <w:r w:rsidR="00F67F7C">
        <w:rPr>
          <w:rFonts w:ascii="微软雅黑" w:eastAsia="微软雅黑" w:hAnsi="微软雅黑" w:hint="eastAsia"/>
          <w:noProof/>
          <w:szCs w:val="21"/>
        </w:rPr>
        <w:t>凭借短视频这一用户</w:t>
      </w:r>
      <w:r w:rsidR="006433B2">
        <w:rPr>
          <w:rFonts w:ascii="微软雅黑" w:eastAsia="微软雅黑" w:hAnsi="微软雅黑" w:hint="eastAsia"/>
          <w:noProof/>
          <w:szCs w:val="21"/>
        </w:rPr>
        <w:t>非常</w:t>
      </w:r>
      <w:r w:rsidR="00F67F7C">
        <w:rPr>
          <w:rFonts w:ascii="微软雅黑" w:eastAsia="微软雅黑" w:hAnsi="微软雅黑" w:hint="eastAsia"/>
          <w:noProof/>
          <w:szCs w:val="21"/>
        </w:rPr>
        <w:t>喜爱</w:t>
      </w:r>
      <w:r w:rsidR="001217E7">
        <w:rPr>
          <w:rFonts w:ascii="微软雅黑" w:eastAsia="微软雅黑" w:hAnsi="微软雅黑" w:hint="eastAsia"/>
          <w:noProof/>
          <w:szCs w:val="21"/>
        </w:rPr>
        <w:t>又</w:t>
      </w:r>
      <w:r w:rsidR="006433B2">
        <w:rPr>
          <w:rFonts w:ascii="微软雅黑" w:eastAsia="微软雅黑" w:hAnsi="微软雅黑" w:hint="eastAsia"/>
          <w:noProof/>
          <w:szCs w:val="21"/>
        </w:rPr>
        <w:t>具有</w:t>
      </w:r>
      <w:r w:rsidR="00A63FB3">
        <w:rPr>
          <w:rFonts w:ascii="微软雅黑" w:eastAsia="微软雅黑" w:hAnsi="微软雅黑" w:hint="eastAsia"/>
          <w:noProof/>
          <w:szCs w:val="21"/>
        </w:rPr>
        <w:t>相当</w:t>
      </w:r>
      <w:r w:rsidR="006433B2">
        <w:rPr>
          <w:rFonts w:ascii="微软雅黑" w:eastAsia="微软雅黑" w:hAnsi="微软雅黑" w:hint="eastAsia"/>
          <w:noProof/>
          <w:szCs w:val="21"/>
        </w:rPr>
        <w:t>表现力的</w:t>
      </w:r>
      <w:r w:rsidR="00F67F7C">
        <w:rPr>
          <w:rFonts w:ascii="微软雅黑" w:eastAsia="微软雅黑" w:hAnsi="微软雅黑" w:hint="eastAsia"/>
          <w:noProof/>
          <w:szCs w:val="21"/>
        </w:rPr>
        <w:t>内容呈现方式，</w:t>
      </w:r>
      <w:r w:rsidR="001217E7">
        <w:rPr>
          <w:rFonts w:ascii="微软雅黑" w:eastAsia="微软雅黑" w:hAnsi="微软雅黑" w:hint="eastAsia"/>
          <w:noProof/>
          <w:szCs w:val="21"/>
        </w:rPr>
        <w:t>抖音在短期内</w:t>
      </w:r>
      <w:r w:rsidR="006433B2">
        <w:rPr>
          <w:rFonts w:ascii="微软雅黑" w:eastAsia="微软雅黑" w:hAnsi="微软雅黑" w:hint="eastAsia"/>
          <w:noProof/>
          <w:szCs w:val="21"/>
        </w:rPr>
        <w:t>迅速吸引了一大批用户集聚。</w:t>
      </w:r>
      <w:r w:rsidR="00DC1FA0">
        <w:rPr>
          <w:rFonts w:ascii="微软雅黑" w:eastAsia="微软雅黑" w:hAnsi="微软雅黑" w:hint="eastAsia"/>
          <w:noProof/>
          <w:szCs w:val="21"/>
        </w:rPr>
        <w:t>相对而言，微信公众号经过了多年的运营，由于微信公众平台对于</w:t>
      </w:r>
      <w:r w:rsidR="000E386B">
        <w:rPr>
          <w:rFonts w:ascii="微软雅黑" w:eastAsia="微软雅黑" w:hAnsi="微软雅黑" w:hint="eastAsia"/>
          <w:noProof/>
          <w:szCs w:val="21"/>
        </w:rPr>
        <w:t>内容信息</w:t>
      </w:r>
      <w:r w:rsidR="00DC1FA0">
        <w:rPr>
          <w:rFonts w:ascii="微软雅黑" w:eastAsia="微软雅黑" w:hAnsi="微软雅黑" w:hint="eastAsia"/>
          <w:noProof/>
          <w:szCs w:val="21"/>
        </w:rPr>
        <w:t>和互动评论的审查更加规范和严格，这使得</w:t>
      </w:r>
      <w:r w:rsidR="000E386B">
        <w:rPr>
          <w:rFonts w:ascii="微软雅黑" w:eastAsia="微软雅黑" w:hAnsi="微软雅黑" w:hint="eastAsia"/>
          <w:noProof/>
          <w:szCs w:val="21"/>
        </w:rPr>
        <w:t>微信公众号的参与门槛更高，同时也使得用户的</w:t>
      </w:r>
      <w:r w:rsidR="00DC1FA0">
        <w:rPr>
          <w:rFonts w:ascii="微软雅黑" w:eastAsia="微软雅黑" w:hAnsi="微软雅黑" w:hint="eastAsia"/>
          <w:noProof/>
          <w:szCs w:val="21"/>
        </w:rPr>
        <w:t>互动</w:t>
      </w:r>
      <w:r w:rsidR="000E386B">
        <w:rPr>
          <w:rFonts w:ascii="微软雅黑" w:eastAsia="微软雅黑" w:hAnsi="微软雅黑" w:hint="eastAsia"/>
          <w:noProof/>
          <w:szCs w:val="21"/>
        </w:rPr>
        <w:t>参与性受到一定的束缚。</w:t>
      </w:r>
    </w:p>
    <w:p w:rsidR="00872D65" w:rsidRPr="00872D65" w:rsidRDefault="00872D65" w:rsidP="00872D65">
      <w:pPr>
        <w:outlineLvl w:val="3"/>
        <w:rPr>
          <w:rFonts w:ascii="微软雅黑" w:eastAsia="微软雅黑" w:hAnsi="微软雅黑"/>
          <w:b/>
          <w:bCs/>
        </w:rPr>
      </w:pPr>
      <w:bookmarkStart w:id="36" w:name="_Toc524417977"/>
      <w:r w:rsidRPr="00872D65">
        <w:rPr>
          <w:rFonts w:ascii="微软雅黑" w:eastAsia="微软雅黑" w:hAnsi="微软雅黑" w:hint="eastAsia"/>
          <w:b/>
          <w:bCs/>
        </w:rPr>
        <w:t>2.</w:t>
      </w:r>
      <w:r>
        <w:rPr>
          <w:rFonts w:ascii="微软雅黑" w:eastAsia="微软雅黑" w:hAnsi="微软雅黑" w:hint="eastAsia"/>
          <w:b/>
          <w:bCs/>
        </w:rPr>
        <w:t>用户使用新媒体具体情况</w:t>
      </w:r>
      <w:bookmarkEnd w:id="36"/>
    </w:p>
    <w:p w:rsidR="00132B27" w:rsidRPr="006433B2" w:rsidRDefault="00132B27" w:rsidP="00132B27">
      <w:pPr>
        <w:widowControl/>
        <w:spacing w:line="400" w:lineRule="exact"/>
        <w:ind w:firstLineChars="200" w:firstLine="420"/>
        <w:jc w:val="left"/>
        <w:outlineLvl w:val="4"/>
        <w:rPr>
          <w:rFonts w:ascii="微软雅黑" w:eastAsia="微软雅黑" w:hAnsi="微软雅黑"/>
          <w:b/>
          <w:szCs w:val="21"/>
        </w:rPr>
      </w:pPr>
      <w:r w:rsidRPr="006433B2">
        <w:rPr>
          <w:rFonts w:ascii="微软雅黑" w:eastAsia="微软雅黑" w:hAnsi="微软雅黑" w:hint="eastAsia"/>
          <w:b/>
          <w:szCs w:val="21"/>
        </w:rPr>
        <w:t>（</w:t>
      </w:r>
      <w:r w:rsidR="004D258A">
        <w:rPr>
          <w:rFonts w:ascii="微软雅黑" w:eastAsia="微软雅黑" w:hAnsi="微软雅黑" w:hint="eastAsia"/>
          <w:b/>
          <w:szCs w:val="21"/>
        </w:rPr>
        <w:t>1</w:t>
      </w:r>
      <w:r w:rsidRPr="006433B2">
        <w:rPr>
          <w:rFonts w:ascii="微软雅黑" w:eastAsia="微软雅黑" w:hAnsi="微软雅黑" w:hint="eastAsia"/>
          <w:b/>
          <w:szCs w:val="21"/>
        </w:rPr>
        <w:t>）公众号</w:t>
      </w:r>
    </w:p>
    <w:p w:rsidR="00815F6B" w:rsidRPr="00815F6B" w:rsidRDefault="00815F6B" w:rsidP="007213C5">
      <w:pPr>
        <w:spacing w:line="400" w:lineRule="exact"/>
        <w:ind w:firstLineChars="200" w:firstLine="420"/>
        <w:rPr>
          <w:rFonts w:ascii="微软雅黑" w:eastAsia="微软雅黑" w:hAnsi="微软雅黑"/>
          <w:noProof/>
          <w:szCs w:val="21"/>
        </w:rPr>
      </w:pPr>
      <w:r>
        <w:rPr>
          <w:rFonts w:ascii="微软雅黑" w:eastAsia="微软雅黑" w:hAnsi="微软雅黑" w:hint="eastAsia"/>
          <w:noProof/>
          <w:szCs w:val="21"/>
        </w:rPr>
        <w:t>陕西省用户最常关注</w:t>
      </w:r>
      <w:r w:rsidRPr="00815F6B">
        <w:rPr>
          <w:rFonts w:ascii="微软雅黑" w:eastAsia="微软雅黑" w:hAnsi="微软雅黑" w:hint="eastAsia"/>
          <w:noProof/>
          <w:szCs w:val="21"/>
        </w:rPr>
        <w:t>的</w:t>
      </w:r>
      <w:r>
        <w:rPr>
          <w:rFonts w:ascii="微软雅黑" w:eastAsia="微软雅黑" w:hAnsi="微软雅黑" w:hint="eastAsia"/>
          <w:noProof/>
          <w:szCs w:val="21"/>
        </w:rPr>
        <w:t>微信公众号类型比较广泛，常见的</w:t>
      </w:r>
      <w:r w:rsidRPr="00815F6B">
        <w:rPr>
          <w:rFonts w:ascii="微软雅黑" w:eastAsia="微软雅黑" w:hAnsi="微软雅黑" w:hint="eastAsia"/>
          <w:noProof/>
          <w:szCs w:val="21"/>
        </w:rPr>
        <w:t>有新闻</w:t>
      </w:r>
      <w:r>
        <w:rPr>
          <w:rFonts w:ascii="微软雅黑" w:eastAsia="微软雅黑" w:hAnsi="微软雅黑" w:hint="eastAsia"/>
          <w:noProof/>
          <w:szCs w:val="21"/>
        </w:rPr>
        <w:t>时事、娱乐、幽默、教育、情感、科技、健康、文化、旅行</w:t>
      </w:r>
      <w:r w:rsidRPr="00815F6B">
        <w:rPr>
          <w:rFonts w:ascii="微软雅黑" w:eastAsia="微软雅黑" w:hAnsi="微软雅黑" w:hint="eastAsia"/>
          <w:noProof/>
          <w:szCs w:val="21"/>
        </w:rPr>
        <w:t>等</w:t>
      </w:r>
      <w:r>
        <w:rPr>
          <w:rFonts w:ascii="微软雅黑" w:eastAsia="微软雅黑" w:hAnsi="微软雅黑" w:hint="eastAsia"/>
          <w:noProof/>
          <w:szCs w:val="21"/>
        </w:rPr>
        <w:t>种类</w:t>
      </w:r>
      <w:r w:rsidRPr="00815F6B">
        <w:rPr>
          <w:rFonts w:ascii="微软雅黑" w:eastAsia="微软雅黑" w:hAnsi="微软雅黑" w:hint="eastAsia"/>
          <w:noProof/>
          <w:szCs w:val="21"/>
        </w:rPr>
        <w:t>。从触达设备占陕西省新媒体用户设备的比例来看，在2018年6月，</w:t>
      </w:r>
      <w:r>
        <w:rPr>
          <w:rFonts w:ascii="微软雅黑" w:eastAsia="微软雅黑" w:hAnsi="微软雅黑" w:hint="eastAsia"/>
          <w:noProof/>
          <w:szCs w:val="21"/>
        </w:rPr>
        <w:t>西安街头巷尾、聊西安事儿、真喜视频、人民日报等微信订阅号排名</w:t>
      </w:r>
      <w:r w:rsidRPr="00815F6B">
        <w:rPr>
          <w:rFonts w:ascii="微软雅黑" w:eastAsia="微软雅黑" w:hAnsi="微软雅黑" w:hint="eastAsia"/>
          <w:noProof/>
          <w:szCs w:val="21"/>
        </w:rPr>
        <w:t>较靠前</w:t>
      </w:r>
      <w:r>
        <w:rPr>
          <w:rFonts w:ascii="微软雅黑" w:eastAsia="微软雅黑" w:hAnsi="微软雅黑" w:hint="eastAsia"/>
          <w:noProof/>
          <w:szCs w:val="21"/>
        </w:rPr>
        <w:t>，其触达设备比例均在4%以上</w:t>
      </w:r>
      <w:r w:rsidRPr="00815F6B">
        <w:rPr>
          <w:rFonts w:ascii="微软雅黑" w:eastAsia="微软雅黑" w:hAnsi="微软雅黑" w:hint="eastAsia"/>
          <w:noProof/>
          <w:szCs w:val="21"/>
        </w:rPr>
        <w:t>。</w:t>
      </w:r>
    </w:p>
    <w:p w:rsidR="006E28F3" w:rsidRDefault="006E28F3" w:rsidP="006E28F3">
      <w:pPr>
        <w:jc w:val="center"/>
      </w:pPr>
      <w:r>
        <w:rPr>
          <w:noProof/>
        </w:rPr>
        <w:drawing>
          <wp:inline distT="0" distB="0" distL="0" distR="0">
            <wp:extent cx="4809600" cy="2880000"/>
            <wp:effectExtent l="0" t="0" r="10160" b="1587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28F3" w:rsidRDefault="00EA0D3B" w:rsidP="00815F6B">
      <w:pPr>
        <w:pStyle w:val="ab"/>
      </w:pPr>
      <w:bookmarkStart w:id="37" w:name="_Toc524418104"/>
      <w:r w:rsidRPr="009D423B">
        <w:rPr>
          <w:rFonts w:hint="eastAsia"/>
        </w:rPr>
        <w:t>图</w:t>
      </w:r>
      <w:r>
        <w:rPr>
          <w:rFonts w:hint="eastAsia"/>
        </w:rPr>
        <w:t>2-5</w:t>
      </w:r>
      <w:r w:rsidRPr="009D423B">
        <w:rPr>
          <w:rFonts w:hint="eastAsia"/>
        </w:rPr>
        <w:t xml:space="preserve">  </w:t>
      </w:r>
      <w:r>
        <w:rPr>
          <w:rFonts w:hint="eastAsia"/>
        </w:rPr>
        <w:t>2018年6月微信公众号在陕西省新媒体用户的触达情况</w:t>
      </w:r>
      <w:bookmarkEnd w:id="37"/>
    </w:p>
    <w:p w:rsidR="00C564F4" w:rsidRPr="006433B2" w:rsidRDefault="00132B27" w:rsidP="006433B2">
      <w:pPr>
        <w:widowControl/>
        <w:spacing w:line="400" w:lineRule="exact"/>
        <w:ind w:firstLineChars="200" w:firstLine="420"/>
        <w:jc w:val="left"/>
        <w:outlineLvl w:val="4"/>
        <w:rPr>
          <w:rFonts w:ascii="微软雅黑" w:eastAsia="微软雅黑" w:hAnsi="微软雅黑"/>
          <w:b/>
          <w:szCs w:val="21"/>
        </w:rPr>
      </w:pPr>
      <w:r>
        <w:rPr>
          <w:rFonts w:ascii="微软雅黑" w:eastAsia="微软雅黑" w:hAnsi="微软雅黑" w:hint="eastAsia"/>
          <w:b/>
          <w:szCs w:val="21"/>
        </w:rPr>
        <w:t>（</w:t>
      </w:r>
      <w:r w:rsidR="00452312">
        <w:rPr>
          <w:rFonts w:ascii="微软雅黑" w:eastAsia="微软雅黑" w:hAnsi="微软雅黑" w:hint="eastAsia"/>
          <w:b/>
          <w:szCs w:val="21"/>
        </w:rPr>
        <w:t>2</w:t>
      </w:r>
      <w:r>
        <w:rPr>
          <w:rFonts w:ascii="微软雅黑" w:eastAsia="微软雅黑" w:hAnsi="微软雅黑" w:hint="eastAsia"/>
          <w:b/>
          <w:szCs w:val="21"/>
        </w:rPr>
        <w:t>）</w:t>
      </w:r>
      <w:r w:rsidR="003F5228" w:rsidRPr="006433B2">
        <w:rPr>
          <w:rFonts w:ascii="微软雅黑" w:eastAsia="微软雅黑" w:hAnsi="微软雅黑" w:hint="eastAsia"/>
          <w:b/>
          <w:szCs w:val="21"/>
        </w:rPr>
        <w:t>抖音</w:t>
      </w:r>
    </w:p>
    <w:p w:rsidR="007213C5" w:rsidRDefault="00A62A76" w:rsidP="007213C5">
      <w:pPr>
        <w:spacing w:line="400" w:lineRule="exact"/>
        <w:ind w:firstLineChars="200" w:firstLine="420"/>
        <w:rPr>
          <w:rFonts w:ascii="微软雅黑" w:eastAsia="微软雅黑" w:hAnsi="微软雅黑"/>
          <w:noProof/>
          <w:szCs w:val="21"/>
        </w:rPr>
      </w:pPr>
      <w:r w:rsidRPr="00815F6B">
        <w:rPr>
          <w:rFonts w:ascii="微软雅黑" w:eastAsia="微软雅黑" w:hAnsi="微软雅黑" w:hint="eastAsia"/>
          <w:noProof/>
          <w:szCs w:val="21"/>
        </w:rPr>
        <w:t>2018年6月，</w:t>
      </w:r>
      <w:r>
        <w:rPr>
          <w:rFonts w:ascii="微软雅黑" w:eastAsia="微软雅黑" w:hAnsi="微软雅黑" w:hint="eastAsia"/>
          <w:noProof/>
          <w:szCs w:val="21"/>
        </w:rPr>
        <w:t>在</w:t>
      </w:r>
      <w:r w:rsidR="007213C5">
        <w:rPr>
          <w:rFonts w:ascii="微软雅黑" w:eastAsia="微软雅黑" w:hAnsi="微软雅黑" w:hint="eastAsia"/>
          <w:noProof/>
          <w:szCs w:val="21"/>
        </w:rPr>
        <w:t>陕西省用户关注的抖音短视频账号中，从触达设备</w:t>
      </w:r>
      <w:r w:rsidR="007213C5" w:rsidRPr="00815F6B">
        <w:rPr>
          <w:rFonts w:ascii="微软雅黑" w:eastAsia="微软雅黑" w:hAnsi="微软雅黑" w:hint="eastAsia"/>
          <w:noProof/>
          <w:szCs w:val="21"/>
        </w:rPr>
        <w:t>占陕西省新媒体用户设备的比例来看，</w:t>
      </w:r>
      <w:r w:rsidR="007213C5">
        <w:rPr>
          <w:rFonts w:ascii="微软雅黑" w:eastAsia="微软雅黑" w:hAnsi="微软雅黑" w:hint="eastAsia"/>
          <w:noProof/>
          <w:szCs w:val="21"/>
        </w:rPr>
        <w:t>七舅脑爷、浙有正能量、杜子建等排名前三，其触达设备比例也在4%以上</w:t>
      </w:r>
      <w:r w:rsidR="007213C5" w:rsidRPr="00815F6B">
        <w:rPr>
          <w:rFonts w:ascii="微软雅黑" w:eastAsia="微软雅黑" w:hAnsi="微软雅黑" w:hint="eastAsia"/>
          <w:noProof/>
          <w:szCs w:val="21"/>
        </w:rPr>
        <w:t>。</w:t>
      </w:r>
      <w:r w:rsidR="007213C5">
        <w:rPr>
          <w:rFonts w:ascii="微软雅黑" w:eastAsia="微软雅黑" w:hAnsi="微软雅黑" w:hint="eastAsia"/>
          <w:noProof/>
          <w:szCs w:val="21"/>
        </w:rPr>
        <w:t>整体而言，当前抖音短视频的触达比例尚不及头条号和微信公众号。</w:t>
      </w:r>
    </w:p>
    <w:p w:rsidR="00F244BD" w:rsidRDefault="00487704" w:rsidP="00487704">
      <w:pPr>
        <w:jc w:val="center"/>
      </w:pPr>
      <w:r>
        <w:rPr>
          <w:noProof/>
        </w:rPr>
        <w:drawing>
          <wp:inline distT="0" distB="0" distL="0" distR="0">
            <wp:extent cx="4809600" cy="2880000"/>
            <wp:effectExtent l="0" t="0" r="10160" b="15875"/>
            <wp:docPr id="107"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87704" w:rsidRDefault="00EA0D3B" w:rsidP="00487704">
      <w:pPr>
        <w:pStyle w:val="ab"/>
      </w:pPr>
      <w:bookmarkStart w:id="38" w:name="_Toc524418105"/>
      <w:r w:rsidRPr="009D423B">
        <w:rPr>
          <w:rFonts w:hint="eastAsia"/>
        </w:rPr>
        <w:t>图</w:t>
      </w:r>
      <w:r>
        <w:rPr>
          <w:rFonts w:hint="eastAsia"/>
        </w:rPr>
        <w:t>2-6</w:t>
      </w:r>
      <w:r w:rsidRPr="009D423B">
        <w:rPr>
          <w:rFonts w:hint="eastAsia"/>
        </w:rPr>
        <w:t xml:space="preserve">  </w:t>
      </w:r>
      <w:r>
        <w:rPr>
          <w:rFonts w:hint="eastAsia"/>
        </w:rPr>
        <w:t>2018年6月抖音短视频在陕西省新媒体用户的触达情况</w:t>
      </w:r>
      <w:bookmarkEnd w:id="38"/>
    </w:p>
    <w:p w:rsidR="00F244BD" w:rsidRPr="00657907" w:rsidRDefault="00F244BD" w:rsidP="00CA14F3"/>
    <w:p w:rsidR="00FF4A55" w:rsidRDefault="00FF4A55" w:rsidP="006507C8">
      <w:pPr>
        <w:spacing w:line="360" w:lineRule="auto"/>
        <w:outlineLvl w:val="1"/>
        <w:rPr>
          <w:rFonts w:ascii="微软雅黑" w:eastAsia="微软雅黑" w:hAnsi="微软雅黑"/>
          <w:b/>
        </w:rPr>
      </w:pPr>
      <w:r>
        <w:rPr>
          <w:rFonts w:ascii="微软雅黑" w:eastAsia="微软雅黑" w:hAnsi="微软雅黑"/>
          <w:b/>
        </w:rPr>
        <w:br w:type="page"/>
      </w:r>
    </w:p>
    <w:p w:rsidR="00A36DDA" w:rsidRPr="009D423B" w:rsidRDefault="00C564F4" w:rsidP="006507C8">
      <w:pPr>
        <w:spacing w:line="360" w:lineRule="auto"/>
        <w:outlineLvl w:val="1"/>
        <w:rPr>
          <w:rFonts w:ascii="微软雅黑" w:eastAsia="微软雅黑" w:hAnsi="微软雅黑"/>
          <w:b/>
        </w:rPr>
      </w:pPr>
      <w:bookmarkStart w:id="39" w:name="_Toc524417978"/>
      <w:r>
        <w:rPr>
          <w:rFonts w:ascii="微软雅黑" w:eastAsia="微软雅黑" w:hAnsi="微软雅黑" w:hint="eastAsia"/>
          <w:b/>
        </w:rPr>
        <w:t>三</w:t>
      </w:r>
      <w:r w:rsidR="00A36DDA" w:rsidRPr="009D423B">
        <w:rPr>
          <w:rFonts w:ascii="微软雅黑" w:eastAsia="微软雅黑" w:hAnsi="微软雅黑" w:hint="eastAsia"/>
          <w:b/>
        </w:rPr>
        <w:t>、陕西省网民</w:t>
      </w:r>
      <w:r w:rsidR="00714508">
        <w:rPr>
          <w:rFonts w:ascii="微软雅黑" w:eastAsia="微软雅黑" w:hAnsi="微软雅黑" w:hint="eastAsia"/>
          <w:b/>
        </w:rPr>
        <w:t>在</w:t>
      </w:r>
      <w:r w:rsidR="00870AA7">
        <w:rPr>
          <w:rFonts w:ascii="微软雅黑" w:eastAsia="微软雅黑" w:hAnsi="微软雅黑" w:hint="eastAsia"/>
          <w:b/>
        </w:rPr>
        <w:t>PC端</w:t>
      </w:r>
      <w:r w:rsidR="00A36DDA" w:rsidRPr="009D423B">
        <w:rPr>
          <w:rFonts w:ascii="微软雅黑" w:eastAsia="微软雅黑" w:hAnsi="微软雅黑" w:hint="eastAsia"/>
          <w:b/>
        </w:rPr>
        <w:t>网络应用情况</w:t>
      </w:r>
      <w:bookmarkEnd w:id="39"/>
    </w:p>
    <w:p w:rsidR="00366C15" w:rsidRPr="009D423B" w:rsidRDefault="00366C15" w:rsidP="00A36DDA">
      <w:pPr>
        <w:spacing w:line="360" w:lineRule="auto"/>
        <w:outlineLvl w:val="2"/>
        <w:rPr>
          <w:rFonts w:ascii="微软雅黑" w:eastAsia="微软雅黑" w:hAnsi="微软雅黑"/>
          <w:b/>
        </w:rPr>
      </w:pPr>
      <w:bookmarkStart w:id="40" w:name="_Toc524417979"/>
      <w:r w:rsidRPr="009D423B">
        <w:rPr>
          <w:rFonts w:ascii="微软雅黑" w:eastAsia="微软雅黑" w:hAnsi="微软雅黑"/>
          <w:b/>
        </w:rPr>
        <w:t>（</w:t>
      </w:r>
      <w:r w:rsidR="006507C8" w:rsidRPr="009D423B">
        <w:rPr>
          <w:rFonts w:ascii="微软雅黑" w:eastAsia="微软雅黑" w:hAnsi="微软雅黑" w:hint="eastAsia"/>
          <w:b/>
        </w:rPr>
        <w:t>一</w:t>
      </w:r>
      <w:r w:rsidR="00E664AC">
        <w:rPr>
          <w:rFonts w:ascii="微软雅黑" w:eastAsia="微软雅黑" w:hAnsi="微软雅黑"/>
          <w:b/>
        </w:rPr>
        <w:t>）</w:t>
      </w:r>
      <w:r w:rsidRPr="009D423B">
        <w:rPr>
          <w:rFonts w:ascii="微软雅黑" w:eastAsia="微软雅黑" w:hAnsi="微软雅黑"/>
          <w:b/>
        </w:rPr>
        <w:t>网民</w:t>
      </w:r>
      <w:r w:rsidR="00870AA7">
        <w:rPr>
          <w:rFonts w:ascii="微软雅黑" w:eastAsia="微软雅黑" w:hAnsi="微软雅黑"/>
          <w:b/>
        </w:rPr>
        <w:t>在PC端</w:t>
      </w:r>
      <w:r w:rsidRPr="009D423B">
        <w:rPr>
          <w:rFonts w:ascii="微软雅黑" w:eastAsia="微软雅黑" w:hAnsi="微软雅黑"/>
          <w:b/>
        </w:rPr>
        <w:t>网络行为特征</w:t>
      </w:r>
      <w:bookmarkEnd w:id="40"/>
    </w:p>
    <w:p w:rsidR="00366C15" w:rsidRPr="009D423B" w:rsidRDefault="00366C15" w:rsidP="00A25E10">
      <w:pPr>
        <w:outlineLvl w:val="3"/>
        <w:rPr>
          <w:rFonts w:ascii="微软雅黑" w:eastAsia="微软雅黑" w:hAnsi="微软雅黑"/>
          <w:b/>
          <w:bCs/>
        </w:rPr>
      </w:pPr>
      <w:bookmarkStart w:id="41" w:name="_Toc524417980"/>
      <w:r w:rsidRPr="009D423B">
        <w:rPr>
          <w:rFonts w:ascii="微软雅黑" w:eastAsia="微软雅黑" w:hAnsi="微软雅黑"/>
          <w:b/>
          <w:bCs/>
        </w:rPr>
        <w:t>1.</w:t>
      </w:r>
      <w:r w:rsidR="00714508">
        <w:rPr>
          <w:rFonts w:ascii="微软雅黑" w:eastAsia="微软雅黑" w:hAnsi="微软雅黑"/>
          <w:b/>
          <w:bCs/>
        </w:rPr>
        <w:t>PC端</w:t>
      </w:r>
      <w:r w:rsidRPr="009D423B">
        <w:rPr>
          <w:rFonts w:ascii="微软雅黑" w:eastAsia="微软雅黑" w:hAnsi="微软雅黑"/>
          <w:b/>
          <w:bCs/>
        </w:rPr>
        <w:t>网民上网时段分布</w:t>
      </w:r>
      <w:bookmarkEnd w:id="41"/>
      <w:r w:rsidR="00657907">
        <w:rPr>
          <w:rFonts w:ascii="微软雅黑" w:eastAsia="微软雅黑" w:hAnsi="微软雅黑" w:hint="eastAsia"/>
          <w:b/>
          <w:bCs/>
        </w:rPr>
        <w:t xml:space="preserve"> </w:t>
      </w:r>
    </w:p>
    <w:p w:rsidR="004A31B2" w:rsidRDefault="00B22F8C" w:rsidP="00263C61">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Pr="009D423B">
        <w:rPr>
          <w:rFonts w:ascii="微软雅黑" w:eastAsia="微软雅黑" w:hAnsi="微软雅黑"/>
          <w:szCs w:val="21"/>
        </w:rPr>
        <w:t>，</w:t>
      </w:r>
      <w:r>
        <w:rPr>
          <w:rFonts w:ascii="微软雅黑" w:eastAsia="微软雅黑" w:hAnsi="微软雅黑" w:hint="eastAsia"/>
          <w:szCs w:val="21"/>
        </w:rPr>
        <w:t>从</w:t>
      </w:r>
      <w:r w:rsidR="004A31B2">
        <w:rPr>
          <w:rFonts w:ascii="微软雅黑" w:eastAsia="微软雅黑" w:hAnsi="微软雅黑" w:hint="eastAsia"/>
          <w:szCs w:val="21"/>
        </w:rPr>
        <w:t>陕西省</w:t>
      </w:r>
      <w:r>
        <w:rPr>
          <w:rFonts w:ascii="微软雅黑" w:eastAsia="微软雅黑" w:hAnsi="微软雅黑" w:hint="eastAsia"/>
          <w:szCs w:val="21"/>
        </w:rPr>
        <w:t>网民日常上网时段分布来看，无论工作日还是休息日，白天的10:00后到晚上0:00前是网民上网的高峰时段，其上网人数占比均在30%以上</w:t>
      </w:r>
      <w:r w:rsidR="004A31B2">
        <w:rPr>
          <w:rFonts w:ascii="微软雅黑" w:eastAsia="微软雅黑" w:hAnsi="微软雅黑" w:hint="eastAsia"/>
          <w:szCs w:val="21"/>
        </w:rPr>
        <w:t>。其中，12:00-17:59是全天上网的高峰时段，有超过一半的网民在使用网络服务</w:t>
      </w:r>
      <w:r>
        <w:rPr>
          <w:rFonts w:ascii="微软雅黑" w:eastAsia="微软雅黑" w:hAnsi="微软雅黑" w:hint="eastAsia"/>
          <w:szCs w:val="21"/>
        </w:rPr>
        <w:t>。</w:t>
      </w:r>
      <w:r w:rsidR="004A31B2">
        <w:rPr>
          <w:rFonts w:ascii="微软雅黑" w:eastAsia="微软雅黑" w:hAnsi="微软雅黑" w:hint="eastAsia"/>
          <w:szCs w:val="21"/>
        </w:rPr>
        <w:t>从全省网民</w:t>
      </w:r>
      <w:r w:rsidR="004A31B2" w:rsidRPr="009D423B">
        <w:rPr>
          <w:rFonts w:ascii="微软雅黑" w:eastAsia="微软雅黑" w:hAnsi="微软雅黑" w:hint="eastAsia"/>
          <w:szCs w:val="21"/>
        </w:rPr>
        <w:t>工作日和休息日</w:t>
      </w:r>
      <w:r w:rsidR="004A31B2">
        <w:rPr>
          <w:rFonts w:ascii="微软雅黑" w:eastAsia="微软雅黑" w:hAnsi="微软雅黑" w:hint="eastAsia"/>
          <w:szCs w:val="21"/>
        </w:rPr>
        <w:t>上网情况来看，整体趋势基本一致；但在</w:t>
      </w:r>
      <w:r w:rsidR="004A31B2" w:rsidRPr="009D423B">
        <w:rPr>
          <w:rFonts w:ascii="微软雅黑" w:eastAsia="微软雅黑" w:hAnsi="微软雅黑" w:hint="eastAsia"/>
          <w:szCs w:val="21"/>
        </w:rPr>
        <w:t>工作日的白天8:00-1</w:t>
      </w:r>
      <w:r w:rsidR="004A31B2">
        <w:rPr>
          <w:rFonts w:ascii="微软雅黑" w:eastAsia="微软雅黑" w:hAnsi="微软雅黑" w:hint="eastAsia"/>
          <w:szCs w:val="21"/>
        </w:rPr>
        <w:t>7</w:t>
      </w:r>
      <w:r w:rsidR="004A31B2" w:rsidRPr="009D423B">
        <w:rPr>
          <w:rFonts w:ascii="微软雅黑" w:eastAsia="微软雅黑" w:hAnsi="微软雅黑" w:hint="eastAsia"/>
          <w:szCs w:val="21"/>
        </w:rPr>
        <w:t>:</w:t>
      </w:r>
      <w:r w:rsidR="004A31B2">
        <w:rPr>
          <w:rFonts w:ascii="微软雅黑" w:eastAsia="微软雅黑" w:hAnsi="微软雅黑" w:hint="eastAsia"/>
          <w:szCs w:val="21"/>
        </w:rPr>
        <w:t>59时段</w:t>
      </w:r>
      <w:r w:rsidR="004A31B2" w:rsidRPr="009D423B">
        <w:rPr>
          <w:rFonts w:ascii="微软雅黑" w:eastAsia="微软雅黑" w:hAnsi="微软雅黑" w:hint="eastAsia"/>
          <w:szCs w:val="21"/>
        </w:rPr>
        <w:t>比休息日的上网人数比例明显</w:t>
      </w:r>
      <w:r w:rsidR="004A31B2">
        <w:rPr>
          <w:rFonts w:ascii="微软雅黑" w:eastAsia="微软雅黑" w:hAnsi="微软雅黑" w:hint="eastAsia"/>
          <w:szCs w:val="21"/>
        </w:rPr>
        <w:t>偏高，而到了晚上则基本保持一致。</w:t>
      </w:r>
    </w:p>
    <w:p w:rsidR="0050355B" w:rsidRPr="009D423B" w:rsidRDefault="0050355B" w:rsidP="00263C61">
      <w:pPr>
        <w:snapToGrid w:val="0"/>
        <w:jc w:val="center"/>
        <w:rPr>
          <w:rFonts w:ascii="微软雅黑" w:eastAsia="微软雅黑" w:hAnsi="微软雅黑"/>
          <w:noProof/>
          <w:szCs w:val="21"/>
        </w:rPr>
      </w:pPr>
      <w:r>
        <w:rPr>
          <w:noProof/>
        </w:rPr>
        <w:drawing>
          <wp:inline distT="0" distB="0" distL="0" distR="0">
            <wp:extent cx="4809600" cy="3060000"/>
            <wp:effectExtent l="0" t="0" r="10160" b="26670"/>
            <wp:docPr id="1084" name="图表 1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63C61" w:rsidRPr="009D423B" w:rsidRDefault="00C564F4" w:rsidP="00263C61">
      <w:pPr>
        <w:pStyle w:val="ab"/>
      </w:pPr>
      <w:bookmarkStart w:id="42" w:name="_Toc524418106"/>
      <w:r>
        <w:rPr>
          <w:rFonts w:hint="eastAsia"/>
        </w:rPr>
        <w:t>图3-</w:t>
      </w:r>
      <w:r w:rsidR="00263C61" w:rsidRPr="009D423B">
        <w:t xml:space="preserve">1  </w:t>
      </w:r>
      <w:r w:rsidR="0050355B">
        <w:t>2017年</w:t>
      </w:r>
      <w:r w:rsidR="00263C61" w:rsidRPr="009D423B">
        <w:t>陕西省网民上网时段分布</w:t>
      </w:r>
      <w:bookmarkEnd w:id="42"/>
    </w:p>
    <w:p w:rsidR="00366C15" w:rsidRPr="009D423B" w:rsidRDefault="00366C15" w:rsidP="00A25E10">
      <w:pPr>
        <w:outlineLvl w:val="3"/>
        <w:rPr>
          <w:rFonts w:ascii="微软雅黑" w:eastAsia="微软雅黑" w:hAnsi="微软雅黑"/>
          <w:b/>
          <w:bCs/>
        </w:rPr>
      </w:pPr>
      <w:bookmarkStart w:id="43" w:name="_Toc524417981"/>
      <w:r w:rsidRPr="009D423B">
        <w:rPr>
          <w:rFonts w:ascii="微软雅黑" w:eastAsia="微软雅黑" w:hAnsi="微软雅黑"/>
          <w:b/>
          <w:bCs/>
        </w:rPr>
        <w:t>2.</w:t>
      </w:r>
      <w:r w:rsidR="00714508">
        <w:rPr>
          <w:rFonts w:ascii="微软雅黑" w:eastAsia="微软雅黑" w:hAnsi="微软雅黑"/>
          <w:b/>
          <w:bCs/>
        </w:rPr>
        <w:t>PC端</w:t>
      </w:r>
      <w:r w:rsidRPr="009D423B">
        <w:rPr>
          <w:rFonts w:ascii="微软雅黑" w:eastAsia="微软雅黑" w:hAnsi="微软雅黑"/>
          <w:b/>
          <w:bCs/>
        </w:rPr>
        <w:t>网民网络使用粘性</w:t>
      </w:r>
      <w:bookmarkEnd w:id="43"/>
    </w:p>
    <w:p w:rsidR="00366C15" w:rsidRPr="009D423B" w:rsidRDefault="00366C15" w:rsidP="00CA2950">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（1）人均月度访问天数</w:t>
      </w:r>
    </w:p>
    <w:p w:rsidR="00DB7B0F" w:rsidRPr="00DB7B0F" w:rsidRDefault="00EA0D3B" w:rsidP="00DB7B0F">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Pr="009D423B">
        <w:rPr>
          <w:rFonts w:ascii="微软雅黑" w:eastAsia="微软雅黑" w:hAnsi="微软雅黑"/>
          <w:szCs w:val="21"/>
        </w:rPr>
        <w:t>，陕西省网民人均月度访问天数平均为</w:t>
      </w:r>
      <w:r>
        <w:rPr>
          <w:rFonts w:ascii="微软雅黑" w:eastAsia="微软雅黑" w:hAnsi="微软雅黑" w:hint="eastAsia"/>
          <w:szCs w:val="21"/>
        </w:rPr>
        <w:t>12.9</w:t>
      </w:r>
      <w:r w:rsidRPr="009D423B">
        <w:rPr>
          <w:rFonts w:ascii="微软雅黑" w:eastAsia="微软雅黑" w:hAnsi="微软雅黑"/>
          <w:szCs w:val="21"/>
        </w:rPr>
        <w:t>天，较</w:t>
      </w:r>
      <w:r w:rsidRPr="009D423B">
        <w:rPr>
          <w:rFonts w:ascii="微软雅黑" w:eastAsia="微软雅黑" w:hAnsi="微软雅黑" w:hint="eastAsia"/>
          <w:szCs w:val="21"/>
        </w:rPr>
        <w:t>201</w:t>
      </w:r>
      <w:r>
        <w:rPr>
          <w:rFonts w:ascii="微软雅黑" w:eastAsia="微软雅黑" w:hAnsi="微软雅黑" w:hint="eastAsia"/>
          <w:szCs w:val="21"/>
        </w:rPr>
        <w:t>6</w:t>
      </w:r>
      <w:r w:rsidRPr="009D423B">
        <w:rPr>
          <w:rFonts w:ascii="微软雅黑" w:eastAsia="微软雅黑" w:hAnsi="微软雅黑" w:hint="eastAsia"/>
          <w:szCs w:val="21"/>
        </w:rPr>
        <w:t>年减少</w:t>
      </w:r>
      <w:r>
        <w:rPr>
          <w:rFonts w:ascii="微软雅黑" w:eastAsia="微软雅黑" w:hAnsi="微软雅黑" w:hint="eastAsia"/>
          <w:szCs w:val="21"/>
        </w:rPr>
        <w:t>0.3</w:t>
      </w:r>
      <w:r w:rsidRPr="009D423B">
        <w:rPr>
          <w:rFonts w:ascii="微软雅黑" w:eastAsia="微软雅黑" w:hAnsi="微软雅黑" w:hint="eastAsia"/>
          <w:szCs w:val="21"/>
        </w:rPr>
        <w:t>天。</w:t>
      </w:r>
      <w:r w:rsidR="007A01AC" w:rsidRPr="009D423B">
        <w:rPr>
          <w:rFonts w:ascii="微软雅黑" w:eastAsia="微软雅黑" w:hAnsi="微软雅黑" w:hint="eastAsia"/>
          <w:szCs w:val="21"/>
        </w:rPr>
        <w:t>全年来看，</w:t>
      </w:r>
      <w:r w:rsidR="00263C61" w:rsidRPr="009D423B">
        <w:rPr>
          <w:rFonts w:ascii="微软雅黑" w:eastAsia="微软雅黑" w:hAnsi="微软雅黑"/>
          <w:szCs w:val="21"/>
        </w:rPr>
        <w:t>2月份上网天数</w:t>
      </w:r>
      <w:r w:rsidR="007A01AC" w:rsidRPr="009D423B">
        <w:rPr>
          <w:rFonts w:ascii="微软雅黑" w:eastAsia="微软雅黑" w:hAnsi="微软雅黑"/>
          <w:szCs w:val="21"/>
        </w:rPr>
        <w:t>仍然最低仅</w:t>
      </w:r>
      <w:r w:rsidR="007A01AC" w:rsidRPr="009D423B">
        <w:rPr>
          <w:rFonts w:ascii="微软雅黑" w:eastAsia="微软雅黑" w:hAnsi="微软雅黑" w:hint="eastAsia"/>
          <w:szCs w:val="21"/>
        </w:rPr>
        <w:t>11.</w:t>
      </w:r>
      <w:r w:rsidR="001B4A94">
        <w:rPr>
          <w:rFonts w:ascii="微软雅黑" w:eastAsia="微软雅黑" w:hAnsi="微软雅黑" w:hint="eastAsia"/>
          <w:szCs w:val="21"/>
        </w:rPr>
        <w:t>4</w:t>
      </w:r>
      <w:r w:rsidR="007A01AC" w:rsidRPr="009D423B">
        <w:rPr>
          <w:rFonts w:ascii="微软雅黑" w:eastAsia="微软雅黑" w:hAnsi="微软雅黑" w:hint="eastAsia"/>
          <w:szCs w:val="21"/>
        </w:rPr>
        <w:t>天，</w:t>
      </w:r>
      <w:r w:rsidR="001B4A94">
        <w:rPr>
          <w:rFonts w:ascii="微软雅黑" w:eastAsia="微软雅黑" w:hAnsi="微软雅黑" w:hint="eastAsia"/>
          <w:szCs w:val="21"/>
        </w:rPr>
        <w:t>8</w:t>
      </w:r>
      <w:r w:rsidR="007A01AC" w:rsidRPr="009D423B">
        <w:rPr>
          <w:rFonts w:ascii="微软雅黑" w:eastAsia="微软雅黑" w:hAnsi="微软雅黑" w:hint="eastAsia"/>
          <w:szCs w:val="21"/>
        </w:rPr>
        <w:t>月份最高，达到14.</w:t>
      </w:r>
      <w:r w:rsidR="001B4A94">
        <w:rPr>
          <w:rFonts w:ascii="微软雅黑" w:eastAsia="微软雅黑" w:hAnsi="微软雅黑" w:hint="eastAsia"/>
          <w:szCs w:val="21"/>
        </w:rPr>
        <w:t>0</w:t>
      </w:r>
      <w:r w:rsidR="007A01AC" w:rsidRPr="009D423B">
        <w:rPr>
          <w:rFonts w:ascii="微软雅黑" w:eastAsia="微软雅黑" w:hAnsi="微软雅黑" w:hint="eastAsia"/>
          <w:szCs w:val="21"/>
        </w:rPr>
        <w:t>天。</w:t>
      </w:r>
      <w:r>
        <w:rPr>
          <w:rFonts w:ascii="微软雅黑" w:eastAsia="微软雅黑" w:hAnsi="微软雅黑" w:hint="eastAsia"/>
          <w:szCs w:val="21"/>
        </w:rPr>
        <w:t>与</w:t>
      </w:r>
      <w:r w:rsidRPr="00DB7B0F">
        <w:rPr>
          <w:rFonts w:ascii="微软雅黑" w:eastAsia="微软雅黑" w:hAnsi="微软雅黑" w:hint="eastAsia"/>
          <w:szCs w:val="21"/>
        </w:rPr>
        <w:t>全国平均水平相比</w:t>
      </w:r>
      <w:r>
        <w:rPr>
          <w:rFonts w:ascii="微软雅黑" w:eastAsia="微软雅黑" w:hAnsi="微软雅黑" w:hint="eastAsia"/>
          <w:szCs w:val="21"/>
        </w:rPr>
        <w:t>，陕西省网民</w:t>
      </w:r>
      <w:r w:rsidRPr="009D423B">
        <w:rPr>
          <w:rFonts w:ascii="微软雅黑" w:eastAsia="微软雅黑" w:hAnsi="微软雅黑"/>
          <w:szCs w:val="21"/>
        </w:rPr>
        <w:t>人均月度访问天数</w:t>
      </w:r>
      <w:r>
        <w:rPr>
          <w:rFonts w:ascii="微软雅黑" w:eastAsia="微软雅黑" w:hAnsi="微软雅黑"/>
          <w:szCs w:val="21"/>
        </w:rPr>
        <w:t>略低</w:t>
      </w:r>
      <w:r>
        <w:rPr>
          <w:rFonts w:ascii="微软雅黑" w:eastAsia="微软雅黑" w:hAnsi="微软雅黑" w:hint="eastAsia"/>
          <w:szCs w:val="21"/>
        </w:rPr>
        <w:t>，但整体趋势基本一致。</w:t>
      </w:r>
    </w:p>
    <w:p w:rsidR="0050355B" w:rsidRPr="009D423B" w:rsidRDefault="0050355B" w:rsidP="00263C61">
      <w:pPr>
        <w:snapToGrid w:val="0"/>
        <w:jc w:val="center"/>
        <w:rPr>
          <w:rFonts w:ascii="微软雅黑" w:eastAsia="微软雅黑" w:hAnsi="微软雅黑"/>
          <w:noProof/>
          <w:szCs w:val="21"/>
          <w:highlight w:val="yellow"/>
        </w:rPr>
      </w:pPr>
      <w:r>
        <w:rPr>
          <w:noProof/>
        </w:rPr>
        <w:drawing>
          <wp:inline distT="0" distB="0" distL="0" distR="0">
            <wp:extent cx="4809490" cy="2879725"/>
            <wp:effectExtent l="0" t="0" r="10160" b="15875"/>
            <wp:docPr id="97473" name="图表 97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3C61" w:rsidRDefault="00EA0D3B" w:rsidP="00263C61">
      <w:pPr>
        <w:pStyle w:val="ab"/>
      </w:pPr>
      <w:bookmarkStart w:id="44" w:name="_Toc524418107"/>
      <w:r>
        <w:rPr>
          <w:rFonts w:hint="eastAsia"/>
        </w:rPr>
        <w:t>图3-</w:t>
      </w:r>
      <w:r w:rsidRPr="009D423B">
        <w:t xml:space="preserve">2  </w:t>
      </w:r>
      <w:r>
        <w:t>2017年</w:t>
      </w:r>
      <w:r w:rsidRPr="009D423B">
        <w:t>陕西省网民人均月度访问天</w:t>
      </w:r>
      <w:r w:rsidRPr="009D423B">
        <w:rPr>
          <w:rFonts w:hint="eastAsia"/>
        </w:rPr>
        <w:t>数</w:t>
      </w:r>
      <w:bookmarkEnd w:id="44"/>
    </w:p>
    <w:p w:rsidR="00DB7B0F" w:rsidRDefault="00DB7B0F" w:rsidP="00B626A9"/>
    <w:p w:rsidR="00B626A9" w:rsidRDefault="00B626A9" w:rsidP="00DB7B0F">
      <w:pPr>
        <w:jc w:val="center"/>
      </w:pPr>
      <w:r>
        <w:rPr>
          <w:noProof/>
        </w:rPr>
        <w:drawing>
          <wp:inline distT="0" distB="0" distL="0" distR="0">
            <wp:extent cx="4809490" cy="2879725"/>
            <wp:effectExtent l="0" t="0" r="10160" b="15875"/>
            <wp:docPr id="1126" name="图表 1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D38A6" w:rsidRPr="00DB7B0F" w:rsidRDefault="00EA0D3B" w:rsidP="00FD38A6">
      <w:pPr>
        <w:pStyle w:val="ab"/>
      </w:pPr>
      <w:bookmarkStart w:id="45" w:name="_Toc524418108"/>
      <w:r>
        <w:rPr>
          <w:rFonts w:hint="eastAsia"/>
        </w:rPr>
        <w:t>图3-3</w:t>
      </w:r>
      <w:r w:rsidRPr="009D423B">
        <w:t xml:space="preserve">  </w:t>
      </w:r>
      <w:r>
        <w:t>2017年</w:t>
      </w:r>
      <w:r w:rsidRPr="009D423B">
        <w:t>陕西省网民</w:t>
      </w:r>
      <w:r>
        <w:t>与全国网民</w:t>
      </w:r>
      <w:r w:rsidRPr="009D423B">
        <w:t>人均月度访问天</w:t>
      </w:r>
      <w:r w:rsidRPr="009D423B">
        <w:rPr>
          <w:rFonts w:hint="eastAsia"/>
        </w:rPr>
        <w:t>数</w:t>
      </w:r>
      <w:r>
        <w:rPr>
          <w:rFonts w:hint="eastAsia"/>
        </w:rPr>
        <w:t>对比</w:t>
      </w:r>
      <w:bookmarkEnd w:id="45"/>
    </w:p>
    <w:p w:rsidR="00366C15" w:rsidRPr="009D423B" w:rsidRDefault="00366C15" w:rsidP="00263C61">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（2）人均月度访问次数</w:t>
      </w:r>
    </w:p>
    <w:p w:rsidR="00263C61" w:rsidRDefault="0050355B" w:rsidP="00263C61">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00263C61" w:rsidRPr="009D423B">
        <w:rPr>
          <w:rFonts w:ascii="微软雅黑" w:eastAsia="微软雅黑" w:hAnsi="微软雅黑"/>
          <w:szCs w:val="21"/>
        </w:rPr>
        <w:t>，陕西省网民月均访问次数</w:t>
      </w:r>
      <w:r w:rsidR="001B4A94">
        <w:rPr>
          <w:rFonts w:ascii="微软雅黑" w:eastAsia="微软雅黑" w:hAnsi="微软雅黑" w:hint="eastAsia"/>
          <w:szCs w:val="21"/>
        </w:rPr>
        <w:t>为255.5</w:t>
      </w:r>
      <w:r w:rsidR="00263C61" w:rsidRPr="009D423B">
        <w:rPr>
          <w:rFonts w:ascii="微软雅黑" w:eastAsia="微软雅黑" w:hAnsi="微软雅黑"/>
          <w:szCs w:val="21"/>
        </w:rPr>
        <w:t>次，</w:t>
      </w:r>
      <w:r w:rsidR="001B4A94">
        <w:rPr>
          <w:rFonts w:ascii="微软雅黑" w:eastAsia="微软雅黑" w:hAnsi="微软雅黑"/>
          <w:szCs w:val="21"/>
        </w:rPr>
        <w:t>较</w:t>
      </w:r>
      <w:r w:rsidR="001B4A94">
        <w:rPr>
          <w:rFonts w:ascii="微软雅黑" w:eastAsia="微软雅黑" w:hAnsi="微软雅黑" w:hint="eastAsia"/>
          <w:szCs w:val="21"/>
        </w:rPr>
        <w:t>2016年减少9.5次。</w:t>
      </w:r>
      <w:r w:rsidR="00263C61" w:rsidRPr="009D423B">
        <w:rPr>
          <w:rFonts w:ascii="微软雅黑" w:eastAsia="微软雅黑" w:hAnsi="微软雅黑" w:hint="eastAsia"/>
          <w:szCs w:val="21"/>
        </w:rPr>
        <w:t>整体</w:t>
      </w:r>
      <w:r w:rsidR="001B4A94">
        <w:rPr>
          <w:rFonts w:ascii="微软雅黑" w:eastAsia="微软雅黑" w:hAnsi="微软雅黑" w:hint="eastAsia"/>
          <w:szCs w:val="21"/>
        </w:rPr>
        <w:t>来</w:t>
      </w:r>
      <w:r w:rsidR="00263C61" w:rsidRPr="009D423B">
        <w:rPr>
          <w:rFonts w:ascii="微软雅黑" w:eastAsia="微软雅黑" w:hAnsi="微软雅黑" w:hint="eastAsia"/>
          <w:szCs w:val="21"/>
        </w:rPr>
        <w:t>看</w:t>
      </w:r>
      <w:r w:rsidR="001B4A94">
        <w:rPr>
          <w:rFonts w:ascii="微软雅黑" w:eastAsia="微软雅黑" w:hAnsi="微软雅黑" w:hint="eastAsia"/>
          <w:szCs w:val="21"/>
        </w:rPr>
        <w:t>，</w:t>
      </w:r>
      <w:r w:rsidR="00263C61" w:rsidRPr="009D423B">
        <w:rPr>
          <w:rFonts w:ascii="微软雅黑" w:eastAsia="微软雅黑" w:hAnsi="微软雅黑" w:hint="eastAsia"/>
          <w:szCs w:val="21"/>
        </w:rPr>
        <w:t>1-12月</w:t>
      </w:r>
      <w:r w:rsidR="004E303B">
        <w:rPr>
          <w:rFonts w:ascii="微软雅黑" w:eastAsia="微软雅黑" w:hAnsi="微软雅黑" w:hint="eastAsia"/>
          <w:szCs w:val="21"/>
        </w:rPr>
        <w:t>以8月份的访问次数最高，达到296次；1月份最低，仅217次；全年</w:t>
      </w:r>
      <w:r w:rsidR="001B4A94">
        <w:rPr>
          <w:rFonts w:ascii="微软雅黑" w:eastAsia="微软雅黑" w:hAnsi="微软雅黑" w:hint="eastAsia"/>
          <w:szCs w:val="21"/>
        </w:rPr>
        <w:t>人均</w:t>
      </w:r>
      <w:r w:rsidR="00263C61" w:rsidRPr="009D423B">
        <w:rPr>
          <w:rFonts w:ascii="微软雅黑" w:eastAsia="微软雅黑" w:hAnsi="微软雅黑" w:hint="eastAsia"/>
          <w:szCs w:val="21"/>
        </w:rPr>
        <w:t>月度访问次数</w:t>
      </w:r>
      <w:r w:rsidR="004E303B">
        <w:rPr>
          <w:rFonts w:ascii="微软雅黑" w:eastAsia="微软雅黑" w:hAnsi="微软雅黑" w:hint="eastAsia"/>
          <w:szCs w:val="21"/>
        </w:rPr>
        <w:t>总体保持平稳。</w:t>
      </w:r>
      <w:r w:rsidR="00326F7F">
        <w:rPr>
          <w:rFonts w:ascii="微软雅黑" w:eastAsia="微软雅黑" w:hAnsi="微软雅黑" w:hint="eastAsia"/>
          <w:szCs w:val="21"/>
        </w:rPr>
        <w:t>与全国</w:t>
      </w:r>
      <w:r w:rsidR="00326F7F" w:rsidRPr="00DB7B0F">
        <w:rPr>
          <w:rFonts w:ascii="微软雅黑" w:eastAsia="微软雅黑" w:hAnsi="微软雅黑" w:hint="eastAsia"/>
          <w:szCs w:val="21"/>
        </w:rPr>
        <w:t>平均水平相比</w:t>
      </w:r>
      <w:r w:rsidR="00326F7F">
        <w:rPr>
          <w:rFonts w:ascii="微软雅黑" w:eastAsia="微软雅黑" w:hAnsi="微软雅黑" w:hint="eastAsia"/>
          <w:szCs w:val="21"/>
        </w:rPr>
        <w:t>，</w:t>
      </w:r>
      <w:r w:rsidR="00326F7F" w:rsidRPr="009D423B">
        <w:rPr>
          <w:rFonts w:ascii="微软雅黑" w:eastAsia="微软雅黑" w:hAnsi="微软雅黑"/>
          <w:szCs w:val="21"/>
        </w:rPr>
        <w:t>陕西省网民月均访问次数</w:t>
      </w:r>
      <w:r w:rsidR="00326F7F">
        <w:rPr>
          <w:rFonts w:ascii="微软雅黑" w:eastAsia="微软雅黑" w:hAnsi="微软雅黑"/>
          <w:szCs w:val="21"/>
        </w:rPr>
        <w:t>略</w:t>
      </w:r>
      <w:r w:rsidR="00326F7F">
        <w:rPr>
          <w:rFonts w:ascii="微软雅黑" w:eastAsia="微软雅黑" w:hAnsi="微软雅黑" w:hint="eastAsia"/>
          <w:szCs w:val="21"/>
        </w:rPr>
        <w:t>高于</w:t>
      </w:r>
      <w:r w:rsidR="00326F7F">
        <w:rPr>
          <w:rFonts w:ascii="微软雅黑" w:eastAsia="微软雅黑" w:hAnsi="微软雅黑"/>
          <w:szCs w:val="21"/>
        </w:rPr>
        <w:t>全国</w:t>
      </w:r>
      <w:r w:rsidR="00326F7F">
        <w:rPr>
          <w:rFonts w:ascii="微软雅黑" w:eastAsia="微软雅黑" w:hAnsi="微软雅黑" w:hint="eastAsia"/>
          <w:szCs w:val="21"/>
        </w:rPr>
        <w:t>252.7次的平均值。</w:t>
      </w:r>
    </w:p>
    <w:p w:rsidR="0050355B" w:rsidRPr="009D423B" w:rsidRDefault="0050355B" w:rsidP="00263C61">
      <w:pPr>
        <w:snapToGrid w:val="0"/>
        <w:jc w:val="center"/>
        <w:rPr>
          <w:rFonts w:ascii="微软雅黑" w:eastAsia="微软雅黑" w:hAnsi="微软雅黑"/>
          <w:szCs w:val="21"/>
        </w:rPr>
      </w:pPr>
      <w:r>
        <w:rPr>
          <w:noProof/>
        </w:rPr>
        <w:drawing>
          <wp:inline distT="0" distB="0" distL="0" distR="0">
            <wp:extent cx="4809490" cy="2841625"/>
            <wp:effectExtent l="0" t="0" r="10160" b="15875"/>
            <wp:docPr id="97472" name="图表 97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B7B0F" w:rsidRDefault="00EA0D3B" w:rsidP="00326F7F">
      <w:pPr>
        <w:pStyle w:val="ab"/>
      </w:pPr>
      <w:bookmarkStart w:id="46" w:name="_Toc524418109"/>
      <w:r>
        <w:rPr>
          <w:rFonts w:hint="eastAsia"/>
        </w:rPr>
        <w:t>图3-4</w:t>
      </w:r>
      <w:r w:rsidRPr="009D423B">
        <w:t xml:space="preserve">  </w:t>
      </w:r>
      <w:r>
        <w:t>2017年</w:t>
      </w:r>
      <w:r w:rsidRPr="009D423B">
        <w:t>陕西省网民人均月度访问次数</w:t>
      </w:r>
      <w:bookmarkEnd w:id="46"/>
    </w:p>
    <w:p w:rsidR="00326F7F" w:rsidRPr="00326F7F" w:rsidRDefault="00326F7F" w:rsidP="00326F7F"/>
    <w:p w:rsidR="00B626A9" w:rsidRDefault="00B626A9" w:rsidP="00DB7B0F">
      <w:pPr>
        <w:jc w:val="center"/>
      </w:pPr>
      <w:r>
        <w:rPr>
          <w:noProof/>
        </w:rPr>
        <w:drawing>
          <wp:inline distT="0" distB="0" distL="0" distR="0">
            <wp:extent cx="4809490" cy="2879725"/>
            <wp:effectExtent l="0" t="0" r="10160" b="15875"/>
            <wp:docPr id="1127" name="图表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26F7F" w:rsidRPr="00326F7F" w:rsidRDefault="00C564F4" w:rsidP="00326F7F">
      <w:pPr>
        <w:pStyle w:val="ab"/>
      </w:pPr>
      <w:bookmarkStart w:id="47" w:name="_Toc524418110"/>
      <w:r>
        <w:rPr>
          <w:rFonts w:hint="eastAsia"/>
        </w:rPr>
        <w:t>图3-</w:t>
      </w:r>
      <w:r w:rsidR="00326F7F">
        <w:rPr>
          <w:rFonts w:hint="eastAsia"/>
        </w:rPr>
        <w:t>5</w:t>
      </w:r>
      <w:r w:rsidR="00326F7F" w:rsidRPr="009D423B">
        <w:t xml:space="preserve">  </w:t>
      </w:r>
      <w:r w:rsidR="00326F7F">
        <w:t>2017年</w:t>
      </w:r>
      <w:r w:rsidR="00326F7F" w:rsidRPr="009D423B">
        <w:t>陕西省网民</w:t>
      </w:r>
      <w:r w:rsidR="00326F7F">
        <w:t>与全国网民</w:t>
      </w:r>
      <w:r w:rsidR="00326F7F" w:rsidRPr="009D423B">
        <w:t>人均月度访问次数</w:t>
      </w:r>
      <w:r w:rsidR="00326F7F">
        <w:t>对比</w:t>
      </w:r>
      <w:bookmarkEnd w:id="47"/>
    </w:p>
    <w:p w:rsidR="00FA466E" w:rsidRPr="003E0CE0" w:rsidRDefault="00FA466E" w:rsidP="00FA466E">
      <w:pPr>
        <w:widowControl/>
        <w:spacing w:line="400" w:lineRule="exact"/>
        <w:ind w:firstLineChars="200" w:firstLine="420"/>
        <w:jc w:val="left"/>
        <w:outlineLvl w:val="4"/>
        <w:rPr>
          <w:rFonts w:ascii="微软雅黑" w:eastAsia="微软雅黑" w:hAnsi="微软雅黑"/>
          <w:b/>
          <w:szCs w:val="21"/>
        </w:rPr>
      </w:pPr>
      <w:r w:rsidRPr="003E0CE0">
        <w:rPr>
          <w:rFonts w:ascii="微软雅黑" w:eastAsia="微软雅黑" w:hAnsi="微软雅黑"/>
          <w:b/>
          <w:szCs w:val="21"/>
        </w:rPr>
        <w:t>（3）人均单日有效浏览时间</w:t>
      </w:r>
    </w:p>
    <w:p w:rsidR="00E955B1" w:rsidRDefault="00FA466E" w:rsidP="00FA466E">
      <w:pPr>
        <w:widowControl/>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sidR="00574F26">
        <w:rPr>
          <w:rFonts w:ascii="微软雅黑" w:eastAsia="微软雅黑" w:hAnsi="微软雅黑"/>
          <w:szCs w:val="21"/>
        </w:rPr>
        <w:t>陕西省</w:t>
      </w:r>
      <w:r w:rsidRPr="003E0CE0">
        <w:rPr>
          <w:rFonts w:ascii="微软雅黑" w:eastAsia="微软雅黑" w:hAnsi="微软雅黑"/>
          <w:szCs w:val="21"/>
        </w:rPr>
        <w:t>网民人均单日有效浏览时间为</w:t>
      </w:r>
      <w:r w:rsidR="00C641ED">
        <w:rPr>
          <w:rFonts w:ascii="微软雅黑" w:eastAsia="微软雅黑" w:hAnsi="微软雅黑" w:hint="eastAsia"/>
          <w:szCs w:val="21"/>
        </w:rPr>
        <w:t>91.6</w:t>
      </w:r>
      <w:r w:rsidRPr="003E0CE0">
        <w:rPr>
          <w:rFonts w:ascii="微软雅黑" w:eastAsia="微软雅黑" w:hAnsi="微软雅黑"/>
          <w:szCs w:val="21"/>
        </w:rPr>
        <w:t>分钟</w:t>
      </w:r>
      <w:r w:rsidR="00C641ED">
        <w:rPr>
          <w:rFonts w:ascii="微软雅黑" w:eastAsia="微软雅黑" w:hAnsi="微软雅黑" w:hint="eastAsia"/>
          <w:szCs w:val="21"/>
        </w:rPr>
        <w:t>，</w:t>
      </w:r>
      <w:r w:rsidR="00C641ED">
        <w:rPr>
          <w:rFonts w:ascii="微软雅黑" w:eastAsia="微软雅黑" w:hAnsi="微软雅黑"/>
          <w:szCs w:val="21"/>
        </w:rPr>
        <w:t>较</w:t>
      </w:r>
      <w:r w:rsidR="00C641ED">
        <w:rPr>
          <w:rFonts w:ascii="微软雅黑" w:eastAsia="微软雅黑" w:hAnsi="微软雅黑" w:hint="eastAsia"/>
          <w:szCs w:val="21"/>
        </w:rPr>
        <w:t>2016年提升4.4分钟</w:t>
      </w:r>
      <w:r w:rsidRPr="003E0CE0">
        <w:rPr>
          <w:rFonts w:ascii="微软雅黑" w:eastAsia="微软雅黑" w:hAnsi="微软雅黑"/>
          <w:szCs w:val="21"/>
        </w:rPr>
        <w:t>。</w:t>
      </w:r>
      <w:r w:rsidR="00C641ED">
        <w:rPr>
          <w:rFonts w:ascii="微软雅黑" w:eastAsia="微软雅黑" w:hAnsi="微软雅黑"/>
          <w:szCs w:val="21"/>
        </w:rPr>
        <w:t>这表明经常通过PC端接触网络服务的</w:t>
      </w:r>
      <w:r w:rsidR="00490491">
        <w:rPr>
          <w:rFonts w:ascii="微软雅黑" w:eastAsia="微软雅黑" w:hAnsi="微软雅黑"/>
          <w:szCs w:val="21"/>
        </w:rPr>
        <w:t>陕西</w:t>
      </w:r>
      <w:r w:rsidR="00C641ED">
        <w:rPr>
          <w:rFonts w:ascii="微软雅黑" w:eastAsia="微软雅黑" w:hAnsi="微软雅黑"/>
          <w:szCs w:val="21"/>
        </w:rPr>
        <w:t>网民</w:t>
      </w:r>
      <w:r w:rsidR="00C641ED">
        <w:rPr>
          <w:rFonts w:ascii="微软雅黑" w:eastAsia="微软雅黑" w:hAnsi="微软雅黑" w:hint="eastAsia"/>
          <w:szCs w:val="21"/>
        </w:rPr>
        <w:t>，</w:t>
      </w:r>
      <w:r w:rsidR="00C641ED">
        <w:rPr>
          <w:rFonts w:ascii="微软雅黑" w:eastAsia="微软雅黑" w:hAnsi="微软雅黑"/>
          <w:szCs w:val="21"/>
        </w:rPr>
        <w:t>其使用时间是稳中有增的趋势</w:t>
      </w:r>
      <w:r w:rsidR="00C641ED">
        <w:rPr>
          <w:rFonts w:ascii="微软雅黑" w:eastAsia="微软雅黑" w:hAnsi="微软雅黑" w:hint="eastAsia"/>
          <w:szCs w:val="21"/>
        </w:rPr>
        <w:t>。</w:t>
      </w:r>
      <w:r w:rsidRPr="003E0CE0">
        <w:rPr>
          <w:rFonts w:ascii="微软雅黑" w:eastAsia="微软雅黑" w:hAnsi="微软雅黑"/>
          <w:szCs w:val="21"/>
        </w:rPr>
        <w:t>从月度趋势来看，全省网民人均单日有效浏览时间</w:t>
      </w:r>
      <w:r w:rsidR="00C641ED">
        <w:rPr>
          <w:rFonts w:ascii="微软雅黑" w:eastAsia="微软雅黑" w:hAnsi="微软雅黑"/>
          <w:szCs w:val="21"/>
        </w:rPr>
        <w:t>基本</w:t>
      </w:r>
      <w:r w:rsidRPr="003E0CE0">
        <w:rPr>
          <w:rFonts w:ascii="微软雅黑" w:eastAsia="微软雅黑" w:hAnsi="微软雅黑"/>
          <w:szCs w:val="21"/>
        </w:rPr>
        <w:t>平稳，</w:t>
      </w:r>
      <w:r w:rsidR="00C641ED">
        <w:rPr>
          <w:rFonts w:ascii="微软雅黑" w:eastAsia="微软雅黑" w:hAnsi="微软雅黑"/>
          <w:szCs w:val="21"/>
        </w:rPr>
        <w:t>其中</w:t>
      </w:r>
      <w:r w:rsidRPr="003E0CE0">
        <w:rPr>
          <w:rFonts w:ascii="微软雅黑" w:eastAsia="微软雅黑" w:hAnsi="微软雅黑"/>
          <w:szCs w:val="21"/>
        </w:rPr>
        <w:t>以</w:t>
      </w:r>
      <w:r w:rsidR="00C641ED">
        <w:rPr>
          <w:rFonts w:ascii="微软雅黑" w:eastAsia="微软雅黑" w:hAnsi="微软雅黑" w:hint="eastAsia"/>
          <w:szCs w:val="21"/>
        </w:rPr>
        <w:t>1</w:t>
      </w:r>
      <w:r w:rsidRPr="003E0CE0">
        <w:rPr>
          <w:rFonts w:ascii="微软雅黑" w:eastAsia="微软雅黑" w:hAnsi="微软雅黑"/>
          <w:szCs w:val="21"/>
        </w:rPr>
        <w:t>月</w:t>
      </w:r>
      <w:r w:rsidR="00E955B1">
        <w:rPr>
          <w:rFonts w:ascii="微软雅黑" w:eastAsia="微软雅黑" w:hAnsi="微软雅黑" w:hint="eastAsia"/>
          <w:szCs w:val="21"/>
        </w:rPr>
        <w:t>、2月、8月的时间相对较高，均在95分钟以上；以12月最低，仅83.6分钟。</w:t>
      </w:r>
      <w:r w:rsidR="00C2076A">
        <w:rPr>
          <w:rFonts w:ascii="微软雅黑" w:eastAsia="微软雅黑" w:hAnsi="微软雅黑" w:hint="eastAsia"/>
          <w:szCs w:val="21"/>
        </w:rPr>
        <w:t>与全国平均水平相比，</w:t>
      </w:r>
      <w:r w:rsidR="00C2076A">
        <w:rPr>
          <w:rFonts w:ascii="微软雅黑" w:eastAsia="微软雅黑" w:hAnsi="微软雅黑"/>
          <w:szCs w:val="21"/>
        </w:rPr>
        <w:t>陕西省</w:t>
      </w:r>
      <w:r w:rsidR="00C2076A" w:rsidRPr="003E0CE0">
        <w:rPr>
          <w:rFonts w:ascii="微软雅黑" w:eastAsia="微软雅黑" w:hAnsi="微软雅黑"/>
          <w:szCs w:val="21"/>
        </w:rPr>
        <w:t>网民人均单日有效浏览时间</w:t>
      </w:r>
      <w:r w:rsidR="00C2076A">
        <w:rPr>
          <w:rFonts w:ascii="微软雅黑" w:eastAsia="微软雅黑" w:hAnsi="微软雅黑"/>
          <w:szCs w:val="21"/>
        </w:rPr>
        <w:t>高出</w:t>
      </w:r>
      <w:r w:rsidR="00C2076A">
        <w:rPr>
          <w:rFonts w:ascii="微软雅黑" w:eastAsia="微软雅黑" w:hAnsi="微软雅黑" w:hint="eastAsia"/>
          <w:szCs w:val="21"/>
        </w:rPr>
        <w:t>2.7分钟，</w:t>
      </w:r>
      <w:r w:rsidR="00490491">
        <w:rPr>
          <w:rFonts w:ascii="微软雅黑" w:eastAsia="微软雅黑" w:hAnsi="微软雅黑" w:hint="eastAsia"/>
          <w:szCs w:val="21"/>
        </w:rPr>
        <w:t>说明</w:t>
      </w:r>
      <w:r w:rsidR="00C2076A">
        <w:rPr>
          <w:rFonts w:ascii="微软雅黑" w:eastAsia="微软雅黑" w:hAnsi="微软雅黑" w:hint="eastAsia"/>
          <w:szCs w:val="21"/>
        </w:rPr>
        <w:t>陕西省网民对网络服务的使用粘性更强。</w:t>
      </w:r>
    </w:p>
    <w:p w:rsidR="0050355B" w:rsidRPr="003E0CE0" w:rsidRDefault="0050355B" w:rsidP="00FA466E">
      <w:pPr>
        <w:jc w:val="center"/>
        <w:rPr>
          <w:rFonts w:ascii="微软雅黑" w:eastAsia="微软雅黑" w:hAnsi="微软雅黑"/>
          <w:szCs w:val="21"/>
        </w:rPr>
      </w:pPr>
      <w:r>
        <w:rPr>
          <w:noProof/>
        </w:rPr>
        <w:drawing>
          <wp:inline distT="0" distB="0" distL="0" distR="0">
            <wp:extent cx="4809600" cy="2879725"/>
            <wp:effectExtent l="0" t="0" r="10160" b="15875"/>
            <wp:docPr id="97474" name="图表 97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A466E" w:rsidRDefault="00C564F4" w:rsidP="00FA466E">
      <w:pPr>
        <w:pStyle w:val="ab"/>
      </w:pPr>
      <w:bookmarkStart w:id="48" w:name="_Toc517164661"/>
      <w:bookmarkStart w:id="49" w:name="_Toc517206441"/>
      <w:bookmarkStart w:id="50" w:name="_Toc524418111"/>
      <w:r>
        <w:t>图3-</w:t>
      </w:r>
      <w:r w:rsidR="00490491">
        <w:rPr>
          <w:rFonts w:hint="eastAsia"/>
        </w:rPr>
        <w:t>6</w:t>
      </w:r>
      <w:r w:rsidR="00FA466E" w:rsidRPr="003E0CE0">
        <w:t xml:space="preserve">  2017年</w:t>
      </w:r>
      <w:r w:rsidR="00574F26">
        <w:t>陕西省</w:t>
      </w:r>
      <w:r w:rsidR="00FA466E" w:rsidRPr="003E0CE0">
        <w:t>网民人均单日有效浏览时间</w:t>
      </w:r>
      <w:bookmarkEnd w:id="48"/>
      <w:bookmarkEnd w:id="49"/>
      <w:bookmarkEnd w:id="50"/>
    </w:p>
    <w:p w:rsidR="00DB7B0F" w:rsidRDefault="00DB7B0F" w:rsidP="00DB7B0F"/>
    <w:p w:rsidR="00B626A9" w:rsidRDefault="00B626A9" w:rsidP="00DB7B0F">
      <w:pPr>
        <w:jc w:val="center"/>
      </w:pPr>
      <w:r>
        <w:rPr>
          <w:noProof/>
        </w:rPr>
        <w:drawing>
          <wp:inline distT="0" distB="0" distL="0" distR="0">
            <wp:extent cx="4809490" cy="2879725"/>
            <wp:effectExtent l="0" t="0" r="10160" b="15875"/>
            <wp:docPr id="1129" name="图表 1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0491" w:rsidRDefault="00C564F4" w:rsidP="00490491">
      <w:pPr>
        <w:pStyle w:val="ab"/>
      </w:pPr>
      <w:bookmarkStart w:id="51" w:name="_Toc524418112"/>
      <w:r>
        <w:t>图3-</w:t>
      </w:r>
      <w:r w:rsidR="00490491">
        <w:rPr>
          <w:rFonts w:hint="eastAsia"/>
        </w:rPr>
        <w:t>7</w:t>
      </w:r>
      <w:r w:rsidR="00490491" w:rsidRPr="003E0CE0">
        <w:t xml:space="preserve">  2017年</w:t>
      </w:r>
      <w:r w:rsidR="00490491">
        <w:t>陕西省</w:t>
      </w:r>
      <w:r w:rsidR="00490491" w:rsidRPr="003E0CE0">
        <w:t>网民</w:t>
      </w:r>
      <w:r w:rsidR="00490491">
        <w:t>与全国网民</w:t>
      </w:r>
      <w:r w:rsidR="00490491" w:rsidRPr="003E0CE0">
        <w:t>人均单日有效浏览时间</w:t>
      </w:r>
      <w:bookmarkEnd w:id="51"/>
    </w:p>
    <w:p w:rsidR="00FA466E" w:rsidRPr="003E0CE0" w:rsidRDefault="00FA466E" w:rsidP="00FA466E">
      <w:pPr>
        <w:widowControl/>
        <w:spacing w:line="400" w:lineRule="exact"/>
        <w:ind w:firstLineChars="200" w:firstLine="420"/>
        <w:jc w:val="left"/>
        <w:outlineLvl w:val="4"/>
        <w:rPr>
          <w:rFonts w:ascii="微软雅黑" w:eastAsia="微软雅黑" w:hAnsi="微软雅黑"/>
          <w:b/>
          <w:szCs w:val="21"/>
        </w:rPr>
      </w:pPr>
      <w:r w:rsidRPr="003E0CE0">
        <w:rPr>
          <w:rFonts w:ascii="微软雅黑" w:eastAsia="微软雅黑" w:hAnsi="微软雅黑"/>
          <w:b/>
          <w:szCs w:val="21"/>
        </w:rPr>
        <w:t>（4）人均单次浏览页面</w:t>
      </w:r>
    </w:p>
    <w:p w:rsidR="00FA466E" w:rsidRPr="003E0CE0" w:rsidRDefault="00FA466E" w:rsidP="00FA466E">
      <w:pPr>
        <w:widowControl/>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sidR="00574F26">
        <w:rPr>
          <w:rFonts w:ascii="微软雅黑" w:eastAsia="微软雅黑" w:hAnsi="微软雅黑"/>
          <w:szCs w:val="21"/>
        </w:rPr>
        <w:t>陕西省</w:t>
      </w:r>
      <w:r w:rsidR="00EA0D3B">
        <w:rPr>
          <w:rFonts w:ascii="微软雅黑" w:eastAsia="微软雅黑" w:hAnsi="微软雅黑"/>
          <w:szCs w:val="21"/>
        </w:rPr>
        <w:t>网民人均单次浏览页面数较</w:t>
      </w:r>
      <w:r w:rsidRPr="003E0CE0">
        <w:rPr>
          <w:rFonts w:ascii="微软雅黑" w:eastAsia="微软雅黑" w:hAnsi="微软雅黑"/>
          <w:szCs w:val="21"/>
        </w:rPr>
        <w:t>接近，全年均值为2.8页。具体来看，以</w:t>
      </w:r>
      <w:r w:rsidR="0010454F">
        <w:rPr>
          <w:rFonts w:ascii="微软雅黑" w:eastAsia="微软雅黑" w:hAnsi="微软雅黑" w:hint="eastAsia"/>
          <w:szCs w:val="21"/>
        </w:rPr>
        <w:t>11</w:t>
      </w:r>
      <w:r w:rsidRPr="003E0CE0">
        <w:rPr>
          <w:rFonts w:ascii="微软雅黑" w:eastAsia="微软雅黑" w:hAnsi="微软雅黑"/>
          <w:szCs w:val="21"/>
        </w:rPr>
        <w:t>月份最高，单次浏览页面为2.</w:t>
      </w:r>
      <w:r w:rsidR="00777A18">
        <w:rPr>
          <w:rFonts w:ascii="微软雅黑" w:eastAsia="微软雅黑" w:hAnsi="微软雅黑" w:hint="eastAsia"/>
          <w:szCs w:val="21"/>
        </w:rPr>
        <w:t>8</w:t>
      </w:r>
      <w:r w:rsidRPr="003E0CE0">
        <w:rPr>
          <w:rFonts w:ascii="微软雅黑" w:eastAsia="微软雅黑" w:hAnsi="微软雅黑"/>
          <w:szCs w:val="21"/>
        </w:rPr>
        <w:t>9页。</w:t>
      </w:r>
      <w:r w:rsidR="00CE7B53">
        <w:rPr>
          <w:rFonts w:ascii="微软雅黑" w:eastAsia="微软雅黑" w:hAnsi="微软雅黑" w:hint="eastAsia"/>
          <w:szCs w:val="21"/>
        </w:rPr>
        <w:t>陕西省网民</w:t>
      </w:r>
      <w:r w:rsidR="00CE7B53" w:rsidRPr="00CE7B53">
        <w:rPr>
          <w:rFonts w:ascii="微软雅黑" w:eastAsia="微软雅黑" w:hAnsi="微软雅黑" w:hint="eastAsia"/>
          <w:szCs w:val="21"/>
        </w:rPr>
        <w:t>人均单次浏览页面</w:t>
      </w:r>
      <w:r w:rsidR="00981E82">
        <w:rPr>
          <w:rFonts w:ascii="微软雅黑" w:eastAsia="微软雅黑" w:hAnsi="微软雅黑" w:hint="eastAsia"/>
          <w:szCs w:val="21"/>
        </w:rPr>
        <w:t>与</w:t>
      </w:r>
      <w:r w:rsidR="00981E82">
        <w:rPr>
          <w:rFonts w:ascii="微软雅黑" w:eastAsia="微软雅黑" w:hAnsi="微软雅黑"/>
          <w:szCs w:val="21"/>
        </w:rPr>
        <w:t>全国平均水平相比较</w:t>
      </w:r>
      <w:r w:rsidR="00CE7B53">
        <w:rPr>
          <w:rFonts w:ascii="微软雅黑" w:eastAsia="微软雅黑" w:hAnsi="微软雅黑" w:hint="eastAsia"/>
          <w:szCs w:val="21"/>
        </w:rPr>
        <w:t>基本相当，但月份之间的波动幅度略大于全国平均水平。</w:t>
      </w:r>
    </w:p>
    <w:p w:rsidR="0050355B" w:rsidRPr="003E0CE0" w:rsidRDefault="0050355B" w:rsidP="00FA466E">
      <w:pPr>
        <w:jc w:val="center"/>
        <w:rPr>
          <w:rFonts w:ascii="微软雅黑" w:eastAsia="微软雅黑" w:hAnsi="微软雅黑"/>
          <w:szCs w:val="21"/>
        </w:rPr>
      </w:pPr>
      <w:r>
        <w:rPr>
          <w:noProof/>
        </w:rPr>
        <w:drawing>
          <wp:inline distT="0" distB="0" distL="0" distR="0">
            <wp:extent cx="4809490" cy="2841625"/>
            <wp:effectExtent l="0" t="0" r="10160" b="15875"/>
            <wp:docPr id="97475" name="图表 97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466E" w:rsidRDefault="00C564F4" w:rsidP="00FA466E">
      <w:pPr>
        <w:pStyle w:val="ab"/>
      </w:pPr>
      <w:bookmarkStart w:id="52" w:name="_Toc517164662"/>
      <w:bookmarkStart w:id="53" w:name="_Toc517206442"/>
      <w:bookmarkStart w:id="54" w:name="_Toc524418113"/>
      <w:r>
        <w:t>图3-</w:t>
      </w:r>
      <w:r w:rsidR="000F07A8">
        <w:rPr>
          <w:rFonts w:hint="eastAsia"/>
        </w:rPr>
        <w:t>8</w:t>
      </w:r>
      <w:r w:rsidR="00FA466E" w:rsidRPr="003E0CE0">
        <w:t xml:space="preserve">  2017年</w:t>
      </w:r>
      <w:r w:rsidR="00574F26">
        <w:t>陕西省</w:t>
      </w:r>
      <w:r w:rsidR="00FA466E" w:rsidRPr="003E0CE0">
        <w:t>网民人均单次浏览页面</w:t>
      </w:r>
      <w:bookmarkEnd w:id="52"/>
      <w:bookmarkEnd w:id="53"/>
      <w:bookmarkEnd w:id="54"/>
    </w:p>
    <w:p w:rsidR="00014228" w:rsidRPr="00014228" w:rsidRDefault="00014228" w:rsidP="00014228"/>
    <w:p w:rsidR="00DB7B0F" w:rsidRDefault="00B626A9" w:rsidP="00DB7B0F">
      <w:pPr>
        <w:jc w:val="center"/>
      </w:pPr>
      <w:r>
        <w:rPr>
          <w:noProof/>
        </w:rPr>
        <w:drawing>
          <wp:inline distT="0" distB="0" distL="0" distR="0">
            <wp:extent cx="4809490" cy="2879725"/>
            <wp:effectExtent l="0" t="0" r="10160" b="15875"/>
            <wp:docPr id="1130" name="图表 1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F07A8" w:rsidRDefault="00C564F4" w:rsidP="000F07A8">
      <w:pPr>
        <w:pStyle w:val="ab"/>
      </w:pPr>
      <w:bookmarkStart w:id="55" w:name="_Toc524418114"/>
      <w:r>
        <w:t>图3-</w:t>
      </w:r>
      <w:r w:rsidR="00D646EE">
        <w:rPr>
          <w:rFonts w:hint="eastAsia"/>
        </w:rPr>
        <w:t>9</w:t>
      </w:r>
      <w:r w:rsidR="000F07A8" w:rsidRPr="003E0CE0">
        <w:t xml:space="preserve">  2017年</w:t>
      </w:r>
      <w:r w:rsidR="000F07A8">
        <w:t>陕西省</w:t>
      </w:r>
      <w:r w:rsidR="000F07A8" w:rsidRPr="003E0CE0">
        <w:t>网民</w:t>
      </w:r>
      <w:r w:rsidR="000F07A8">
        <w:t>与全国网民</w:t>
      </w:r>
      <w:r w:rsidR="000F07A8" w:rsidRPr="003E0CE0">
        <w:t>人均单次浏览页面</w:t>
      </w:r>
      <w:r w:rsidR="000F07A8">
        <w:t>对比</w:t>
      </w:r>
      <w:bookmarkEnd w:id="55"/>
    </w:p>
    <w:p w:rsidR="00366C15" w:rsidRPr="009D423B" w:rsidRDefault="007A01AC" w:rsidP="006F78C8">
      <w:pPr>
        <w:outlineLvl w:val="3"/>
        <w:rPr>
          <w:rFonts w:ascii="微软雅黑" w:eastAsia="微软雅黑" w:hAnsi="微软雅黑"/>
          <w:b/>
          <w:bCs/>
        </w:rPr>
      </w:pPr>
      <w:bookmarkStart w:id="56" w:name="_Toc524417982"/>
      <w:r w:rsidRPr="009D423B">
        <w:rPr>
          <w:rFonts w:ascii="微软雅黑" w:eastAsia="微软雅黑" w:hAnsi="微软雅黑" w:hint="eastAsia"/>
          <w:b/>
          <w:bCs/>
        </w:rPr>
        <w:t>3.</w:t>
      </w:r>
      <w:r w:rsidR="00714508">
        <w:rPr>
          <w:rFonts w:ascii="微软雅黑" w:eastAsia="微软雅黑" w:hAnsi="微软雅黑"/>
          <w:b/>
          <w:bCs/>
        </w:rPr>
        <w:t>PC端</w:t>
      </w:r>
      <w:r w:rsidR="00366C15" w:rsidRPr="009D423B">
        <w:rPr>
          <w:rFonts w:ascii="微软雅黑" w:eastAsia="微软雅黑" w:hAnsi="微软雅黑" w:hint="eastAsia"/>
          <w:b/>
          <w:bCs/>
        </w:rPr>
        <w:t>网民使用主要网络服务</w:t>
      </w:r>
      <w:bookmarkEnd w:id="56"/>
    </w:p>
    <w:p w:rsidR="00574F26" w:rsidRDefault="0010454F" w:rsidP="00A17B6B">
      <w:pPr>
        <w:snapToGrid w:val="0"/>
        <w:ind w:firstLineChars="200" w:firstLine="420"/>
        <w:rPr>
          <w:rFonts w:ascii="微软雅黑" w:eastAsia="微软雅黑" w:hAnsi="微软雅黑"/>
          <w:noProof/>
          <w:szCs w:val="21"/>
        </w:rPr>
      </w:pPr>
      <w:r w:rsidRPr="003E0CE0">
        <w:rPr>
          <w:rFonts w:ascii="微软雅黑" w:eastAsia="微软雅黑" w:hAnsi="微软雅黑"/>
          <w:szCs w:val="21"/>
        </w:rPr>
        <w:t>2017年，在</w:t>
      </w:r>
      <w:r>
        <w:rPr>
          <w:rFonts w:ascii="微软雅黑" w:eastAsia="微软雅黑" w:hAnsi="微软雅黑" w:hint="eastAsia"/>
          <w:szCs w:val="21"/>
        </w:rPr>
        <w:t>陕西</w:t>
      </w:r>
      <w:r w:rsidRPr="003E0CE0">
        <w:rPr>
          <w:rFonts w:ascii="微软雅黑" w:eastAsia="微软雅黑" w:hAnsi="微软雅黑"/>
          <w:szCs w:val="21"/>
        </w:rPr>
        <w:t>省网民常用网络服务中，搜索服务、在线视频、新闻资讯、电子商务</w:t>
      </w:r>
      <w:r>
        <w:rPr>
          <w:rFonts w:ascii="微软雅黑" w:eastAsia="微软雅黑" w:hAnsi="微软雅黑"/>
          <w:szCs w:val="21"/>
        </w:rPr>
        <w:t>和</w:t>
      </w:r>
      <w:r w:rsidRPr="003E0CE0">
        <w:rPr>
          <w:rFonts w:ascii="微软雅黑" w:eastAsia="微软雅黑" w:hAnsi="微软雅黑"/>
          <w:szCs w:val="21"/>
        </w:rPr>
        <w:t>社区交友的月度覆盖人数比例均超过</w:t>
      </w:r>
      <w:r>
        <w:rPr>
          <w:rFonts w:ascii="微软雅黑" w:eastAsia="微软雅黑" w:hAnsi="微软雅黑" w:hint="eastAsia"/>
          <w:szCs w:val="21"/>
        </w:rPr>
        <w:t>80%</w:t>
      </w:r>
      <w:r w:rsidRPr="003E0CE0">
        <w:rPr>
          <w:rFonts w:ascii="微软雅黑" w:eastAsia="微软雅黑" w:hAnsi="微软雅黑"/>
          <w:szCs w:val="21"/>
        </w:rPr>
        <w:t>，继续保持着较高的渗透</w:t>
      </w:r>
      <w:r>
        <w:rPr>
          <w:rFonts w:ascii="微软雅黑" w:eastAsia="微软雅黑" w:hAnsi="微软雅黑" w:hint="eastAsia"/>
          <w:szCs w:val="21"/>
        </w:rPr>
        <w:t>。</w:t>
      </w:r>
      <w:r w:rsidRPr="003E0CE0">
        <w:rPr>
          <w:rFonts w:ascii="微软雅黑" w:eastAsia="微软雅黑" w:hAnsi="微软雅黑"/>
          <w:szCs w:val="21"/>
        </w:rPr>
        <w:t>其中</w:t>
      </w:r>
      <w:r>
        <w:rPr>
          <w:rFonts w:ascii="微软雅黑" w:eastAsia="微软雅黑" w:hAnsi="微软雅黑" w:hint="eastAsia"/>
          <w:szCs w:val="21"/>
        </w:rPr>
        <w:t>，</w:t>
      </w:r>
      <w:r w:rsidRPr="003E0CE0">
        <w:rPr>
          <w:rFonts w:ascii="微软雅黑" w:eastAsia="微软雅黑" w:hAnsi="微软雅黑"/>
          <w:szCs w:val="21"/>
        </w:rPr>
        <w:t>搜索服务的</w:t>
      </w:r>
      <w:r w:rsidR="00C23761">
        <w:rPr>
          <w:rFonts w:ascii="微软雅黑" w:eastAsia="微软雅黑" w:hAnsi="微软雅黑" w:hint="eastAsia"/>
          <w:szCs w:val="21"/>
        </w:rPr>
        <w:t>网民</w:t>
      </w:r>
      <w:r w:rsidR="00C23761">
        <w:rPr>
          <w:rFonts w:ascii="微软雅黑" w:eastAsia="微软雅黑" w:hAnsi="微软雅黑"/>
          <w:szCs w:val="21"/>
        </w:rPr>
        <w:t>月度覆盖比例</w:t>
      </w:r>
      <w:r w:rsidRPr="003E0CE0">
        <w:rPr>
          <w:rFonts w:ascii="微软雅黑" w:eastAsia="微软雅黑" w:hAnsi="微软雅黑"/>
          <w:szCs w:val="21"/>
        </w:rPr>
        <w:t>高达</w:t>
      </w:r>
      <w:r>
        <w:rPr>
          <w:rFonts w:ascii="微软雅黑" w:eastAsia="微软雅黑" w:hAnsi="微软雅黑"/>
          <w:szCs w:val="21"/>
        </w:rPr>
        <w:t>99.</w:t>
      </w:r>
      <w:r>
        <w:rPr>
          <w:rFonts w:ascii="微软雅黑" w:eastAsia="微软雅黑" w:hAnsi="微软雅黑" w:hint="eastAsia"/>
          <w:szCs w:val="21"/>
        </w:rPr>
        <w:t>7</w:t>
      </w:r>
      <w:r w:rsidRPr="003E0CE0">
        <w:rPr>
          <w:rFonts w:ascii="微软雅黑" w:eastAsia="微软雅黑" w:hAnsi="微软雅黑"/>
          <w:szCs w:val="21"/>
        </w:rPr>
        <w:t>%，几乎是每个网民都要使用到的网络服务类型。</w:t>
      </w:r>
    </w:p>
    <w:p w:rsidR="00574F26" w:rsidRDefault="00574F26" w:rsidP="006507C8">
      <w:pPr>
        <w:snapToGrid w:val="0"/>
        <w:jc w:val="center"/>
        <w:rPr>
          <w:rFonts w:ascii="微软雅黑" w:eastAsia="微软雅黑" w:hAnsi="微软雅黑"/>
          <w:noProof/>
          <w:szCs w:val="21"/>
        </w:rPr>
      </w:pPr>
      <w:r>
        <w:rPr>
          <w:noProof/>
        </w:rPr>
        <w:drawing>
          <wp:inline distT="0" distB="0" distL="0" distR="0">
            <wp:extent cx="4798800" cy="2841900"/>
            <wp:effectExtent l="0" t="0" r="20955" b="15875"/>
            <wp:docPr id="97476" name="图表 97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507C8" w:rsidRDefault="00C564F4" w:rsidP="00A25E10">
      <w:pPr>
        <w:pStyle w:val="ab"/>
      </w:pPr>
      <w:bookmarkStart w:id="57" w:name="_Toc524418115"/>
      <w:r>
        <w:t>图3-</w:t>
      </w:r>
      <w:r w:rsidR="00D646EE">
        <w:rPr>
          <w:rFonts w:hint="eastAsia"/>
        </w:rPr>
        <w:t>10</w:t>
      </w:r>
      <w:r w:rsidR="006507C8" w:rsidRPr="009D423B">
        <w:t xml:space="preserve">  </w:t>
      </w:r>
      <w:r w:rsidR="0050355B">
        <w:t>2017年</w:t>
      </w:r>
      <w:r w:rsidR="006507C8" w:rsidRPr="009D423B">
        <w:t>陕西省网民使用主要网络服务</w:t>
      </w:r>
      <w:bookmarkEnd w:id="57"/>
    </w:p>
    <w:p w:rsidR="00366C15" w:rsidRPr="009D423B" w:rsidRDefault="00366C15" w:rsidP="00A36DDA">
      <w:pPr>
        <w:spacing w:line="360" w:lineRule="auto"/>
        <w:outlineLvl w:val="2"/>
        <w:rPr>
          <w:rFonts w:ascii="微软雅黑" w:eastAsia="微软雅黑" w:hAnsi="微软雅黑"/>
          <w:b/>
        </w:rPr>
      </w:pPr>
      <w:bookmarkStart w:id="58" w:name="_Toc524417983"/>
      <w:r w:rsidRPr="009D423B">
        <w:rPr>
          <w:rFonts w:ascii="微软雅黑" w:eastAsia="微软雅黑" w:hAnsi="微软雅黑" w:hint="eastAsia"/>
          <w:b/>
        </w:rPr>
        <w:t>（</w:t>
      </w:r>
      <w:r w:rsidR="007A01AC" w:rsidRPr="009D423B">
        <w:rPr>
          <w:rFonts w:ascii="微软雅黑" w:eastAsia="微软雅黑" w:hAnsi="微软雅黑" w:hint="eastAsia"/>
          <w:b/>
        </w:rPr>
        <w:t>二</w:t>
      </w:r>
      <w:r w:rsidRPr="009D423B">
        <w:rPr>
          <w:rFonts w:ascii="微软雅黑" w:eastAsia="微软雅黑" w:hAnsi="微软雅黑" w:hint="eastAsia"/>
          <w:b/>
        </w:rPr>
        <w:t>）</w:t>
      </w:r>
      <w:r w:rsidRPr="009D423B">
        <w:rPr>
          <w:rFonts w:ascii="微软雅黑" w:eastAsia="微软雅黑" w:hAnsi="微软雅黑"/>
          <w:b/>
        </w:rPr>
        <w:t>网民</w:t>
      </w:r>
      <w:r w:rsidR="00870AA7">
        <w:rPr>
          <w:rFonts w:ascii="微软雅黑" w:eastAsia="微软雅黑" w:hAnsi="微软雅黑"/>
          <w:b/>
        </w:rPr>
        <w:t>在PC端</w:t>
      </w:r>
      <w:r w:rsidRPr="009D423B">
        <w:rPr>
          <w:rFonts w:ascii="微软雅黑" w:eastAsia="微软雅黑" w:hAnsi="微软雅黑"/>
          <w:b/>
        </w:rPr>
        <w:t>网络应用情况</w:t>
      </w:r>
      <w:bookmarkEnd w:id="58"/>
    </w:p>
    <w:p w:rsidR="006507C8" w:rsidRPr="009D423B" w:rsidRDefault="006507C8" w:rsidP="006507C8">
      <w:pPr>
        <w:spacing w:line="400" w:lineRule="exact"/>
        <w:outlineLvl w:val="3"/>
        <w:rPr>
          <w:rFonts w:ascii="微软雅黑" w:eastAsia="微软雅黑" w:hAnsi="微软雅黑"/>
          <w:b/>
        </w:rPr>
      </w:pPr>
      <w:bookmarkStart w:id="59" w:name="_Toc524417984"/>
      <w:r w:rsidRPr="009D423B">
        <w:rPr>
          <w:rFonts w:ascii="微软雅黑" w:eastAsia="微软雅黑" w:hAnsi="微软雅黑" w:hint="eastAsia"/>
          <w:b/>
        </w:rPr>
        <w:t>1.</w:t>
      </w:r>
      <w:r w:rsidR="00714508">
        <w:rPr>
          <w:rFonts w:ascii="微软雅黑" w:eastAsia="微软雅黑" w:hAnsi="微软雅黑"/>
          <w:b/>
          <w:bCs/>
        </w:rPr>
        <w:t>PC端</w:t>
      </w:r>
      <w:r w:rsidRPr="009D423B">
        <w:rPr>
          <w:rFonts w:ascii="微软雅黑" w:eastAsia="微软雅黑" w:hAnsi="微软雅黑" w:hint="eastAsia"/>
          <w:b/>
        </w:rPr>
        <w:t>网民使用搜索服务情况</w:t>
      </w:r>
      <w:bookmarkEnd w:id="59"/>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（1）</w:t>
      </w:r>
      <w:r w:rsidR="006D2443" w:rsidRPr="003E0CE0">
        <w:rPr>
          <w:rFonts w:ascii="微软雅黑" w:eastAsia="微软雅黑" w:hAnsi="微软雅黑"/>
          <w:b/>
          <w:szCs w:val="21"/>
        </w:rPr>
        <w:t>使用搜索服务网民月度覆盖比例</w:t>
      </w:r>
    </w:p>
    <w:p w:rsidR="006C7272" w:rsidRPr="006C7272" w:rsidRDefault="006C7272" w:rsidP="006507C8">
      <w:pPr>
        <w:spacing w:line="400" w:lineRule="exact"/>
        <w:ind w:firstLineChars="200" w:firstLine="420"/>
        <w:rPr>
          <w:rFonts w:ascii="微软雅黑" w:eastAsia="微软雅黑" w:hAnsi="微软雅黑"/>
          <w:szCs w:val="21"/>
        </w:rPr>
      </w:pPr>
      <w:r w:rsidRPr="003E0CE0">
        <w:rPr>
          <w:rFonts w:ascii="微软雅黑" w:eastAsia="微软雅黑" w:hAnsi="微软雅黑"/>
          <w:szCs w:val="21"/>
        </w:rPr>
        <w:t>搜索服务历来是</w:t>
      </w:r>
      <w:r>
        <w:rPr>
          <w:rFonts w:ascii="微软雅黑" w:eastAsia="微软雅黑" w:hAnsi="微软雅黑"/>
          <w:szCs w:val="21"/>
        </w:rPr>
        <w:t>互联网领域</w:t>
      </w:r>
      <w:r w:rsidRPr="003E0CE0">
        <w:rPr>
          <w:rFonts w:ascii="微软雅黑" w:eastAsia="微软雅黑" w:hAnsi="微软雅黑"/>
          <w:szCs w:val="21"/>
        </w:rPr>
        <w:t>众多网络服务中渗滤率最高的一项</w:t>
      </w:r>
      <w:r>
        <w:rPr>
          <w:rFonts w:ascii="微软雅黑" w:eastAsia="微软雅黑" w:hAnsi="微软雅黑"/>
          <w:szCs w:val="21"/>
        </w:rPr>
        <w:t>服务类型</w:t>
      </w:r>
      <w:r>
        <w:rPr>
          <w:rFonts w:ascii="微软雅黑" w:eastAsia="微软雅黑" w:hAnsi="微软雅黑" w:hint="eastAsia"/>
          <w:szCs w:val="21"/>
        </w:rPr>
        <w:t>。</w:t>
      </w:r>
      <w:r w:rsidR="0050355B">
        <w:rPr>
          <w:rFonts w:ascii="微软雅黑" w:eastAsia="微软雅黑" w:hAnsi="微软雅黑"/>
          <w:szCs w:val="21"/>
        </w:rPr>
        <w:t>2017年</w:t>
      </w:r>
      <w:r w:rsidR="006507C8" w:rsidRPr="009D423B">
        <w:rPr>
          <w:rFonts w:ascii="微软雅黑" w:eastAsia="微软雅黑" w:hAnsi="微软雅黑"/>
          <w:szCs w:val="21"/>
        </w:rPr>
        <w:t>，陕西省使用搜索服务的网民</w:t>
      </w:r>
      <w:r w:rsidR="00C23761">
        <w:rPr>
          <w:rFonts w:ascii="微软雅黑" w:eastAsia="微软雅黑" w:hAnsi="微软雅黑" w:hint="eastAsia"/>
          <w:szCs w:val="21"/>
        </w:rPr>
        <w:t>月度覆盖比例</w:t>
      </w:r>
      <w:r>
        <w:rPr>
          <w:rFonts w:ascii="微软雅黑" w:eastAsia="微软雅黑" w:hAnsi="微软雅黑"/>
          <w:szCs w:val="21"/>
        </w:rPr>
        <w:t>维持在</w:t>
      </w:r>
      <w:r>
        <w:rPr>
          <w:rFonts w:ascii="微软雅黑" w:eastAsia="微软雅黑" w:hAnsi="微软雅黑" w:hint="eastAsia"/>
          <w:szCs w:val="21"/>
        </w:rPr>
        <w:t>99%以上，</w:t>
      </w:r>
      <w:r w:rsidRPr="003E0CE0">
        <w:rPr>
          <w:rFonts w:ascii="微软雅黑" w:eastAsia="微软雅黑" w:hAnsi="微软雅黑"/>
          <w:szCs w:val="21"/>
        </w:rPr>
        <w:t>高于在线视频、新闻资讯等主流的网络服务</w:t>
      </w:r>
      <w:r>
        <w:rPr>
          <w:rFonts w:ascii="微软雅黑" w:eastAsia="微软雅黑" w:hAnsi="微软雅黑"/>
          <w:szCs w:val="21"/>
        </w:rPr>
        <w:t>类型</w:t>
      </w:r>
      <w:r w:rsidRPr="003E0CE0">
        <w:rPr>
          <w:rFonts w:ascii="微软雅黑" w:eastAsia="微软雅黑" w:hAnsi="微软雅黑"/>
          <w:szCs w:val="21"/>
        </w:rPr>
        <w:t>10</w:t>
      </w:r>
      <w:r>
        <w:rPr>
          <w:rFonts w:ascii="微软雅黑" w:eastAsia="微软雅黑" w:hAnsi="微软雅黑" w:hint="eastAsia"/>
          <w:szCs w:val="21"/>
        </w:rPr>
        <w:t>余</w:t>
      </w:r>
      <w:r w:rsidRPr="003E0CE0">
        <w:rPr>
          <w:rFonts w:ascii="微软雅黑" w:eastAsia="微软雅黑" w:hAnsi="微软雅黑"/>
          <w:szCs w:val="21"/>
        </w:rPr>
        <w:t>个百分点</w:t>
      </w:r>
      <w:r>
        <w:rPr>
          <w:rFonts w:ascii="微软雅黑" w:eastAsia="微软雅黑" w:hAnsi="微软雅黑"/>
          <w:szCs w:val="21"/>
        </w:rPr>
        <w:t>不等</w:t>
      </w:r>
      <w:r>
        <w:rPr>
          <w:rFonts w:ascii="微软雅黑" w:eastAsia="微软雅黑" w:hAnsi="微软雅黑" w:hint="eastAsia"/>
          <w:szCs w:val="21"/>
        </w:rPr>
        <w:t>。搜索服务</w:t>
      </w:r>
      <w:r>
        <w:rPr>
          <w:rFonts w:ascii="微软雅黑" w:eastAsia="微软雅黑" w:hAnsi="微软雅黑"/>
          <w:szCs w:val="21"/>
        </w:rPr>
        <w:t>也是PC端为数不多的用户</w:t>
      </w:r>
      <w:r>
        <w:rPr>
          <w:rFonts w:ascii="微软雅黑" w:eastAsia="微软雅黑" w:hAnsi="微软雅黑" w:hint="eastAsia"/>
          <w:szCs w:val="21"/>
        </w:rPr>
        <w:t>能</w:t>
      </w:r>
      <w:r>
        <w:rPr>
          <w:rFonts w:ascii="微软雅黑" w:eastAsia="微软雅黑" w:hAnsi="微软雅黑"/>
          <w:szCs w:val="21"/>
        </w:rPr>
        <w:t>保持稳定或增长的服务类型</w:t>
      </w:r>
      <w:r>
        <w:rPr>
          <w:rFonts w:ascii="微软雅黑" w:eastAsia="微软雅黑" w:hAnsi="微软雅黑" w:hint="eastAsia"/>
          <w:szCs w:val="21"/>
        </w:rPr>
        <w:t>。</w:t>
      </w:r>
    </w:p>
    <w:p w:rsidR="008B05CF" w:rsidRDefault="008B05CF" w:rsidP="006507C8">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97482" name="图表 97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07C8" w:rsidRPr="009D423B" w:rsidRDefault="00C564F4" w:rsidP="006507C8">
      <w:pPr>
        <w:pStyle w:val="ab"/>
      </w:pPr>
      <w:bookmarkStart w:id="60" w:name="_Toc524418116"/>
      <w:r>
        <w:rPr>
          <w:rFonts w:hint="eastAsia"/>
        </w:rPr>
        <w:t>图3-</w:t>
      </w:r>
      <w:r w:rsidR="00B75413">
        <w:rPr>
          <w:rFonts w:hint="eastAsia"/>
        </w:rPr>
        <w:t>11</w:t>
      </w:r>
      <w:r w:rsidR="006507C8" w:rsidRPr="009D423B">
        <w:t xml:space="preserve">  </w:t>
      </w:r>
      <w:r w:rsidR="0050355B">
        <w:t>2017年</w:t>
      </w:r>
      <w:r w:rsidR="006507C8" w:rsidRPr="009D423B">
        <w:t>陕西省</w:t>
      </w:r>
      <w:r w:rsidR="006507C8" w:rsidRPr="009D423B">
        <w:rPr>
          <w:rFonts w:hint="eastAsia"/>
        </w:rPr>
        <w:t>网民使用搜索服务月度覆盖人数</w:t>
      </w:r>
      <w:bookmarkEnd w:id="60"/>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（2</w:t>
      </w:r>
      <w:r w:rsidR="00E664AC">
        <w:rPr>
          <w:rFonts w:ascii="微软雅黑" w:eastAsia="微软雅黑" w:hAnsi="微软雅黑" w:cs="宋体" w:hint="eastAsia"/>
          <w:b/>
          <w:bCs/>
          <w:szCs w:val="21"/>
        </w:rPr>
        <w:t>）</w:t>
      </w:r>
      <w:r w:rsidRPr="009D423B">
        <w:rPr>
          <w:rFonts w:ascii="微软雅黑" w:eastAsia="微软雅黑" w:hAnsi="微软雅黑" w:cs="宋体" w:hint="eastAsia"/>
          <w:b/>
          <w:bCs/>
          <w:szCs w:val="21"/>
        </w:rPr>
        <w:t>网民使用搜索服务的粘性</w:t>
      </w:r>
    </w:p>
    <w:p w:rsidR="006507C8" w:rsidRPr="00777A18" w:rsidRDefault="006507C8" w:rsidP="00777A18">
      <w:pPr>
        <w:widowControl/>
        <w:spacing w:line="400" w:lineRule="exact"/>
        <w:ind w:firstLineChars="200" w:firstLine="420"/>
        <w:jc w:val="left"/>
        <w:rPr>
          <w:rFonts w:ascii="微软雅黑" w:eastAsia="微软雅黑" w:hAnsi="微软雅黑"/>
          <w:b/>
          <w:szCs w:val="21"/>
        </w:rPr>
      </w:pPr>
      <w:r w:rsidRPr="00777A18">
        <w:rPr>
          <w:rFonts w:ascii="微软雅黑" w:eastAsia="微软雅黑" w:hAnsi="微软雅黑"/>
          <w:b/>
          <w:szCs w:val="21"/>
        </w:rPr>
        <w:t>1</w:t>
      </w:r>
      <w:r w:rsidR="00E664AC">
        <w:rPr>
          <w:rFonts w:ascii="微软雅黑" w:eastAsia="微软雅黑" w:hAnsi="微软雅黑"/>
          <w:b/>
          <w:szCs w:val="21"/>
        </w:rPr>
        <w:t>）</w:t>
      </w:r>
      <w:r w:rsidRPr="00777A18">
        <w:rPr>
          <w:rFonts w:ascii="微软雅黑" w:eastAsia="微软雅黑" w:hAnsi="微软雅黑"/>
          <w:b/>
          <w:szCs w:val="21"/>
        </w:rPr>
        <w:t>网民使用搜索服务人均月度访问天数</w:t>
      </w:r>
    </w:p>
    <w:p w:rsidR="006507C8" w:rsidRPr="009D423B" w:rsidRDefault="0050355B" w:rsidP="006507C8">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，陕西省网民使用搜索服务的人均月度访问天数保持平稳，</w:t>
      </w:r>
      <w:r w:rsidR="00F73926">
        <w:rPr>
          <w:rFonts w:ascii="微软雅黑" w:eastAsia="微软雅黑" w:hAnsi="微软雅黑"/>
          <w:szCs w:val="21"/>
        </w:rPr>
        <w:t>但</w:t>
      </w:r>
      <w:r w:rsidR="006507C8" w:rsidRPr="009D423B">
        <w:rPr>
          <w:rFonts w:ascii="微软雅黑" w:eastAsia="微软雅黑" w:hAnsi="微软雅黑"/>
          <w:szCs w:val="21"/>
        </w:rPr>
        <w:t>月均</w:t>
      </w:r>
      <w:r w:rsidR="006507C8" w:rsidRPr="009D423B">
        <w:rPr>
          <w:rFonts w:ascii="微软雅黑" w:eastAsia="微软雅黑" w:hAnsi="微软雅黑" w:hint="eastAsia"/>
          <w:szCs w:val="21"/>
        </w:rPr>
        <w:t>访问天数</w:t>
      </w:r>
      <w:r w:rsidR="00F73926">
        <w:rPr>
          <w:rFonts w:ascii="微软雅黑" w:eastAsia="微软雅黑" w:hAnsi="微软雅黑" w:hint="eastAsia"/>
          <w:szCs w:val="21"/>
        </w:rPr>
        <w:t>仅10.4</w:t>
      </w:r>
      <w:r w:rsidR="006507C8" w:rsidRPr="009D423B">
        <w:rPr>
          <w:rFonts w:ascii="微软雅黑" w:eastAsia="微软雅黑" w:hAnsi="微软雅黑"/>
          <w:szCs w:val="21"/>
        </w:rPr>
        <w:t>天</w:t>
      </w:r>
      <w:r w:rsidR="006507C8" w:rsidRPr="009D423B">
        <w:rPr>
          <w:rFonts w:ascii="微软雅黑" w:eastAsia="微软雅黑" w:hAnsi="微软雅黑" w:hint="eastAsia"/>
          <w:szCs w:val="21"/>
        </w:rPr>
        <w:t>，</w:t>
      </w:r>
      <w:r w:rsidR="00F73926">
        <w:rPr>
          <w:rFonts w:ascii="微软雅黑" w:eastAsia="微软雅黑" w:hAnsi="微软雅黑" w:hint="eastAsia"/>
          <w:szCs w:val="21"/>
        </w:rPr>
        <w:t>较</w:t>
      </w:r>
      <w:r w:rsidR="006507C8" w:rsidRPr="009D423B">
        <w:rPr>
          <w:rFonts w:ascii="微软雅黑" w:eastAsia="微软雅黑" w:hAnsi="微软雅黑" w:hint="eastAsia"/>
          <w:szCs w:val="21"/>
        </w:rPr>
        <w:t>201</w:t>
      </w:r>
      <w:r w:rsidR="00F73926">
        <w:rPr>
          <w:rFonts w:ascii="微软雅黑" w:eastAsia="微软雅黑" w:hAnsi="微软雅黑" w:hint="eastAsia"/>
          <w:szCs w:val="21"/>
        </w:rPr>
        <w:t>6</w:t>
      </w:r>
      <w:r w:rsidR="006507C8" w:rsidRPr="009D423B">
        <w:rPr>
          <w:rFonts w:ascii="微软雅黑" w:eastAsia="微软雅黑" w:hAnsi="微软雅黑" w:hint="eastAsia"/>
          <w:szCs w:val="21"/>
        </w:rPr>
        <w:t>年</w:t>
      </w:r>
      <w:r w:rsidR="00F73926">
        <w:rPr>
          <w:rFonts w:ascii="微软雅黑" w:eastAsia="微软雅黑" w:hAnsi="微软雅黑" w:hint="eastAsia"/>
          <w:szCs w:val="21"/>
        </w:rPr>
        <w:t>降低了0.6天</w:t>
      </w:r>
      <w:r w:rsidR="006507C8" w:rsidRPr="009D423B">
        <w:rPr>
          <w:rFonts w:ascii="微软雅黑" w:eastAsia="微软雅黑" w:hAnsi="微软雅黑"/>
          <w:szCs w:val="21"/>
        </w:rPr>
        <w:t>。</w:t>
      </w:r>
    </w:p>
    <w:p w:rsidR="008B05CF" w:rsidRPr="009D423B" w:rsidRDefault="008B05CF" w:rsidP="006507C8">
      <w:pPr>
        <w:jc w:val="center"/>
        <w:rPr>
          <w:rFonts w:ascii="微软雅黑" w:eastAsia="微软雅黑" w:hAnsi="微软雅黑"/>
          <w:szCs w:val="21"/>
        </w:rPr>
      </w:pPr>
      <w:r>
        <w:rPr>
          <w:noProof/>
        </w:rPr>
        <w:drawing>
          <wp:inline distT="0" distB="0" distL="0" distR="0">
            <wp:extent cx="4809600" cy="2880000"/>
            <wp:effectExtent l="0" t="0" r="10160" b="15875"/>
            <wp:docPr id="97483" name="图表 97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507C8" w:rsidRPr="009D423B" w:rsidRDefault="00C564F4" w:rsidP="006507C8">
      <w:pPr>
        <w:pStyle w:val="ab"/>
      </w:pPr>
      <w:bookmarkStart w:id="61" w:name="_Toc524418117"/>
      <w:r>
        <w:rPr>
          <w:rFonts w:hint="eastAsia"/>
        </w:rPr>
        <w:t>图3-</w:t>
      </w:r>
      <w:r w:rsidR="00B75413">
        <w:rPr>
          <w:rFonts w:hint="eastAsia"/>
        </w:rPr>
        <w:t>12</w:t>
      </w:r>
      <w:r w:rsidR="006507C8" w:rsidRPr="009D423B">
        <w:t xml:space="preserve">  </w:t>
      </w:r>
      <w:r w:rsidR="0050355B">
        <w:t>2017年</w:t>
      </w:r>
      <w:r w:rsidR="006507C8" w:rsidRPr="009D423B">
        <w:t>陕西省网民使用搜索服务人均月度访问天</w:t>
      </w:r>
      <w:r w:rsidR="006507C8" w:rsidRPr="009D423B">
        <w:rPr>
          <w:rFonts w:hint="eastAsia"/>
        </w:rPr>
        <w:t>数</w:t>
      </w:r>
      <w:bookmarkEnd w:id="61"/>
    </w:p>
    <w:p w:rsidR="006507C8" w:rsidRPr="00777A18" w:rsidRDefault="006507C8" w:rsidP="006507C8">
      <w:pPr>
        <w:widowControl/>
        <w:spacing w:line="400" w:lineRule="exact"/>
        <w:ind w:firstLineChars="200" w:firstLine="420"/>
        <w:jc w:val="left"/>
        <w:rPr>
          <w:rFonts w:ascii="微软雅黑" w:eastAsia="微软雅黑" w:hAnsi="微软雅黑"/>
          <w:b/>
          <w:szCs w:val="21"/>
        </w:rPr>
      </w:pPr>
      <w:r w:rsidRPr="00777A18">
        <w:rPr>
          <w:rFonts w:ascii="微软雅黑" w:eastAsia="微软雅黑" w:hAnsi="微软雅黑"/>
          <w:b/>
          <w:szCs w:val="21"/>
        </w:rPr>
        <w:t>2</w:t>
      </w:r>
      <w:r w:rsidR="00E664AC">
        <w:rPr>
          <w:rFonts w:ascii="微软雅黑" w:eastAsia="微软雅黑" w:hAnsi="微软雅黑"/>
          <w:b/>
          <w:szCs w:val="21"/>
        </w:rPr>
        <w:t>）</w:t>
      </w:r>
      <w:r w:rsidRPr="00777A18">
        <w:rPr>
          <w:rFonts w:ascii="微软雅黑" w:eastAsia="微软雅黑" w:hAnsi="微软雅黑"/>
          <w:b/>
          <w:szCs w:val="21"/>
        </w:rPr>
        <w:t>网民使用搜索服务人均月度访问次数</w:t>
      </w:r>
    </w:p>
    <w:p w:rsidR="006507C8" w:rsidRPr="009D423B" w:rsidRDefault="0050355B" w:rsidP="006507C8">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w:t>
      </w:r>
      <w:r w:rsidR="006507C8" w:rsidRPr="009D423B">
        <w:rPr>
          <w:rFonts w:ascii="微软雅黑" w:eastAsia="微软雅黑" w:hAnsi="微软雅黑" w:hint="eastAsia"/>
          <w:szCs w:val="21"/>
        </w:rPr>
        <w:t>网民人均月度访问搜索服务次数</w:t>
      </w:r>
      <w:r w:rsidR="00F73926">
        <w:rPr>
          <w:rFonts w:ascii="微软雅黑" w:eastAsia="微软雅黑" w:hAnsi="微软雅黑" w:hint="eastAsia"/>
          <w:szCs w:val="21"/>
        </w:rPr>
        <w:t>为43.8次，较2016年略有下降。</w:t>
      </w:r>
      <w:r w:rsidR="006507C8" w:rsidRPr="009D423B">
        <w:rPr>
          <w:rFonts w:ascii="微软雅黑" w:eastAsia="微软雅黑" w:hAnsi="微软雅黑"/>
          <w:szCs w:val="21"/>
        </w:rPr>
        <w:t>这反映出</w:t>
      </w:r>
      <w:r w:rsidR="006507C8" w:rsidRPr="009D423B">
        <w:rPr>
          <w:rFonts w:ascii="微软雅黑" w:eastAsia="微软雅黑" w:hAnsi="微软雅黑" w:hint="eastAsia"/>
          <w:szCs w:val="21"/>
        </w:rPr>
        <w:t>陕西网民对</w:t>
      </w:r>
      <w:r w:rsidR="008C070D">
        <w:rPr>
          <w:rFonts w:ascii="微软雅黑" w:eastAsia="微软雅黑" w:hAnsi="微软雅黑" w:hint="eastAsia"/>
          <w:szCs w:val="21"/>
        </w:rPr>
        <w:t>PC端</w:t>
      </w:r>
      <w:r w:rsidR="006507C8" w:rsidRPr="009D423B">
        <w:rPr>
          <w:rFonts w:ascii="微软雅黑" w:eastAsia="微软雅黑" w:hAnsi="微软雅黑"/>
          <w:szCs w:val="21"/>
        </w:rPr>
        <w:t>搜索服务的使用</w:t>
      </w:r>
      <w:r w:rsidR="00F73926">
        <w:rPr>
          <w:rFonts w:ascii="微软雅黑" w:eastAsia="微软雅黑" w:hAnsi="微软雅黑" w:hint="eastAsia"/>
          <w:szCs w:val="21"/>
        </w:rPr>
        <w:t>频率略有</w:t>
      </w:r>
      <w:r w:rsidR="006507C8" w:rsidRPr="009D423B">
        <w:rPr>
          <w:rFonts w:ascii="微软雅黑" w:eastAsia="微软雅黑" w:hAnsi="微软雅黑" w:hint="eastAsia"/>
          <w:szCs w:val="21"/>
        </w:rPr>
        <w:t>降低。</w:t>
      </w:r>
    </w:p>
    <w:p w:rsidR="008B05CF" w:rsidRPr="009D423B" w:rsidRDefault="008B05CF" w:rsidP="006507C8">
      <w:pPr>
        <w:jc w:val="center"/>
        <w:rPr>
          <w:rFonts w:ascii="微软雅黑" w:eastAsia="微软雅黑" w:hAnsi="微软雅黑"/>
          <w:szCs w:val="21"/>
        </w:rPr>
      </w:pPr>
      <w:r>
        <w:rPr>
          <w:noProof/>
        </w:rPr>
        <w:drawing>
          <wp:inline distT="0" distB="0" distL="0" distR="0">
            <wp:extent cx="4809600" cy="2880000"/>
            <wp:effectExtent l="0" t="0" r="10160" b="15875"/>
            <wp:docPr id="97486" name="图表 97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07C8" w:rsidRDefault="00C564F4" w:rsidP="006507C8">
      <w:pPr>
        <w:pStyle w:val="ab"/>
      </w:pPr>
      <w:bookmarkStart w:id="62" w:name="_Toc524418118"/>
      <w:r>
        <w:rPr>
          <w:rFonts w:hint="eastAsia"/>
        </w:rPr>
        <w:t>图3-</w:t>
      </w:r>
      <w:r w:rsidR="00B75413">
        <w:rPr>
          <w:rFonts w:hint="eastAsia"/>
        </w:rPr>
        <w:t>13</w:t>
      </w:r>
      <w:r w:rsidR="006507C8" w:rsidRPr="009D423B">
        <w:t xml:space="preserve">  </w:t>
      </w:r>
      <w:r w:rsidR="0050355B">
        <w:t>2017年</w:t>
      </w:r>
      <w:r w:rsidR="006507C8" w:rsidRPr="009D423B">
        <w:t>陕西省网民使用搜索服务人均月度访问次数</w:t>
      </w:r>
      <w:bookmarkEnd w:id="62"/>
    </w:p>
    <w:p w:rsidR="00D664CD" w:rsidRPr="003E0CE0" w:rsidRDefault="00D664CD" w:rsidP="00D664CD">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3）网民使用搜索服务人均单日有效浏览时间</w:t>
      </w:r>
    </w:p>
    <w:p w:rsidR="008B05CF" w:rsidRDefault="00D664CD" w:rsidP="00A17B6B">
      <w:pPr>
        <w:widowControl/>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hint="eastAsia"/>
          <w:szCs w:val="21"/>
        </w:rPr>
        <w:t>陕西</w:t>
      </w:r>
      <w:r w:rsidRPr="003E0CE0">
        <w:rPr>
          <w:rFonts w:ascii="微软雅黑" w:eastAsia="微软雅黑" w:hAnsi="微软雅黑"/>
          <w:szCs w:val="21"/>
        </w:rPr>
        <w:t>省网民使用搜索服务的人均单日有效浏览时间</w:t>
      </w:r>
      <w:r w:rsidR="00A06AE1">
        <w:rPr>
          <w:rFonts w:ascii="微软雅黑" w:eastAsia="微软雅黑" w:hAnsi="微软雅黑" w:hint="eastAsia"/>
          <w:szCs w:val="21"/>
        </w:rPr>
        <w:t>稳中有升</w:t>
      </w:r>
      <w:r w:rsidRPr="003E0CE0">
        <w:rPr>
          <w:rFonts w:ascii="微软雅黑" w:eastAsia="微软雅黑" w:hAnsi="微软雅黑"/>
          <w:szCs w:val="21"/>
        </w:rPr>
        <w:t>，</w:t>
      </w:r>
      <w:r w:rsidR="00A06AE1">
        <w:rPr>
          <w:rFonts w:ascii="微软雅黑" w:eastAsia="微软雅黑" w:hAnsi="微软雅黑"/>
          <w:szCs w:val="21"/>
        </w:rPr>
        <w:t>由</w:t>
      </w:r>
      <w:r w:rsidR="00A06AE1">
        <w:rPr>
          <w:rFonts w:ascii="微软雅黑" w:eastAsia="微软雅黑" w:hAnsi="微软雅黑" w:hint="eastAsia"/>
          <w:szCs w:val="21"/>
        </w:rPr>
        <w:t>1月份的9.5分钟提升至12月的10.4分钟。全年来看，</w:t>
      </w:r>
      <w:r w:rsidR="00A06AE1" w:rsidRPr="003E0CE0">
        <w:rPr>
          <w:rFonts w:ascii="微软雅黑" w:eastAsia="微软雅黑" w:hAnsi="微软雅黑"/>
          <w:szCs w:val="21"/>
        </w:rPr>
        <w:t>人均单日有效浏览时间</w:t>
      </w:r>
      <w:r w:rsidR="00A06AE1">
        <w:rPr>
          <w:rFonts w:ascii="微软雅黑" w:eastAsia="微软雅黑" w:hAnsi="微软雅黑"/>
          <w:szCs w:val="21"/>
        </w:rPr>
        <w:t>月均值为</w:t>
      </w:r>
      <w:r w:rsidR="00A06AE1">
        <w:rPr>
          <w:rFonts w:ascii="微软雅黑" w:eastAsia="微软雅黑" w:hAnsi="微软雅黑" w:hint="eastAsia"/>
          <w:szCs w:val="21"/>
        </w:rPr>
        <w:t>9.9分钟，其中在9月份</w:t>
      </w:r>
      <w:r w:rsidR="00140452">
        <w:rPr>
          <w:rFonts w:ascii="微软雅黑" w:eastAsia="微软雅黑" w:hAnsi="微软雅黑" w:hint="eastAsia"/>
          <w:szCs w:val="21"/>
        </w:rPr>
        <w:t>为</w:t>
      </w:r>
      <w:r w:rsidR="00A06AE1">
        <w:rPr>
          <w:rFonts w:ascii="微软雅黑" w:eastAsia="微软雅黑" w:hAnsi="微软雅黑" w:hint="eastAsia"/>
          <w:szCs w:val="21"/>
        </w:rPr>
        <w:t>最高，达到11.0分钟。</w:t>
      </w:r>
    </w:p>
    <w:p w:rsidR="008B05CF" w:rsidRPr="003E0CE0" w:rsidRDefault="008B05CF" w:rsidP="00D664CD">
      <w:pPr>
        <w:jc w:val="center"/>
        <w:rPr>
          <w:rFonts w:ascii="微软雅黑" w:eastAsia="微软雅黑" w:hAnsi="微软雅黑"/>
          <w:szCs w:val="21"/>
        </w:rPr>
      </w:pPr>
      <w:r>
        <w:rPr>
          <w:noProof/>
        </w:rPr>
        <w:drawing>
          <wp:inline distT="0" distB="0" distL="0" distR="0">
            <wp:extent cx="4798800" cy="2880000"/>
            <wp:effectExtent l="0" t="0" r="20955" b="15875"/>
            <wp:docPr id="97487" name="图表 97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64CD" w:rsidRPr="003E0CE0" w:rsidRDefault="00C564F4" w:rsidP="00D664CD">
      <w:pPr>
        <w:pStyle w:val="ab"/>
      </w:pPr>
      <w:bookmarkStart w:id="63" w:name="_Toc517164667"/>
      <w:bookmarkStart w:id="64" w:name="_Toc517206447"/>
      <w:bookmarkStart w:id="65" w:name="_Toc524418119"/>
      <w:r>
        <w:t>图3-</w:t>
      </w:r>
      <w:r w:rsidR="00D664CD" w:rsidRPr="003E0CE0">
        <w:t>1</w:t>
      </w:r>
      <w:r w:rsidR="00B75413">
        <w:rPr>
          <w:rFonts w:hint="eastAsia"/>
        </w:rPr>
        <w:t>4</w:t>
      </w:r>
      <w:r w:rsidR="00D664CD" w:rsidRPr="003E0CE0">
        <w:t xml:space="preserve">  2017年</w:t>
      </w:r>
      <w:r w:rsidR="00D664CD">
        <w:rPr>
          <w:rFonts w:hint="eastAsia"/>
        </w:rPr>
        <w:t>陕西</w:t>
      </w:r>
      <w:r w:rsidR="00D664CD" w:rsidRPr="003E0CE0">
        <w:t>省网民使用搜索服务人均单日有效浏览时间</w:t>
      </w:r>
      <w:bookmarkEnd w:id="63"/>
      <w:bookmarkEnd w:id="64"/>
      <w:bookmarkEnd w:id="65"/>
    </w:p>
    <w:p w:rsidR="00D664CD" w:rsidRPr="003E0CE0" w:rsidRDefault="00D664CD" w:rsidP="00D664CD">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4）网民使用搜索服务人均单次浏览页面</w:t>
      </w:r>
    </w:p>
    <w:p w:rsidR="00D664CD" w:rsidRPr="003E0CE0" w:rsidRDefault="00D664CD" w:rsidP="00D664CD">
      <w:pPr>
        <w:widowControl/>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hint="eastAsia"/>
          <w:szCs w:val="21"/>
        </w:rPr>
        <w:t>陕西</w:t>
      </w:r>
      <w:r w:rsidRPr="003E0CE0">
        <w:rPr>
          <w:rFonts w:ascii="微软雅黑" w:eastAsia="微软雅黑" w:hAnsi="微软雅黑"/>
          <w:szCs w:val="21"/>
        </w:rPr>
        <w:t>省网民使用搜索引擎服务的人均单次浏览页面维持在2.4-2.</w:t>
      </w:r>
      <w:r w:rsidR="00140452">
        <w:rPr>
          <w:rFonts w:ascii="微软雅黑" w:eastAsia="微软雅黑" w:hAnsi="微软雅黑" w:hint="eastAsia"/>
          <w:szCs w:val="21"/>
        </w:rPr>
        <w:t>6</w:t>
      </w:r>
      <w:r w:rsidRPr="003E0CE0">
        <w:rPr>
          <w:rFonts w:ascii="微软雅黑" w:eastAsia="微软雅黑" w:hAnsi="微软雅黑"/>
          <w:szCs w:val="21"/>
        </w:rPr>
        <w:t>页之间，</w:t>
      </w:r>
      <w:r w:rsidR="00140452">
        <w:rPr>
          <w:rFonts w:ascii="微软雅黑" w:eastAsia="微软雅黑" w:hAnsi="微软雅黑" w:hint="eastAsia"/>
          <w:szCs w:val="21"/>
        </w:rPr>
        <w:t>月度差异较小。</w:t>
      </w:r>
    </w:p>
    <w:p w:rsidR="008B05CF" w:rsidRPr="003E0CE0" w:rsidRDefault="008B05CF" w:rsidP="00D664CD">
      <w:pPr>
        <w:jc w:val="center"/>
        <w:rPr>
          <w:rFonts w:ascii="微软雅黑" w:eastAsia="微软雅黑" w:hAnsi="微软雅黑"/>
          <w:szCs w:val="21"/>
        </w:rPr>
      </w:pPr>
      <w:r>
        <w:rPr>
          <w:noProof/>
        </w:rPr>
        <w:drawing>
          <wp:inline distT="0" distB="0" distL="0" distR="0">
            <wp:extent cx="4798800" cy="2880000"/>
            <wp:effectExtent l="0" t="0" r="20955" b="15875"/>
            <wp:docPr id="97488" name="图表 97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64CD" w:rsidRPr="003E0CE0" w:rsidRDefault="00C564F4" w:rsidP="00D664CD">
      <w:pPr>
        <w:pStyle w:val="ab"/>
      </w:pPr>
      <w:bookmarkStart w:id="66" w:name="_Toc517164668"/>
      <w:bookmarkStart w:id="67" w:name="_Toc517206448"/>
      <w:bookmarkStart w:id="68" w:name="_Toc524418120"/>
      <w:r>
        <w:t>图3-</w:t>
      </w:r>
      <w:r w:rsidR="00D664CD" w:rsidRPr="003E0CE0">
        <w:t>1</w:t>
      </w:r>
      <w:r w:rsidR="00B75413">
        <w:rPr>
          <w:rFonts w:hint="eastAsia"/>
        </w:rPr>
        <w:t>5</w:t>
      </w:r>
      <w:r w:rsidR="00D664CD" w:rsidRPr="003E0CE0">
        <w:t xml:space="preserve">  2017年</w:t>
      </w:r>
      <w:r w:rsidR="00D664CD">
        <w:rPr>
          <w:rFonts w:hint="eastAsia"/>
        </w:rPr>
        <w:t>陕西</w:t>
      </w:r>
      <w:r w:rsidR="00D664CD" w:rsidRPr="003E0CE0">
        <w:t>省网民使用搜索服务人均单次浏览页面</w:t>
      </w:r>
      <w:bookmarkEnd w:id="66"/>
      <w:bookmarkEnd w:id="67"/>
      <w:bookmarkEnd w:id="68"/>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（3</w:t>
      </w:r>
      <w:r w:rsidR="00E664AC">
        <w:rPr>
          <w:rFonts w:ascii="微软雅黑" w:eastAsia="微软雅黑" w:hAnsi="微软雅黑" w:cs="宋体" w:hint="eastAsia"/>
          <w:b/>
          <w:bCs/>
          <w:szCs w:val="21"/>
        </w:rPr>
        <w:t>）</w:t>
      </w:r>
      <w:r w:rsidRPr="009D423B">
        <w:rPr>
          <w:rFonts w:ascii="微软雅黑" w:eastAsia="微软雅黑" w:hAnsi="微软雅黑" w:cs="宋体" w:hint="eastAsia"/>
          <w:b/>
          <w:bCs/>
          <w:szCs w:val="21"/>
        </w:rPr>
        <w:t>网民使用的主要搜索服务网站</w:t>
      </w:r>
    </w:p>
    <w:p w:rsidR="008B05CF" w:rsidRDefault="00497828" w:rsidP="00A17B6B">
      <w:pPr>
        <w:snapToGrid w:val="0"/>
        <w:ind w:firstLineChars="200" w:firstLine="420"/>
        <w:rPr>
          <w:rFonts w:ascii="微软雅黑" w:eastAsia="微软雅黑" w:hAnsi="微软雅黑"/>
          <w:szCs w:val="21"/>
        </w:rPr>
      </w:pPr>
      <w:r>
        <w:rPr>
          <w:rFonts w:ascii="微软雅黑" w:eastAsia="微软雅黑" w:hAnsi="微软雅黑"/>
          <w:szCs w:val="21"/>
        </w:rPr>
        <w:t>从</w:t>
      </w:r>
      <w:r w:rsidR="001F7A0D">
        <w:rPr>
          <w:rFonts w:ascii="微软雅黑" w:eastAsia="微软雅黑" w:hAnsi="微软雅黑"/>
          <w:szCs w:val="21"/>
        </w:rPr>
        <w:t>网民的</w:t>
      </w:r>
      <w:r>
        <w:rPr>
          <w:rFonts w:ascii="微软雅黑" w:eastAsia="微软雅黑" w:hAnsi="微软雅黑"/>
          <w:szCs w:val="21"/>
        </w:rPr>
        <w:t>月度覆盖比例来看</w:t>
      </w:r>
      <w:r>
        <w:rPr>
          <w:rFonts w:ascii="微软雅黑" w:eastAsia="微软雅黑" w:hAnsi="微软雅黑" w:hint="eastAsia"/>
          <w:szCs w:val="21"/>
        </w:rPr>
        <w:t>，</w:t>
      </w:r>
      <w:r w:rsidR="0050355B">
        <w:rPr>
          <w:rFonts w:ascii="微软雅黑" w:eastAsia="微软雅黑" w:hAnsi="微软雅黑"/>
          <w:szCs w:val="21"/>
        </w:rPr>
        <w:t>2017年</w:t>
      </w:r>
      <w:r>
        <w:rPr>
          <w:rFonts w:ascii="微软雅黑" w:eastAsia="微软雅黑" w:hAnsi="微软雅黑" w:hint="eastAsia"/>
          <w:szCs w:val="21"/>
        </w:rPr>
        <w:t>12月，</w:t>
      </w:r>
      <w:r>
        <w:rPr>
          <w:rFonts w:ascii="微软雅黑" w:eastAsia="微软雅黑" w:hAnsi="微软雅黑"/>
          <w:szCs w:val="21"/>
        </w:rPr>
        <w:t>在</w:t>
      </w:r>
      <w:r w:rsidR="006507C8" w:rsidRPr="009D423B">
        <w:rPr>
          <w:rFonts w:ascii="微软雅黑" w:eastAsia="微软雅黑" w:hAnsi="微软雅黑"/>
          <w:szCs w:val="21"/>
        </w:rPr>
        <w:t>陕西省网民使用的主要搜索引擎网站前中，百度</w:t>
      </w:r>
      <w:r w:rsidR="00140452">
        <w:rPr>
          <w:rFonts w:ascii="微软雅黑" w:eastAsia="微软雅黑" w:hAnsi="微软雅黑" w:hint="eastAsia"/>
          <w:szCs w:val="21"/>
        </w:rPr>
        <w:t>网页搜索</w:t>
      </w:r>
      <w:r w:rsidR="00C23761">
        <w:rPr>
          <w:rFonts w:ascii="微软雅黑" w:eastAsia="微软雅黑" w:hAnsi="微软雅黑" w:hint="eastAsia"/>
          <w:szCs w:val="21"/>
        </w:rPr>
        <w:t>月度覆盖比例</w:t>
      </w:r>
      <w:r w:rsidR="00140452">
        <w:rPr>
          <w:rFonts w:ascii="微软雅黑" w:eastAsia="微软雅黑" w:hAnsi="微软雅黑" w:hint="eastAsia"/>
          <w:szCs w:val="21"/>
        </w:rPr>
        <w:t>最高，达到78.9%；360搜索、百度知识搜索基本相当，</w:t>
      </w:r>
      <w:r w:rsidR="00C23761">
        <w:rPr>
          <w:rFonts w:ascii="微软雅黑" w:eastAsia="微软雅黑" w:hAnsi="微软雅黑" w:hint="eastAsia"/>
          <w:szCs w:val="21"/>
        </w:rPr>
        <w:t>月度覆盖比例</w:t>
      </w:r>
      <w:r w:rsidR="00140452">
        <w:rPr>
          <w:rFonts w:ascii="微软雅黑" w:eastAsia="微软雅黑" w:hAnsi="微软雅黑" w:hint="eastAsia"/>
          <w:szCs w:val="21"/>
        </w:rPr>
        <w:t>在55%</w:t>
      </w:r>
      <w:r w:rsidR="0028037D">
        <w:rPr>
          <w:rFonts w:ascii="微软雅黑" w:eastAsia="微软雅黑" w:hAnsi="微软雅黑" w:hint="eastAsia"/>
          <w:szCs w:val="21"/>
        </w:rPr>
        <w:t>以上。</w:t>
      </w:r>
      <w:r w:rsidR="00EA0D3B">
        <w:rPr>
          <w:rFonts w:ascii="微软雅黑" w:eastAsia="微软雅黑" w:hAnsi="微软雅黑" w:hint="eastAsia"/>
          <w:szCs w:val="21"/>
        </w:rPr>
        <w:t>总体来看，国内搜索市场依然是百度独大局面，360搜索和搜狗搜索也占据了一定市场份额，这与国内搜索引擎市场的总体格局是一致的。</w:t>
      </w:r>
    </w:p>
    <w:p w:rsidR="008B05CF" w:rsidRPr="009D423B" w:rsidRDefault="008B05CF" w:rsidP="006507C8">
      <w:pPr>
        <w:snapToGrid w:val="0"/>
        <w:jc w:val="center"/>
        <w:rPr>
          <w:rFonts w:ascii="微软雅黑" w:eastAsia="微软雅黑" w:hAnsi="微软雅黑"/>
          <w:noProof/>
          <w:szCs w:val="21"/>
        </w:rPr>
      </w:pPr>
      <w:r>
        <w:rPr>
          <w:noProof/>
        </w:rPr>
        <w:drawing>
          <wp:inline distT="0" distB="0" distL="0" distR="0">
            <wp:extent cx="4798800" cy="2880000"/>
            <wp:effectExtent l="0" t="0" r="20955" b="15875"/>
            <wp:docPr id="97489" name="图表 97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07C8" w:rsidRDefault="00C564F4" w:rsidP="006507C8">
      <w:pPr>
        <w:pStyle w:val="ab"/>
      </w:pPr>
      <w:bookmarkStart w:id="69" w:name="_Toc524418121"/>
      <w:r>
        <w:rPr>
          <w:rFonts w:hint="eastAsia"/>
        </w:rPr>
        <w:t>图3-</w:t>
      </w:r>
      <w:r w:rsidR="006507C8" w:rsidRPr="009D423B">
        <w:t>1</w:t>
      </w:r>
      <w:r w:rsidR="00B75413">
        <w:rPr>
          <w:rFonts w:hint="eastAsia"/>
        </w:rPr>
        <w:t>6</w:t>
      </w:r>
      <w:r w:rsidR="006507C8" w:rsidRPr="009D423B">
        <w:t xml:space="preserve">  </w:t>
      </w:r>
      <w:r w:rsidR="0050355B">
        <w:t>2017年</w:t>
      </w:r>
      <w:r w:rsidR="00497828">
        <w:rPr>
          <w:rFonts w:hint="eastAsia"/>
        </w:rPr>
        <w:t>12月</w:t>
      </w:r>
      <w:r w:rsidR="006507C8" w:rsidRPr="009D423B">
        <w:t>陕西省网民使用的主要搜索引擎网站</w:t>
      </w:r>
      <w:bookmarkEnd w:id="69"/>
    </w:p>
    <w:p w:rsidR="006507C8" w:rsidRPr="009D423B" w:rsidRDefault="006507C8" w:rsidP="006507C8">
      <w:pPr>
        <w:spacing w:line="400" w:lineRule="exact"/>
        <w:outlineLvl w:val="3"/>
        <w:rPr>
          <w:rFonts w:ascii="微软雅黑" w:eastAsia="微软雅黑" w:hAnsi="微软雅黑"/>
          <w:b/>
        </w:rPr>
      </w:pPr>
      <w:bookmarkStart w:id="70" w:name="_Toc524417985"/>
      <w:r w:rsidRPr="009D423B">
        <w:rPr>
          <w:rFonts w:ascii="微软雅黑" w:eastAsia="微软雅黑" w:hAnsi="微软雅黑" w:hint="eastAsia"/>
          <w:b/>
        </w:rPr>
        <w:t>2.</w:t>
      </w:r>
      <w:r w:rsidR="00714508">
        <w:rPr>
          <w:rFonts w:ascii="微软雅黑" w:eastAsia="微软雅黑" w:hAnsi="微软雅黑"/>
          <w:b/>
          <w:bCs/>
        </w:rPr>
        <w:t>PC端</w:t>
      </w:r>
      <w:r w:rsidRPr="009D423B">
        <w:rPr>
          <w:rFonts w:ascii="微软雅黑" w:eastAsia="微软雅黑" w:hAnsi="微软雅黑" w:hint="eastAsia"/>
          <w:b/>
        </w:rPr>
        <w:t>网民使用在线视频服务情况</w:t>
      </w:r>
      <w:bookmarkEnd w:id="70"/>
    </w:p>
    <w:p w:rsidR="006507C8" w:rsidRPr="006E5144" w:rsidRDefault="006507C8" w:rsidP="006507C8">
      <w:pPr>
        <w:spacing w:line="400" w:lineRule="exact"/>
        <w:ind w:firstLineChars="200" w:firstLine="420"/>
        <w:outlineLvl w:val="4"/>
        <w:rPr>
          <w:rFonts w:ascii="微软雅黑" w:eastAsia="微软雅黑" w:hAnsi="微软雅黑" w:cs="宋体"/>
          <w:b/>
          <w:bCs/>
          <w:szCs w:val="21"/>
        </w:rPr>
      </w:pPr>
      <w:r w:rsidRPr="006E5144">
        <w:rPr>
          <w:rFonts w:ascii="微软雅黑" w:eastAsia="微软雅黑" w:hAnsi="微软雅黑" w:cs="宋体" w:hint="eastAsia"/>
          <w:b/>
          <w:bCs/>
          <w:szCs w:val="21"/>
        </w:rPr>
        <w:t>（1）</w:t>
      </w:r>
      <w:r w:rsidR="006D2443" w:rsidRPr="003E0CE0">
        <w:rPr>
          <w:rFonts w:ascii="微软雅黑" w:eastAsia="微软雅黑" w:hAnsi="微软雅黑"/>
          <w:b/>
          <w:szCs w:val="21"/>
        </w:rPr>
        <w:t>使用</w:t>
      </w:r>
      <w:r w:rsidR="006D2443">
        <w:rPr>
          <w:rFonts w:ascii="微软雅黑" w:eastAsia="微软雅黑" w:hAnsi="微软雅黑" w:hint="eastAsia"/>
          <w:b/>
          <w:szCs w:val="21"/>
        </w:rPr>
        <w:t>在线视频</w:t>
      </w:r>
      <w:r w:rsidR="006D2443" w:rsidRPr="003E0CE0">
        <w:rPr>
          <w:rFonts w:ascii="微软雅黑" w:eastAsia="微软雅黑" w:hAnsi="微软雅黑"/>
          <w:b/>
          <w:szCs w:val="21"/>
        </w:rPr>
        <w:t>网民月度覆盖比例</w:t>
      </w:r>
    </w:p>
    <w:p w:rsidR="008B05CF" w:rsidRDefault="0050355B" w:rsidP="00C23761">
      <w:pPr>
        <w:spacing w:line="400" w:lineRule="exact"/>
        <w:ind w:firstLineChars="200" w:firstLine="420"/>
        <w:jc w:val="left"/>
        <w:rPr>
          <w:rFonts w:ascii="微软雅黑" w:eastAsia="微软雅黑" w:hAnsi="微软雅黑"/>
          <w:noProof/>
          <w:szCs w:val="21"/>
        </w:rPr>
      </w:pPr>
      <w:r>
        <w:rPr>
          <w:rFonts w:ascii="微软雅黑" w:eastAsia="微软雅黑" w:hAnsi="微软雅黑"/>
          <w:szCs w:val="21"/>
        </w:rPr>
        <w:t>2017年</w:t>
      </w:r>
      <w:r w:rsidR="006507C8" w:rsidRPr="006E5144">
        <w:rPr>
          <w:rFonts w:ascii="微软雅黑" w:eastAsia="微软雅黑" w:hAnsi="微软雅黑"/>
          <w:szCs w:val="21"/>
        </w:rPr>
        <w:t>，陕西省使用在线视频服务的网民规模</w:t>
      </w:r>
      <w:r w:rsidR="0006035C">
        <w:rPr>
          <w:rFonts w:ascii="微软雅黑" w:eastAsia="微软雅黑" w:hAnsi="微软雅黑"/>
          <w:szCs w:val="21"/>
        </w:rPr>
        <w:t>较</w:t>
      </w:r>
      <w:r w:rsidR="0006035C">
        <w:rPr>
          <w:rFonts w:ascii="微软雅黑" w:eastAsia="微软雅黑" w:hAnsi="微软雅黑" w:hint="eastAsia"/>
          <w:szCs w:val="21"/>
        </w:rPr>
        <w:t>2016年</w:t>
      </w:r>
      <w:r w:rsidR="00FD6C4A">
        <w:rPr>
          <w:rFonts w:ascii="微软雅黑" w:eastAsia="微软雅黑" w:hAnsi="微软雅黑" w:hint="eastAsia"/>
          <w:szCs w:val="21"/>
        </w:rPr>
        <w:t>呈下降趋势</w:t>
      </w:r>
      <w:r w:rsidR="006E5144">
        <w:rPr>
          <w:rFonts w:ascii="微软雅黑" w:eastAsia="微软雅黑" w:hAnsi="微软雅黑" w:hint="eastAsia"/>
          <w:szCs w:val="21"/>
        </w:rPr>
        <w:t>。</w:t>
      </w:r>
      <w:r w:rsidR="00C0287A" w:rsidRPr="006E5144">
        <w:rPr>
          <w:rFonts w:ascii="微软雅黑" w:eastAsia="微软雅黑" w:hAnsi="微软雅黑" w:hint="eastAsia"/>
          <w:szCs w:val="21"/>
        </w:rPr>
        <w:t>全年</w:t>
      </w:r>
      <w:r w:rsidR="006E5144">
        <w:rPr>
          <w:rFonts w:ascii="微软雅黑" w:eastAsia="微软雅黑" w:hAnsi="微软雅黑" w:hint="eastAsia"/>
          <w:szCs w:val="21"/>
        </w:rPr>
        <w:t>来看，</w:t>
      </w:r>
      <w:r w:rsidR="00FD6C4A">
        <w:rPr>
          <w:rFonts w:ascii="微软雅黑" w:eastAsia="微软雅黑" w:hAnsi="微软雅黑" w:hint="eastAsia"/>
          <w:szCs w:val="21"/>
        </w:rPr>
        <w:t>在线视频服务</w:t>
      </w:r>
      <w:r w:rsidR="00686027">
        <w:rPr>
          <w:rFonts w:ascii="微软雅黑" w:eastAsia="微软雅黑" w:hAnsi="微软雅黑" w:hint="eastAsia"/>
          <w:szCs w:val="21"/>
        </w:rPr>
        <w:t>的</w:t>
      </w:r>
      <w:r w:rsidR="00C23761">
        <w:rPr>
          <w:rFonts w:ascii="微软雅黑" w:eastAsia="微软雅黑" w:hAnsi="微软雅黑" w:hint="eastAsia"/>
          <w:szCs w:val="21"/>
        </w:rPr>
        <w:t>月度覆盖比例</w:t>
      </w:r>
      <w:r w:rsidR="00FD6C4A">
        <w:rPr>
          <w:rFonts w:ascii="微软雅黑" w:eastAsia="微软雅黑" w:hAnsi="微软雅黑" w:hint="eastAsia"/>
          <w:szCs w:val="21"/>
        </w:rPr>
        <w:t>下降</w:t>
      </w:r>
      <w:r w:rsidR="007214FE">
        <w:rPr>
          <w:rFonts w:ascii="微软雅黑" w:eastAsia="微软雅黑" w:hAnsi="微软雅黑" w:hint="eastAsia"/>
          <w:szCs w:val="21"/>
        </w:rPr>
        <w:t>比较明显</w:t>
      </w:r>
      <w:r w:rsidR="0006035C">
        <w:rPr>
          <w:rFonts w:ascii="微软雅黑" w:eastAsia="微软雅黑" w:hAnsi="微软雅黑" w:hint="eastAsia"/>
          <w:szCs w:val="21"/>
        </w:rPr>
        <w:t>，由</w:t>
      </w:r>
      <w:r w:rsidR="007214FE">
        <w:rPr>
          <w:rFonts w:ascii="微软雅黑" w:eastAsia="微软雅黑" w:hAnsi="微软雅黑" w:hint="eastAsia"/>
          <w:szCs w:val="21"/>
        </w:rPr>
        <w:t>年初</w:t>
      </w:r>
      <w:r w:rsidR="0006035C">
        <w:rPr>
          <w:rFonts w:ascii="微软雅黑" w:eastAsia="微软雅黑" w:hAnsi="微软雅黑" w:hint="eastAsia"/>
          <w:szCs w:val="21"/>
        </w:rPr>
        <w:t>1月的95.1%</w:t>
      </w:r>
      <w:r w:rsidR="00686027">
        <w:rPr>
          <w:rFonts w:ascii="微软雅黑" w:eastAsia="微软雅黑" w:hAnsi="微软雅黑" w:hint="eastAsia"/>
          <w:szCs w:val="21"/>
        </w:rPr>
        <w:t>回落至12月的85.4%</w:t>
      </w:r>
      <w:r w:rsidR="007214FE">
        <w:rPr>
          <w:rFonts w:ascii="微软雅黑" w:eastAsia="微软雅黑" w:hAnsi="微软雅黑" w:hint="eastAsia"/>
          <w:szCs w:val="21"/>
        </w:rPr>
        <w:t>，降幅接近10%</w:t>
      </w:r>
      <w:r w:rsidR="00FD6C4A">
        <w:rPr>
          <w:rFonts w:ascii="微软雅黑" w:eastAsia="微软雅黑" w:hAnsi="微软雅黑" w:hint="eastAsia"/>
          <w:szCs w:val="21"/>
        </w:rPr>
        <w:t>。</w:t>
      </w:r>
    </w:p>
    <w:p w:rsidR="008B05CF" w:rsidRPr="009D423B" w:rsidRDefault="008B05CF" w:rsidP="006507C8">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97490" name="图表 97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507C8" w:rsidRPr="009D423B" w:rsidRDefault="00C564F4" w:rsidP="006507C8">
      <w:pPr>
        <w:pStyle w:val="ab"/>
      </w:pPr>
      <w:bookmarkStart w:id="71" w:name="_Toc524418122"/>
      <w:r>
        <w:rPr>
          <w:rFonts w:hint="eastAsia"/>
        </w:rPr>
        <w:t>图3-</w:t>
      </w:r>
      <w:r w:rsidR="00657907" w:rsidRPr="009D423B">
        <w:t>1</w:t>
      </w:r>
      <w:r w:rsidR="00657907">
        <w:rPr>
          <w:rFonts w:hint="eastAsia"/>
        </w:rPr>
        <w:t>7</w:t>
      </w:r>
      <w:r w:rsidR="00657907" w:rsidRPr="009D423B">
        <w:t xml:space="preserve">  </w:t>
      </w:r>
      <w:r w:rsidR="0050355B">
        <w:t>2017年</w:t>
      </w:r>
      <w:r w:rsidR="006507C8" w:rsidRPr="009D423B">
        <w:t>陕西省使用在线视频服务</w:t>
      </w:r>
      <w:r w:rsidR="006507C8" w:rsidRPr="009D423B">
        <w:rPr>
          <w:rFonts w:hint="eastAsia"/>
        </w:rPr>
        <w:t>月度覆盖人数</w:t>
      </w:r>
      <w:bookmarkEnd w:id="71"/>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（2</w:t>
      </w:r>
      <w:r w:rsidR="00E664AC">
        <w:rPr>
          <w:rFonts w:ascii="微软雅黑" w:eastAsia="微软雅黑" w:hAnsi="微软雅黑" w:cs="宋体" w:hint="eastAsia"/>
          <w:b/>
          <w:bCs/>
          <w:szCs w:val="21"/>
        </w:rPr>
        <w:t>）</w:t>
      </w:r>
      <w:r w:rsidRPr="009D423B">
        <w:rPr>
          <w:rFonts w:ascii="微软雅黑" w:eastAsia="微软雅黑" w:hAnsi="微软雅黑" w:cs="宋体" w:hint="eastAsia"/>
          <w:b/>
          <w:bCs/>
          <w:szCs w:val="21"/>
        </w:rPr>
        <w:t>网民使用在线视频服务的粘性</w:t>
      </w:r>
    </w:p>
    <w:p w:rsidR="006507C8" w:rsidRPr="00777A18" w:rsidRDefault="006507C8" w:rsidP="006507C8">
      <w:pPr>
        <w:widowControl/>
        <w:spacing w:line="400" w:lineRule="exact"/>
        <w:ind w:firstLineChars="200" w:firstLine="420"/>
        <w:jc w:val="left"/>
        <w:rPr>
          <w:rFonts w:ascii="微软雅黑" w:eastAsia="微软雅黑" w:hAnsi="微软雅黑"/>
          <w:b/>
          <w:szCs w:val="21"/>
        </w:rPr>
      </w:pPr>
      <w:r w:rsidRPr="00777A18">
        <w:rPr>
          <w:rFonts w:ascii="微软雅黑" w:eastAsia="微软雅黑" w:hAnsi="微软雅黑"/>
          <w:b/>
          <w:szCs w:val="21"/>
        </w:rPr>
        <w:t>1</w:t>
      </w:r>
      <w:r w:rsidR="00E664AC">
        <w:rPr>
          <w:rFonts w:ascii="微软雅黑" w:eastAsia="微软雅黑" w:hAnsi="微软雅黑"/>
          <w:b/>
          <w:szCs w:val="21"/>
        </w:rPr>
        <w:t>）</w:t>
      </w:r>
      <w:r w:rsidRPr="00777A18">
        <w:rPr>
          <w:rFonts w:ascii="微软雅黑" w:eastAsia="微软雅黑" w:hAnsi="微软雅黑"/>
          <w:b/>
          <w:szCs w:val="21"/>
        </w:rPr>
        <w:t>网民使用在线视频服务人均月度访问天数</w:t>
      </w:r>
    </w:p>
    <w:p w:rsidR="00E44695" w:rsidRDefault="0050355B" w:rsidP="00FD5E64">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w:t>
      </w:r>
      <w:r w:rsidR="006507C8" w:rsidRPr="009D423B">
        <w:rPr>
          <w:rFonts w:ascii="微软雅黑" w:eastAsia="微软雅黑" w:hAnsi="微软雅黑" w:hint="eastAsia"/>
          <w:szCs w:val="21"/>
        </w:rPr>
        <w:t>网民人均月度访问在线视频网站天数</w:t>
      </w:r>
      <w:r w:rsidR="00B04939">
        <w:rPr>
          <w:rFonts w:ascii="微软雅黑" w:eastAsia="微软雅黑" w:hAnsi="微软雅黑" w:hint="eastAsia"/>
          <w:szCs w:val="21"/>
        </w:rPr>
        <w:t>为6.3天</w:t>
      </w:r>
      <w:r w:rsidR="006507C8" w:rsidRPr="009D423B">
        <w:rPr>
          <w:rFonts w:ascii="微软雅黑" w:eastAsia="微软雅黑" w:hAnsi="微软雅黑" w:hint="eastAsia"/>
          <w:szCs w:val="21"/>
        </w:rPr>
        <w:t>，</w:t>
      </w:r>
      <w:r w:rsidR="00B04939">
        <w:rPr>
          <w:rFonts w:ascii="微软雅黑" w:eastAsia="微软雅黑" w:hAnsi="微软雅黑" w:hint="eastAsia"/>
          <w:szCs w:val="21"/>
        </w:rPr>
        <w:t>较</w:t>
      </w:r>
      <w:r w:rsidR="00B04939" w:rsidRPr="009D423B">
        <w:rPr>
          <w:rFonts w:ascii="微软雅黑" w:eastAsia="微软雅黑" w:hAnsi="微软雅黑" w:hint="eastAsia"/>
          <w:szCs w:val="21"/>
        </w:rPr>
        <w:t>201</w:t>
      </w:r>
      <w:r w:rsidR="00B04939">
        <w:rPr>
          <w:rFonts w:ascii="微软雅黑" w:eastAsia="微软雅黑" w:hAnsi="微软雅黑" w:hint="eastAsia"/>
          <w:szCs w:val="21"/>
        </w:rPr>
        <w:t>6</w:t>
      </w:r>
      <w:r w:rsidR="006507C8" w:rsidRPr="009D423B">
        <w:rPr>
          <w:rFonts w:ascii="微软雅黑" w:eastAsia="微软雅黑" w:hAnsi="微软雅黑" w:hint="eastAsia"/>
          <w:szCs w:val="21"/>
        </w:rPr>
        <w:t>年</w:t>
      </w:r>
      <w:r w:rsidR="00B04939">
        <w:rPr>
          <w:rFonts w:ascii="微软雅黑" w:eastAsia="微软雅黑" w:hAnsi="微软雅黑" w:hint="eastAsia"/>
          <w:szCs w:val="21"/>
        </w:rPr>
        <w:t>降低了0.7天。</w:t>
      </w:r>
      <w:r w:rsidR="006507C8" w:rsidRPr="009D423B">
        <w:rPr>
          <w:rFonts w:ascii="微软雅黑" w:eastAsia="微软雅黑" w:hAnsi="微软雅黑" w:hint="eastAsia"/>
          <w:szCs w:val="21"/>
        </w:rPr>
        <w:t>整体</w:t>
      </w:r>
      <w:r w:rsidR="004D010B">
        <w:rPr>
          <w:rFonts w:ascii="微软雅黑" w:eastAsia="微软雅黑" w:hAnsi="微软雅黑" w:hint="eastAsia"/>
          <w:szCs w:val="21"/>
        </w:rPr>
        <w:t>来</w:t>
      </w:r>
      <w:r w:rsidR="006507C8" w:rsidRPr="009D423B">
        <w:rPr>
          <w:rFonts w:ascii="微软雅黑" w:eastAsia="微软雅黑" w:hAnsi="微软雅黑" w:hint="eastAsia"/>
          <w:szCs w:val="21"/>
        </w:rPr>
        <w:t>看</w:t>
      </w:r>
      <w:r w:rsidR="00B04939">
        <w:rPr>
          <w:rFonts w:ascii="微软雅黑" w:eastAsia="微软雅黑" w:hAnsi="微软雅黑" w:hint="eastAsia"/>
          <w:szCs w:val="21"/>
        </w:rPr>
        <w:t>，全年</w:t>
      </w:r>
      <w:r w:rsidR="00B04939" w:rsidRPr="009D423B">
        <w:rPr>
          <w:rFonts w:ascii="微软雅黑" w:eastAsia="微软雅黑" w:hAnsi="微软雅黑" w:hint="eastAsia"/>
          <w:szCs w:val="21"/>
        </w:rPr>
        <w:t>人均月度访问</w:t>
      </w:r>
      <w:r w:rsidR="00B04939">
        <w:rPr>
          <w:rFonts w:ascii="微软雅黑" w:eastAsia="微软雅黑" w:hAnsi="微软雅黑" w:hint="eastAsia"/>
          <w:szCs w:val="21"/>
        </w:rPr>
        <w:t>天数</w:t>
      </w:r>
      <w:r w:rsidR="00CC7464">
        <w:rPr>
          <w:rFonts w:ascii="微软雅黑" w:eastAsia="微软雅黑" w:hAnsi="微软雅黑" w:hint="eastAsia"/>
          <w:szCs w:val="21"/>
        </w:rPr>
        <w:t>呈</w:t>
      </w:r>
      <w:r w:rsidR="004D010B">
        <w:rPr>
          <w:rFonts w:ascii="微软雅黑" w:eastAsia="微软雅黑" w:hAnsi="微软雅黑" w:hint="eastAsia"/>
          <w:szCs w:val="21"/>
        </w:rPr>
        <w:t>下滑</w:t>
      </w:r>
      <w:r w:rsidR="00CC7464">
        <w:rPr>
          <w:rFonts w:ascii="微软雅黑" w:eastAsia="微软雅黑" w:hAnsi="微软雅黑" w:hint="eastAsia"/>
          <w:szCs w:val="21"/>
        </w:rPr>
        <w:t>趋势</w:t>
      </w:r>
      <w:r w:rsidR="00FD5E64">
        <w:rPr>
          <w:rFonts w:ascii="微软雅黑" w:eastAsia="微软雅黑" w:hAnsi="微软雅黑" w:hint="eastAsia"/>
          <w:szCs w:val="21"/>
        </w:rPr>
        <w:t>。</w:t>
      </w:r>
      <w:r w:rsidR="00E44695">
        <w:rPr>
          <w:rFonts w:ascii="微软雅黑" w:eastAsia="微软雅黑" w:hAnsi="微软雅黑" w:hint="eastAsia"/>
          <w:szCs w:val="21"/>
        </w:rPr>
        <w:t>这表明</w:t>
      </w:r>
      <w:r w:rsidR="00CC7464">
        <w:rPr>
          <w:rFonts w:ascii="微软雅黑" w:eastAsia="微软雅黑" w:hAnsi="微软雅黑" w:hint="eastAsia"/>
          <w:szCs w:val="21"/>
        </w:rPr>
        <w:t>网民</w:t>
      </w:r>
      <w:r w:rsidR="00FD5E64">
        <w:rPr>
          <w:rFonts w:ascii="微软雅黑" w:eastAsia="微软雅黑" w:hAnsi="微软雅黑" w:hint="eastAsia"/>
          <w:szCs w:val="21"/>
        </w:rPr>
        <w:t>对于在</w:t>
      </w:r>
      <w:r w:rsidR="00CC7464">
        <w:rPr>
          <w:rFonts w:ascii="微软雅黑" w:eastAsia="微软雅黑" w:hAnsi="微软雅黑" w:hint="eastAsia"/>
          <w:szCs w:val="21"/>
        </w:rPr>
        <w:t>PC端观看在线视频</w:t>
      </w:r>
      <w:r w:rsidR="00FD5E64">
        <w:rPr>
          <w:rFonts w:ascii="微软雅黑" w:eastAsia="微软雅黑" w:hAnsi="微软雅黑" w:hint="eastAsia"/>
          <w:szCs w:val="21"/>
        </w:rPr>
        <w:t>的需求正在逐渐下降，而这与移动端设备的不断增加导致用户迁移或有一定联系。</w:t>
      </w:r>
    </w:p>
    <w:p w:rsidR="008B05CF" w:rsidRPr="009D423B" w:rsidRDefault="008B05CF" w:rsidP="00FD5E64">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97491" name="图表 97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507C8" w:rsidRPr="009D423B" w:rsidRDefault="00C564F4" w:rsidP="006507C8">
      <w:pPr>
        <w:pStyle w:val="ab"/>
        <w:rPr>
          <w:b/>
        </w:rPr>
      </w:pPr>
      <w:bookmarkStart w:id="72" w:name="_Toc524418123"/>
      <w:r>
        <w:rPr>
          <w:rFonts w:hint="eastAsia"/>
        </w:rPr>
        <w:t>图3-</w:t>
      </w:r>
      <w:r w:rsidR="0073031A" w:rsidRPr="009D423B">
        <w:t>1</w:t>
      </w:r>
      <w:r w:rsidR="0073031A">
        <w:rPr>
          <w:rFonts w:hint="eastAsia"/>
        </w:rPr>
        <w:t>8</w:t>
      </w:r>
      <w:r w:rsidR="0073031A" w:rsidRPr="009D423B">
        <w:t xml:space="preserve">  </w:t>
      </w:r>
      <w:r w:rsidR="0050355B">
        <w:t>2017年</w:t>
      </w:r>
      <w:r w:rsidR="006507C8" w:rsidRPr="009D423B">
        <w:t>陕西省网民使用在线视频服务人均月度访问天数</w:t>
      </w:r>
      <w:bookmarkEnd w:id="72"/>
    </w:p>
    <w:p w:rsidR="006507C8" w:rsidRPr="00777A18" w:rsidRDefault="006507C8" w:rsidP="006507C8">
      <w:pPr>
        <w:widowControl/>
        <w:spacing w:line="400" w:lineRule="exact"/>
        <w:ind w:firstLineChars="200" w:firstLine="420"/>
        <w:jc w:val="left"/>
        <w:rPr>
          <w:rFonts w:ascii="微软雅黑" w:eastAsia="微软雅黑" w:hAnsi="微软雅黑"/>
          <w:b/>
          <w:szCs w:val="21"/>
        </w:rPr>
      </w:pPr>
      <w:r w:rsidRPr="00777A18">
        <w:rPr>
          <w:rFonts w:ascii="微软雅黑" w:eastAsia="微软雅黑" w:hAnsi="微软雅黑"/>
          <w:b/>
          <w:szCs w:val="21"/>
        </w:rPr>
        <w:t>2</w:t>
      </w:r>
      <w:r w:rsidR="00E664AC">
        <w:rPr>
          <w:rFonts w:ascii="微软雅黑" w:eastAsia="微软雅黑" w:hAnsi="微软雅黑"/>
          <w:b/>
          <w:szCs w:val="21"/>
        </w:rPr>
        <w:t>）</w:t>
      </w:r>
      <w:r w:rsidRPr="00777A18">
        <w:rPr>
          <w:rFonts w:ascii="微软雅黑" w:eastAsia="微软雅黑" w:hAnsi="微软雅黑"/>
          <w:b/>
          <w:szCs w:val="21"/>
        </w:rPr>
        <w:t>网民使用在线视频服务人均月度访问次数</w:t>
      </w:r>
    </w:p>
    <w:p w:rsidR="006507C8" w:rsidRDefault="0050355B" w:rsidP="00B1149F">
      <w:pPr>
        <w:snapToGrid w:val="0"/>
        <w:ind w:firstLineChars="200" w:firstLine="420"/>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w:t>
      </w:r>
      <w:r w:rsidR="006507C8" w:rsidRPr="009D423B">
        <w:rPr>
          <w:rFonts w:ascii="微软雅黑" w:eastAsia="微软雅黑" w:hAnsi="微软雅黑" w:hint="eastAsia"/>
          <w:szCs w:val="21"/>
        </w:rPr>
        <w:t>网民人均月度访问在线视频网站</w:t>
      </w:r>
      <w:r w:rsidR="007273E2">
        <w:rPr>
          <w:rFonts w:ascii="微软雅黑" w:eastAsia="微软雅黑" w:hAnsi="微软雅黑" w:hint="eastAsia"/>
          <w:szCs w:val="21"/>
        </w:rPr>
        <w:t>的</w:t>
      </w:r>
      <w:r w:rsidR="006507C8" w:rsidRPr="009D423B">
        <w:rPr>
          <w:rFonts w:ascii="微软雅黑" w:eastAsia="微软雅黑" w:hAnsi="微软雅黑" w:hint="eastAsia"/>
          <w:szCs w:val="21"/>
        </w:rPr>
        <w:t>次数</w:t>
      </w:r>
      <w:r w:rsidR="0056747B">
        <w:rPr>
          <w:rFonts w:ascii="微软雅黑" w:eastAsia="微软雅黑" w:hAnsi="微软雅黑" w:hint="eastAsia"/>
          <w:szCs w:val="21"/>
        </w:rPr>
        <w:t>也呈现显著的下降趋势</w:t>
      </w:r>
      <w:r w:rsidR="007273E2">
        <w:rPr>
          <w:rFonts w:ascii="微软雅黑" w:eastAsia="微软雅黑" w:hAnsi="微软雅黑" w:hint="eastAsia"/>
          <w:szCs w:val="21"/>
        </w:rPr>
        <w:t>。全年来看，</w:t>
      </w:r>
      <w:r w:rsidR="006507C8" w:rsidRPr="009D423B">
        <w:rPr>
          <w:rFonts w:ascii="微软雅黑" w:eastAsia="微软雅黑" w:hAnsi="微软雅黑" w:hint="eastAsia"/>
          <w:szCs w:val="21"/>
        </w:rPr>
        <w:t>12</w:t>
      </w:r>
      <w:r w:rsidR="0056747B">
        <w:rPr>
          <w:rFonts w:ascii="微软雅黑" w:eastAsia="微软雅黑" w:hAnsi="微软雅黑" w:hint="eastAsia"/>
          <w:szCs w:val="21"/>
        </w:rPr>
        <w:t>月份</w:t>
      </w:r>
      <w:r w:rsidR="007273E2">
        <w:rPr>
          <w:rFonts w:ascii="微软雅黑" w:eastAsia="微软雅黑" w:hAnsi="微软雅黑" w:hint="eastAsia"/>
          <w:szCs w:val="21"/>
        </w:rPr>
        <w:t>较</w:t>
      </w:r>
      <w:r w:rsidR="006507C8" w:rsidRPr="009D423B">
        <w:rPr>
          <w:rFonts w:ascii="微软雅黑" w:eastAsia="微软雅黑" w:hAnsi="微软雅黑" w:hint="eastAsia"/>
          <w:szCs w:val="21"/>
        </w:rPr>
        <w:t>1</w:t>
      </w:r>
      <w:r w:rsidR="0056747B">
        <w:rPr>
          <w:rFonts w:ascii="微软雅黑" w:eastAsia="微软雅黑" w:hAnsi="微软雅黑" w:hint="eastAsia"/>
          <w:szCs w:val="21"/>
        </w:rPr>
        <w:t>月份访问次数平均减少了4.1次，减少幅度达17%。</w:t>
      </w:r>
    </w:p>
    <w:p w:rsidR="008B05CF" w:rsidRPr="009D423B" w:rsidRDefault="008B05CF" w:rsidP="006507C8">
      <w:pPr>
        <w:snapToGrid w:val="0"/>
        <w:jc w:val="center"/>
        <w:rPr>
          <w:rFonts w:ascii="微软雅黑" w:eastAsia="微软雅黑" w:hAnsi="微软雅黑"/>
          <w:szCs w:val="21"/>
        </w:rPr>
      </w:pPr>
      <w:r>
        <w:rPr>
          <w:noProof/>
        </w:rPr>
        <w:drawing>
          <wp:inline distT="0" distB="0" distL="0" distR="0">
            <wp:extent cx="4809600" cy="2880000"/>
            <wp:effectExtent l="0" t="0" r="10160" b="15875"/>
            <wp:docPr id="97492" name="图表 97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507C8" w:rsidRPr="009D423B" w:rsidRDefault="00C564F4" w:rsidP="006507C8">
      <w:pPr>
        <w:pStyle w:val="ab"/>
      </w:pPr>
      <w:bookmarkStart w:id="73" w:name="_Toc524418124"/>
      <w:r>
        <w:rPr>
          <w:rFonts w:hint="eastAsia"/>
        </w:rPr>
        <w:t>图3-</w:t>
      </w:r>
      <w:r w:rsidR="0073031A">
        <w:rPr>
          <w:rFonts w:hint="eastAsia"/>
        </w:rPr>
        <w:t>19</w:t>
      </w:r>
      <w:r w:rsidR="0073031A" w:rsidRPr="009D423B">
        <w:t xml:space="preserve">  </w:t>
      </w:r>
      <w:r w:rsidR="0050355B">
        <w:t>2017年</w:t>
      </w:r>
      <w:r w:rsidR="006507C8" w:rsidRPr="009D423B">
        <w:t>陕西省网民使用在线视频服务人均月度访问次数</w:t>
      </w:r>
      <w:bookmarkEnd w:id="73"/>
    </w:p>
    <w:p w:rsidR="00574F26" w:rsidRPr="003E0CE0" w:rsidRDefault="00574F26" w:rsidP="00574F26">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3）网民使用在线视频服务人均单日有效浏览时间</w:t>
      </w:r>
    </w:p>
    <w:p w:rsidR="00574F26" w:rsidRDefault="00574F26" w:rsidP="00FE440C">
      <w:pPr>
        <w:snapToGrid w:val="0"/>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szCs w:val="21"/>
        </w:rPr>
        <w:t>陕西省</w:t>
      </w:r>
      <w:r w:rsidRPr="003E0CE0">
        <w:rPr>
          <w:rFonts w:ascii="微软雅黑" w:eastAsia="微软雅黑" w:hAnsi="微软雅黑"/>
          <w:szCs w:val="21"/>
        </w:rPr>
        <w:t>网民使用在线视频服务人均单日有效浏览时间平均为</w:t>
      </w:r>
      <w:r w:rsidR="0056747B">
        <w:rPr>
          <w:rFonts w:ascii="微软雅黑" w:eastAsia="微软雅黑" w:hAnsi="微软雅黑" w:hint="eastAsia"/>
          <w:szCs w:val="21"/>
        </w:rPr>
        <w:t>78.6</w:t>
      </w:r>
      <w:r w:rsidRPr="003E0CE0">
        <w:rPr>
          <w:rFonts w:ascii="微软雅黑" w:eastAsia="微软雅黑" w:hAnsi="微软雅黑"/>
          <w:szCs w:val="21"/>
        </w:rPr>
        <w:t>分钟</w:t>
      </w:r>
      <w:r w:rsidR="0091202B">
        <w:rPr>
          <w:rFonts w:ascii="微软雅黑" w:eastAsia="微软雅黑" w:hAnsi="微软雅黑" w:hint="eastAsia"/>
          <w:szCs w:val="21"/>
        </w:rPr>
        <w:t>。</w:t>
      </w:r>
      <w:r w:rsidR="00EA0D3B" w:rsidRPr="003E0CE0">
        <w:rPr>
          <w:rFonts w:ascii="微软雅黑" w:eastAsia="微软雅黑" w:hAnsi="微软雅黑"/>
          <w:szCs w:val="21"/>
        </w:rPr>
        <w:t>在线视频服务</w:t>
      </w:r>
      <w:r w:rsidR="00EA0D3B">
        <w:rPr>
          <w:rFonts w:ascii="微软雅黑" w:eastAsia="微软雅黑" w:hAnsi="微软雅黑"/>
          <w:szCs w:val="21"/>
        </w:rPr>
        <w:t>是</w:t>
      </w:r>
      <w:r w:rsidR="00EA0D3B" w:rsidRPr="003E0CE0">
        <w:rPr>
          <w:rFonts w:ascii="微软雅黑" w:eastAsia="微软雅黑" w:hAnsi="微软雅黑"/>
          <w:szCs w:val="21"/>
        </w:rPr>
        <w:t>PC端众多网络服务中人均单日有效浏览时间最长的网络服务类型</w:t>
      </w:r>
      <w:r w:rsidR="00EA0D3B">
        <w:rPr>
          <w:rFonts w:ascii="微软雅黑" w:eastAsia="微软雅黑" w:hAnsi="微软雅黑" w:hint="eastAsia"/>
          <w:szCs w:val="21"/>
        </w:rPr>
        <w:t>，</w:t>
      </w:r>
      <w:r w:rsidR="00EA0D3B">
        <w:rPr>
          <w:rFonts w:ascii="微软雅黑" w:eastAsia="微软雅黑" w:hAnsi="微软雅黑"/>
          <w:szCs w:val="21"/>
        </w:rPr>
        <w:t>这也是视频网站的自身属性决定的</w:t>
      </w:r>
      <w:r w:rsidR="00EA0D3B" w:rsidRPr="003E0CE0">
        <w:rPr>
          <w:rFonts w:ascii="微软雅黑" w:eastAsia="微软雅黑" w:hAnsi="微软雅黑"/>
          <w:szCs w:val="21"/>
        </w:rPr>
        <w:t>。</w:t>
      </w:r>
      <w:r w:rsidR="0091202B">
        <w:rPr>
          <w:rFonts w:ascii="微软雅黑" w:eastAsia="微软雅黑" w:hAnsi="微软雅黑"/>
          <w:szCs w:val="21"/>
        </w:rPr>
        <w:t>从全年来看</w:t>
      </w:r>
      <w:r w:rsidR="0091202B">
        <w:rPr>
          <w:rFonts w:ascii="微软雅黑" w:eastAsia="微软雅黑" w:hAnsi="微软雅黑" w:hint="eastAsia"/>
          <w:szCs w:val="21"/>
        </w:rPr>
        <w:t>，</w:t>
      </w:r>
      <w:r w:rsidR="0091202B">
        <w:rPr>
          <w:rFonts w:ascii="微软雅黑" w:eastAsia="微软雅黑" w:hAnsi="微软雅黑"/>
          <w:szCs w:val="21"/>
        </w:rPr>
        <w:t>陕西省网民</w:t>
      </w:r>
      <w:r w:rsidR="0091202B" w:rsidRPr="003E0CE0">
        <w:rPr>
          <w:rFonts w:ascii="微软雅黑" w:eastAsia="微软雅黑" w:hAnsi="微软雅黑"/>
          <w:szCs w:val="21"/>
        </w:rPr>
        <w:t>人均单日有效浏览时间</w:t>
      </w:r>
      <w:r w:rsidR="0091202B">
        <w:rPr>
          <w:rFonts w:ascii="微软雅黑" w:eastAsia="微软雅黑" w:hAnsi="微软雅黑"/>
          <w:szCs w:val="21"/>
        </w:rPr>
        <w:t>相对平稳</w:t>
      </w:r>
      <w:r w:rsidR="0091202B">
        <w:rPr>
          <w:rFonts w:ascii="微软雅黑" w:eastAsia="微软雅黑" w:hAnsi="微软雅黑" w:hint="eastAsia"/>
          <w:szCs w:val="21"/>
        </w:rPr>
        <w:t>，</w:t>
      </w:r>
      <w:r w:rsidR="001B1038">
        <w:rPr>
          <w:rFonts w:ascii="微软雅黑" w:eastAsia="微软雅黑" w:hAnsi="微软雅黑" w:hint="eastAsia"/>
          <w:szCs w:val="21"/>
        </w:rPr>
        <w:t>与平均值之间差异不大；</w:t>
      </w:r>
      <w:r w:rsidR="0091202B">
        <w:rPr>
          <w:rFonts w:ascii="微软雅黑" w:eastAsia="微软雅黑" w:hAnsi="微软雅黑" w:hint="eastAsia"/>
          <w:szCs w:val="21"/>
        </w:rPr>
        <w:t>其中以1</w:t>
      </w:r>
      <w:r w:rsidR="001B1038">
        <w:rPr>
          <w:rFonts w:ascii="微软雅黑" w:eastAsia="微软雅黑" w:hAnsi="微软雅黑" w:hint="eastAsia"/>
          <w:szCs w:val="21"/>
        </w:rPr>
        <w:t>月、11月最高，达到80.4分钟；12月份最低，仅74.4分钟。</w:t>
      </w:r>
    </w:p>
    <w:p w:rsidR="008B05CF" w:rsidRPr="003E0CE0" w:rsidRDefault="008B05CF" w:rsidP="00574F26">
      <w:pPr>
        <w:jc w:val="center"/>
        <w:rPr>
          <w:rFonts w:ascii="微软雅黑" w:eastAsia="微软雅黑" w:hAnsi="微软雅黑"/>
          <w:szCs w:val="21"/>
        </w:rPr>
      </w:pPr>
      <w:r>
        <w:rPr>
          <w:noProof/>
        </w:rPr>
        <w:drawing>
          <wp:inline distT="0" distB="0" distL="0" distR="0">
            <wp:extent cx="4809600" cy="2880000"/>
            <wp:effectExtent l="0" t="0" r="10160" b="15875"/>
            <wp:docPr id="97493" name="图表 97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74F26" w:rsidRPr="003E0CE0" w:rsidRDefault="00C564F4" w:rsidP="00574F26">
      <w:pPr>
        <w:pStyle w:val="ab"/>
      </w:pPr>
      <w:bookmarkStart w:id="74" w:name="_Toc517164673"/>
      <w:bookmarkStart w:id="75" w:name="_Toc517206453"/>
      <w:bookmarkStart w:id="76" w:name="_Toc524418125"/>
      <w:r>
        <w:t>图3-</w:t>
      </w:r>
      <w:r w:rsidR="0073031A">
        <w:rPr>
          <w:rFonts w:hint="eastAsia"/>
        </w:rPr>
        <w:t>20</w:t>
      </w:r>
      <w:r w:rsidR="0073031A" w:rsidRPr="003E0CE0">
        <w:t xml:space="preserve">  </w:t>
      </w:r>
      <w:r w:rsidR="00574F26" w:rsidRPr="003E0CE0">
        <w:t>2017年</w:t>
      </w:r>
      <w:r w:rsidR="00574F26">
        <w:t>陕西省</w:t>
      </w:r>
      <w:r w:rsidR="00574F26" w:rsidRPr="003E0CE0">
        <w:t>网民使用在线视频服务人均单日有效浏览时间</w:t>
      </w:r>
      <w:bookmarkEnd w:id="74"/>
      <w:bookmarkEnd w:id="75"/>
      <w:bookmarkEnd w:id="76"/>
    </w:p>
    <w:p w:rsidR="00574F26" w:rsidRPr="003E0CE0" w:rsidRDefault="00574F26" w:rsidP="00574F26">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4）网民使用在线视频服务人均单次浏览页面</w:t>
      </w:r>
    </w:p>
    <w:p w:rsidR="00574F26" w:rsidRPr="003E0CE0" w:rsidRDefault="00574F26" w:rsidP="00574F26">
      <w:pPr>
        <w:snapToGrid w:val="0"/>
        <w:spacing w:line="400" w:lineRule="exact"/>
        <w:ind w:firstLineChars="202" w:firstLine="424"/>
        <w:rPr>
          <w:rFonts w:ascii="微软雅黑" w:eastAsia="微软雅黑" w:hAnsi="微软雅黑"/>
          <w:noProof/>
          <w:szCs w:val="21"/>
        </w:rPr>
      </w:pPr>
      <w:r w:rsidRPr="003E0CE0">
        <w:rPr>
          <w:rFonts w:ascii="微软雅黑" w:eastAsia="微软雅黑" w:hAnsi="微软雅黑"/>
          <w:szCs w:val="21"/>
        </w:rPr>
        <w:t>2017年，</w:t>
      </w:r>
      <w:r>
        <w:rPr>
          <w:rFonts w:ascii="微软雅黑" w:eastAsia="微软雅黑" w:hAnsi="微软雅黑"/>
          <w:szCs w:val="21"/>
        </w:rPr>
        <w:t>陕西省</w:t>
      </w:r>
      <w:r w:rsidR="00FF7D76" w:rsidRPr="00FF7D76">
        <w:rPr>
          <w:rFonts w:ascii="微软雅黑" w:eastAsia="微软雅黑" w:hAnsi="微软雅黑" w:hint="eastAsia"/>
          <w:szCs w:val="21"/>
        </w:rPr>
        <w:t>使用在线视频服务人均单次浏览页面</w:t>
      </w:r>
      <w:r w:rsidRPr="003E0CE0">
        <w:rPr>
          <w:rFonts w:ascii="微软雅黑" w:eastAsia="微软雅黑" w:hAnsi="微软雅黑"/>
          <w:szCs w:val="21"/>
        </w:rPr>
        <w:t>的均值</w:t>
      </w:r>
      <w:r w:rsidR="00F07FD5">
        <w:rPr>
          <w:rFonts w:ascii="微软雅黑" w:eastAsia="微软雅黑" w:hAnsi="微软雅黑"/>
          <w:szCs w:val="21"/>
        </w:rPr>
        <w:t>仅</w:t>
      </w:r>
      <w:r w:rsidRPr="003E0CE0">
        <w:rPr>
          <w:rFonts w:ascii="微软雅黑" w:eastAsia="微软雅黑" w:hAnsi="微软雅黑"/>
          <w:szCs w:val="21"/>
        </w:rPr>
        <w:t>为2.2页</w:t>
      </w:r>
      <w:r w:rsidR="00F07FD5">
        <w:rPr>
          <w:rFonts w:ascii="微软雅黑" w:eastAsia="微软雅黑" w:hAnsi="微软雅黑" w:hint="eastAsia"/>
          <w:szCs w:val="21"/>
        </w:rPr>
        <w:t>。</w:t>
      </w:r>
      <w:r w:rsidR="00F07FD5" w:rsidRPr="003E0CE0">
        <w:rPr>
          <w:rFonts w:ascii="微软雅黑" w:eastAsia="微软雅黑" w:hAnsi="微软雅黑"/>
          <w:szCs w:val="21"/>
        </w:rPr>
        <w:t>从月度变化趋势来看，全年的波动幅度不大，与平均值相差不足0.1页</w:t>
      </w:r>
      <w:r w:rsidR="00F07FD5">
        <w:rPr>
          <w:rFonts w:ascii="微软雅黑" w:eastAsia="微软雅黑" w:hAnsi="微软雅黑" w:hint="eastAsia"/>
          <w:szCs w:val="21"/>
        </w:rPr>
        <w:t>。结合网民浏览在线视频网站的时间，这</w:t>
      </w:r>
      <w:r w:rsidR="00F07FD5">
        <w:rPr>
          <w:rFonts w:ascii="微软雅黑" w:eastAsia="微软雅黑" w:hAnsi="微软雅黑"/>
          <w:szCs w:val="21"/>
        </w:rPr>
        <w:t>表明网民能很快访问到目标页面</w:t>
      </w:r>
      <w:r w:rsidR="00F07FD5">
        <w:rPr>
          <w:rFonts w:ascii="微软雅黑" w:eastAsia="微软雅黑" w:hAnsi="微软雅黑" w:hint="eastAsia"/>
          <w:szCs w:val="21"/>
        </w:rPr>
        <w:t>，</w:t>
      </w:r>
      <w:r w:rsidR="00B1149F">
        <w:rPr>
          <w:rFonts w:ascii="微软雅黑" w:eastAsia="微软雅黑" w:hAnsi="微软雅黑" w:hint="eastAsia"/>
          <w:szCs w:val="21"/>
        </w:rPr>
        <w:t>因此人均单次浏览页面数量并不高</w:t>
      </w:r>
      <w:r w:rsidRPr="003E0CE0">
        <w:rPr>
          <w:rFonts w:ascii="微软雅黑" w:eastAsia="微软雅黑" w:hAnsi="微软雅黑"/>
          <w:szCs w:val="21"/>
        </w:rPr>
        <w:t>。</w:t>
      </w:r>
    </w:p>
    <w:p w:rsidR="008B05CF" w:rsidRPr="003E0CE0" w:rsidRDefault="008B05CF" w:rsidP="00F07FD5">
      <w:pPr>
        <w:jc w:val="center"/>
        <w:rPr>
          <w:rFonts w:ascii="微软雅黑" w:eastAsia="微软雅黑" w:hAnsi="微软雅黑"/>
          <w:szCs w:val="21"/>
        </w:rPr>
      </w:pPr>
      <w:r>
        <w:rPr>
          <w:noProof/>
        </w:rPr>
        <w:drawing>
          <wp:inline distT="0" distB="0" distL="0" distR="0">
            <wp:extent cx="4809600" cy="2880000"/>
            <wp:effectExtent l="0" t="0" r="10160" b="15875"/>
            <wp:docPr id="97494" name="图表 97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74F26" w:rsidRPr="003E0CE0" w:rsidRDefault="00C564F4" w:rsidP="00574F26">
      <w:pPr>
        <w:pStyle w:val="ab"/>
      </w:pPr>
      <w:bookmarkStart w:id="77" w:name="_Toc517164674"/>
      <w:bookmarkStart w:id="78" w:name="_Toc517206454"/>
      <w:bookmarkStart w:id="79" w:name="_Toc524418126"/>
      <w:r>
        <w:t>图3-</w:t>
      </w:r>
      <w:r w:rsidR="0073031A">
        <w:rPr>
          <w:rFonts w:hint="eastAsia"/>
        </w:rPr>
        <w:t>21</w:t>
      </w:r>
      <w:r w:rsidR="0073031A" w:rsidRPr="003E0CE0">
        <w:t xml:space="preserve">  </w:t>
      </w:r>
      <w:r w:rsidR="00574F26" w:rsidRPr="003E0CE0">
        <w:t>2017年</w:t>
      </w:r>
      <w:r w:rsidR="00574F26">
        <w:t>陕西省</w:t>
      </w:r>
      <w:r w:rsidR="00574F26" w:rsidRPr="003E0CE0">
        <w:t>网民使用在线视频服务人均单次浏览页面</w:t>
      </w:r>
      <w:bookmarkEnd w:id="77"/>
      <w:bookmarkEnd w:id="78"/>
      <w:bookmarkEnd w:id="79"/>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（3</w:t>
      </w:r>
      <w:r w:rsidR="00E664AC">
        <w:rPr>
          <w:rFonts w:ascii="微软雅黑" w:eastAsia="微软雅黑" w:hAnsi="微软雅黑" w:cs="宋体" w:hint="eastAsia"/>
          <w:b/>
          <w:bCs/>
          <w:szCs w:val="21"/>
        </w:rPr>
        <w:t>）</w:t>
      </w:r>
      <w:r w:rsidRPr="009D423B">
        <w:rPr>
          <w:rFonts w:ascii="微软雅黑" w:eastAsia="微软雅黑" w:hAnsi="微软雅黑" w:cs="宋体" w:hint="eastAsia"/>
          <w:b/>
          <w:bCs/>
          <w:szCs w:val="21"/>
        </w:rPr>
        <w:t>网民使用的主要在线视频网站</w:t>
      </w:r>
    </w:p>
    <w:p w:rsidR="0006327B" w:rsidRDefault="00EA0D3B" w:rsidP="00FE440C">
      <w:pPr>
        <w:snapToGrid w:val="0"/>
        <w:spacing w:line="400" w:lineRule="exact"/>
        <w:ind w:firstLineChars="200" w:firstLine="420"/>
        <w:rPr>
          <w:rFonts w:ascii="微软雅黑" w:eastAsia="微软雅黑" w:hAnsi="微软雅黑"/>
          <w:noProof/>
          <w:szCs w:val="21"/>
        </w:rPr>
      </w:pPr>
      <w:r>
        <w:rPr>
          <w:rFonts w:ascii="微软雅黑" w:eastAsia="微软雅黑" w:hAnsi="微软雅黑"/>
          <w:szCs w:val="21"/>
        </w:rPr>
        <w:t>从网民月度覆盖比例来看</w:t>
      </w:r>
      <w:r>
        <w:rPr>
          <w:rFonts w:ascii="微软雅黑" w:eastAsia="微软雅黑" w:hAnsi="微软雅黑" w:hint="eastAsia"/>
          <w:szCs w:val="21"/>
        </w:rPr>
        <w:t>，在</w:t>
      </w:r>
      <w:r>
        <w:rPr>
          <w:rFonts w:ascii="微软雅黑" w:eastAsia="微软雅黑" w:hAnsi="微软雅黑"/>
          <w:szCs w:val="21"/>
        </w:rPr>
        <w:t>2017年</w:t>
      </w:r>
      <w:r>
        <w:rPr>
          <w:rFonts w:ascii="微软雅黑" w:eastAsia="微软雅黑" w:hAnsi="微软雅黑" w:hint="eastAsia"/>
          <w:szCs w:val="21"/>
        </w:rPr>
        <w:t>12月</w:t>
      </w:r>
      <w:r w:rsidRPr="009D423B">
        <w:rPr>
          <w:rFonts w:ascii="微软雅黑" w:eastAsia="微软雅黑" w:hAnsi="微软雅黑"/>
          <w:szCs w:val="21"/>
        </w:rPr>
        <w:t>陕西省网民使用的在线视频网站中，</w:t>
      </w:r>
      <w:r>
        <w:rPr>
          <w:rFonts w:ascii="微软雅黑" w:eastAsia="微软雅黑" w:hAnsi="微软雅黑" w:hint="eastAsia"/>
          <w:szCs w:val="21"/>
        </w:rPr>
        <w:t>爱奇艺、优酷、腾讯3</w:t>
      </w:r>
      <w:r w:rsidRPr="009D423B">
        <w:rPr>
          <w:rFonts w:ascii="微软雅黑" w:eastAsia="微软雅黑" w:hAnsi="微软雅黑" w:hint="eastAsia"/>
          <w:szCs w:val="21"/>
        </w:rPr>
        <w:t>家组成</w:t>
      </w:r>
      <w:r w:rsidRPr="009D423B">
        <w:rPr>
          <w:rFonts w:ascii="微软雅黑" w:eastAsia="微软雅黑" w:hAnsi="微软雅黑"/>
          <w:szCs w:val="21"/>
        </w:rPr>
        <w:t>第一</w:t>
      </w:r>
      <w:r>
        <w:rPr>
          <w:rFonts w:ascii="微软雅黑" w:eastAsia="微软雅黑" w:hAnsi="微软雅黑"/>
          <w:szCs w:val="21"/>
        </w:rPr>
        <w:t>梯队</w:t>
      </w:r>
      <w:r w:rsidRPr="009D423B">
        <w:rPr>
          <w:rFonts w:ascii="微软雅黑" w:eastAsia="微软雅黑" w:hAnsi="微软雅黑"/>
          <w:szCs w:val="21"/>
        </w:rPr>
        <w:t>，</w:t>
      </w:r>
      <w:r>
        <w:rPr>
          <w:rFonts w:ascii="微软雅黑" w:eastAsia="微软雅黑" w:hAnsi="微软雅黑"/>
          <w:szCs w:val="21"/>
        </w:rPr>
        <w:t>其</w:t>
      </w:r>
      <w:r>
        <w:rPr>
          <w:rFonts w:ascii="微软雅黑" w:eastAsia="微软雅黑" w:hAnsi="微软雅黑" w:hint="eastAsia"/>
          <w:szCs w:val="21"/>
        </w:rPr>
        <w:t>月度覆盖比例超过40%；</w:t>
      </w:r>
      <w:r w:rsidR="00F34ADB">
        <w:rPr>
          <w:rFonts w:ascii="微软雅黑" w:eastAsia="微软雅黑" w:hAnsi="微软雅黑" w:hint="eastAsia"/>
          <w:szCs w:val="21"/>
        </w:rPr>
        <w:t>搜狐视频、风行、芒果TV等处理第二梯队，</w:t>
      </w:r>
      <w:r w:rsidR="00C23761">
        <w:rPr>
          <w:rFonts w:ascii="微软雅黑" w:eastAsia="微软雅黑" w:hAnsi="微软雅黑" w:hint="eastAsia"/>
          <w:szCs w:val="21"/>
        </w:rPr>
        <w:t>月度覆盖比例</w:t>
      </w:r>
      <w:r w:rsidR="00F34ADB">
        <w:rPr>
          <w:rFonts w:ascii="微软雅黑" w:eastAsia="微软雅黑" w:hAnsi="微软雅黑" w:hint="eastAsia"/>
          <w:szCs w:val="21"/>
        </w:rPr>
        <w:t>在30%上下。</w:t>
      </w:r>
      <w:r w:rsidR="006A7A77">
        <w:rPr>
          <w:rFonts w:ascii="微软雅黑" w:eastAsia="微软雅黑" w:hAnsi="微软雅黑" w:hint="eastAsia"/>
          <w:szCs w:val="21"/>
        </w:rPr>
        <w:t>在线视频网站的月度覆盖比例指标</w:t>
      </w:r>
      <w:r w:rsidR="001963F4">
        <w:rPr>
          <w:rFonts w:ascii="微软雅黑" w:eastAsia="微软雅黑" w:hAnsi="微软雅黑" w:hint="eastAsia"/>
          <w:szCs w:val="21"/>
        </w:rPr>
        <w:t>直接</w:t>
      </w:r>
      <w:r w:rsidR="006A7A77">
        <w:rPr>
          <w:rFonts w:ascii="微软雅黑" w:eastAsia="微软雅黑" w:hAnsi="微软雅黑" w:hint="eastAsia"/>
          <w:szCs w:val="21"/>
        </w:rPr>
        <w:t>反应了</w:t>
      </w:r>
      <w:r w:rsidR="001963F4">
        <w:rPr>
          <w:rFonts w:ascii="微软雅黑" w:eastAsia="微软雅黑" w:hAnsi="微软雅黑" w:hint="eastAsia"/>
          <w:szCs w:val="21"/>
        </w:rPr>
        <w:t>特定</w:t>
      </w:r>
      <w:r w:rsidR="006A7A77">
        <w:rPr>
          <w:rFonts w:ascii="微软雅黑" w:eastAsia="微软雅黑" w:hAnsi="微软雅黑" w:hint="eastAsia"/>
          <w:szCs w:val="21"/>
        </w:rPr>
        <w:t>网站在陕西省网民中的覆盖面</w:t>
      </w:r>
      <w:r w:rsidR="001963F4">
        <w:rPr>
          <w:rFonts w:ascii="微软雅黑" w:eastAsia="微软雅黑" w:hAnsi="微软雅黑" w:hint="eastAsia"/>
          <w:szCs w:val="21"/>
        </w:rPr>
        <w:t>情况</w:t>
      </w:r>
      <w:r w:rsidR="006A7A77">
        <w:rPr>
          <w:rFonts w:ascii="微软雅黑" w:eastAsia="微软雅黑" w:hAnsi="微软雅黑" w:hint="eastAsia"/>
          <w:szCs w:val="21"/>
        </w:rPr>
        <w:t>。</w:t>
      </w:r>
    </w:p>
    <w:p w:rsidR="008B05CF" w:rsidRPr="009D423B" w:rsidRDefault="008B05CF" w:rsidP="006507C8">
      <w:pPr>
        <w:snapToGrid w:val="0"/>
        <w:jc w:val="center"/>
        <w:rPr>
          <w:rFonts w:ascii="微软雅黑" w:eastAsia="微软雅黑" w:hAnsi="微软雅黑"/>
          <w:noProof/>
          <w:szCs w:val="21"/>
        </w:rPr>
      </w:pPr>
      <w:r>
        <w:rPr>
          <w:noProof/>
        </w:rPr>
        <w:drawing>
          <wp:inline distT="0" distB="0" distL="0" distR="0">
            <wp:extent cx="4798800" cy="2880000"/>
            <wp:effectExtent l="0" t="0" r="20955" b="15875"/>
            <wp:docPr id="97495" name="图表 97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507C8" w:rsidRDefault="00C564F4" w:rsidP="006507C8">
      <w:pPr>
        <w:pStyle w:val="ab"/>
      </w:pPr>
      <w:bookmarkStart w:id="80" w:name="_Toc524418127"/>
      <w:r>
        <w:rPr>
          <w:rFonts w:hint="eastAsia"/>
        </w:rPr>
        <w:t>图3-</w:t>
      </w:r>
      <w:r w:rsidR="008540F1">
        <w:rPr>
          <w:rFonts w:hint="eastAsia"/>
        </w:rPr>
        <w:t>22</w:t>
      </w:r>
      <w:r w:rsidR="008540F1" w:rsidRPr="009D423B">
        <w:t xml:space="preserve">  </w:t>
      </w:r>
      <w:r w:rsidR="0050355B">
        <w:t>2017年</w:t>
      </w:r>
      <w:r w:rsidR="006507C8" w:rsidRPr="009D423B">
        <w:rPr>
          <w:rFonts w:hint="eastAsia"/>
        </w:rPr>
        <w:t>12</w:t>
      </w:r>
      <w:r w:rsidR="006507C8" w:rsidRPr="009D423B">
        <w:t>月陕西省网民使用的</w:t>
      </w:r>
      <w:r w:rsidR="006507C8" w:rsidRPr="009D423B">
        <w:rPr>
          <w:rFonts w:hint="eastAsia"/>
        </w:rPr>
        <w:t>主要</w:t>
      </w:r>
      <w:r w:rsidR="006507C8" w:rsidRPr="009D423B">
        <w:t>在线视频网站</w:t>
      </w:r>
      <w:bookmarkEnd w:id="80"/>
    </w:p>
    <w:p w:rsidR="006507C8" w:rsidRPr="009D423B" w:rsidRDefault="006507C8" w:rsidP="006507C8">
      <w:pPr>
        <w:spacing w:line="400" w:lineRule="exact"/>
        <w:outlineLvl w:val="3"/>
        <w:rPr>
          <w:rFonts w:ascii="微软雅黑" w:eastAsia="微软雅黑" w:hAnsi="微软雅黑"/>
          <w:b/>
        </w:rPr>
      </w:pPr>
      <w:bookmarkStart w:id="81" w:name="_Toc524417986"/>
      <w:r w:rsidRPr="009D423B">
        <w:rPr>
          <w:rFonts w:ascii="微软雅黑" w:eastAsia="微软雅黑" w:hAnsi="微软雅黑" w:hint="eastAsia"/>
          <w:b/>
        </w:rPr>
        <w:t>3.</w:t>
      </w:r>
      <w:r w:rsidR="00714508">
        <w:rPr>
          <w:rFonts w:ascii="微软雅黑" w:eastAsia="微软雅黑" w:hAnsi="微软雅黑"/>
          <w:b/>
          <w:bCs/>
        </w:rPr>
        <w:t>PC端</w:t>
      </w:r>
      <w:r w:rsidRPr="009D423B">
        <w:rPr>
          <w:rFonts w:ascii="微软雅黑" w:eastAsia="微软雅黑" w:hAnsi="微软雅黑" w:hint="eastAsia"/>
          <w:b/>
        </w:rPr>
        <w:t>网民使用新闻资讯服务情况</w:t>
      </w:r>
      <w:bookmarkEnd w:id="81"/>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（1）使用新闻资讯网民</w:t>
      </w:r>
      <w:r w:rsidR="00FE440C">
        <w:rPr>
          <w:rFonts w:ascii="微软雅黑" w:eastAsia="微软雅黑" w:hAnsi="微软雅黑" w:cs="宋体" w:hint="eastAsia"/>
          <w:b/>
          <w:bCs/>
          <w:szCs w:val="21"/>
        </w:rPr>
        <w:t>月度覆盖比例</w:t>
      </w:r>
    </w:p>
    <w:p w:rsidR="00FE440C" w:rsidRDefault="0050355B" w:rsidP="009160A7">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2017年</w:t>
      </w:r>
      <w:r w:rsidR="00FE440C">
        <w:rPr>
          <w:rFonts w:ascii="微软雅黑" w:eastAsia="微软雅黑" w:hAnsi="微软雅黑" w:hint="eastAsia"/>
          <w:szCs w:val="21"/>
        </w:rPr>
        <w:t>，</w:t>
      </w:r>
      <w:r w:rsidR="00A2095C">
        <w:rPr>
          <w:rFonts w:ascii="微软雅黑" w:eastAsia="微软雅黑" w:hAnsi="微软雅黑" w:hint="eastAsia"/>
          <w:szCs w:val="21"/>
        </w:rPr>
        <w:t>全省网民中</w:t>
      </w:r>
      <w:r w:rsidR="002C639E">
        <w:rPr>
          <w:rFonts w:ascii="微软雅黑" w:eastAsia="微软雅黑" w:hAnsi="微软雅黑" w:hint="eastAsia"/>
          <w:szCs w:val="21"/>
        </w:rPr>
        <w:t>使用新闻资讯服务月度</w:t>
      </w:r>
      <w:r w:rsidR="00FF7D76">
        <w:rPr>
          <w:rFonts w:ascii="微软雅黑" w:eastAsia="微软雅黑" w:hAnsi="微软雅黑" w:hint="eastAsia"/>
          <w:szCs w:val="21"/>
        </w:rPr>
        <w:t>覆盖</w:t>
      </w:r>
      <w:r w:rsidR="002C639E">
        <w:rPr>
          <w:rFonts w:ascii="微软雅黑" w:eastAsia="微软雅黑" w:hAnsi="微软雅黑" w:hint="eastAsia"/>
          <w:szCs w:val="21"/>
        </w:rPr>
        <w:t>比例</w:t>
      </w:r>
      <w:r w:rsidR="00A2095C">
        <w:rPr>
          <w:rFonts w:ascii="微软雅黑" w:eastAsia="微软雅黑" w:hAnsi="微软雅黑" w:hint="eastAsia"/>
          <w:szCs w:val="21"/>
        </w:rPr>
        <w:t>基本保持稳定，全年均值达87.8%</w:t>
      </w:r>
      <w:r w:rsidR="002C639E">
        <w:rPr>
          <w:rFonts w:ascii="微软雅黑" w:eastAsia="微软雅黑" w:hAnsi="微软雅黑" w:hint="eastAsia"/>
          <w:szCs w:val="21"/>
        </w:rPr>
        <w:t>，是属于</w:t>
      </w:r>
      <w:r w:rsidR="00C23761">
        <w:rPr>
          <w:rFonts w:ascii="微软雅黑" w:eastAsia="微软雅黑" w:hAnsi="微软雅黑" w:hint="eastAsia"/>
          <w:szCs w:val="21"/>
        </w:rPr>
        <w:t>月度覆盖比例</w:t>
      </w:r>
      <w:r w:rsidR="002C639E">
        <w:rPr>
          <w:rFonts w:ascii="微软雅黑" w:eastAsia="微软雅黑" w:hAnsi="微软雅黑" w:hint="eastAsia"/>
          <w:szCs w:val="21"/>
        </w:rPr>
        <w:t>较高的应用类型</w:t>
      </w:r>
      <w:r w:rsidR="00A2095C">
        <w:rPr>
          <w:rFonts w:ascii="微软雅黑" w:eastAsia="微软雅黑" w:hAnsi="微软雅黑" w:hint="eastAsia"/>
          <w:szCs w:val="21"/>
        </w:rPr>
        <w:t>。整体来看，</w:t>
      </w:r>
      <w:r w:rsidR="002C639E">
        <w:rPr>
          <w:rFonts w:ascii="微软雅黑" w:eastAsia="微软雅黑" w:hAnsi="微软雅黑" w:hint="eastAsia"/>
          <w:szCs w:val="21"/>
        </w:rPr>
        <w:t>2017年以9月份的</w:t>
      </w:r>
      <w:r w:rsidR="00C23761">
        <w:rPr>
          <w:rFonts w:ascii="微软雅黑" w:eastAsia="微软雅黑" w:hAnsi="微软雅黑" w:hint="eastAsia"/>
          <w:szCs w:val="21"/>
        </w:rPr>
        <w:t>月度覆盖比例</w:t>
      </w:r>
      <w:r w:rsidR="002C639E">
        <w:rPr>
          <w:rFonts w:ascii="微软雅黑" w:eastAsia="微软雅黑" w:hAnsi="微软雅黑" w:hint="eastAsia"/>
          <w:szCs w:val="21"/>
        </w:rPr>
        <w:t>最高，达到91.7%；2月份相对较低，仅84.6%。</w:t>
      </w:r>
    </w:p>
    <w:p w:rsidR="008B05CF" w:rsidRPr="009D423B" w:rsidRDefault="008B05CF" w:rsidP="002C639E">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97496" name="图表 97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507C8" w:rsidRPr="009D423B" w:rsidRDefault="00C564F4" w:rsidP="006507C8">
      <w:pPr>
        <w:pStyle w:val="ab"/>
      </w:pPr>
      <w:bookmarkStart w:id="82" w:name="_Toc524418128"/>
      <w:r>
        <w:rPr>
          <w:rFonts w:hint="eastAsia"/>
        </w:rPr>
        <w:t>图3-</w:t>
      </w:r>
      <w:r w:rsidR="008540F1">
        <w:rPr>
          <w:rFonts w:hint="eastAsia"/>
        </w:rPr>
        <w:t>23</w:t>
      </w:r>
      <w:r w:rsidR="008540F1" w:rsidRPr="009D423B">
        <w:t xml:space="preserve">  </w:t>
      </w:r>
      <w:r w:rsidR="0050355B">
        <w:t>2017年</w:t>
      </w:r>
      <w:r w:rsidR="006507C8" w:rsidRPr="009D423B">
        <w:t>陕西省</w:t>
      </w:r>
      <w:r w:rsidR="006507C8" w:rsidRPr="009D423B">
        <w:rPr>
          <w:rFonts w:hint="eastAsia"/>
        </w:rPr>
        <w:t>网民</w:t>
      </w:r>
      <w:r w:rsidR="006507C8" w:rsidRPr="009D423B">
        <w:t>使用新闻资讯服务</w:t>
      </w:r>
      <w:r w:rsidR="006507C8" w:rsidRPr="009D423B">
        <w:rPr>
          <w:rFonts w:hint="eastAsia"/>
        </w:rPr>
        <w:t>月度覆盖人数</w:t>
      </w:r>
      <w:bookmarkEnd w:id="82"/>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（2）使用新闻资讯服务的粘性</w:t>
      </w:r>
    </w:p>
    <w:p w:rsidR="006507C8" w:rsidRPr="00777A18" w:rsidRDefault="006507C8" w:rsidP="006507C8">
      <w:pPr>
        <w:widowControl/>
        <w:spacing w:line="400" w:lineRule="exact"/>
        <w:ind w:firstLineChars="200" w:firstLine="420"/>
        <w:jc w:val="left"/>
        <w:rPr>
          <w:rFonts w:ascii="微软雅黑" w:eastAsia="微软雅黑" w:hAnsi="微软雅黑"/>
          <w:b/>
          <w:szCs w:val="21"/>
        </w:rPr>
      </w:pPr>
      <w:r w:rsidRPr="00777A18">
        <w:rPr>
          <w:rFonts w:ascii="微软雅黑" w:eastAsia="微软雅黑" w:hAnsi="微软雅黑"/>
          <w:b/>
          <w:szCs w:val="21"/>
        </w:rPr>
        <w:t>1）使用新闻资讯服务人均月度访问天数</w:t>
      </w:r>
    </w:p>
    <w:p w:rsidR="00BA18B6" w:rsidRDefault="0050355B" w:rsidP="00C462D3">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，陕西省网民使用新闻资讯服务人均月度访问天数</w:t>
      </w:r>
      <w:r w:rsidR="00016E24">
        <w:rPr>
          <w:rFonts w:ascii="微软雅黑" w:eastAsia="微软雅黑" w:hAnsi="微软雅黑" w:hint="eastAsia"/>
          <w:szCs w:val="21"/>
        </w:rPr>
        <w:t>保持平稳</w:t>
      </w:r>
      <w:r w:rsidR="006507C8" w:rsidRPr="009D423B">
        <w:rPr>
          <w:rFonts w:ascii="微软雅黑" w:eastAsia="微软雅黑" w:hAnsi="微软雅黑"/>
          <w:szCs w:val="21"/>
        </w:rPr>
        <w:t>，</w:t>
      </w:r>
      <w:r w:rsidR="00016E24">
        <w:rPr>
          <w:rFonts w:ascii="微软雅黑" w:eastAsia="微软雅黑" w:hAnsi="微软雅黑" w:hint="eastAsia"/>
          <w:szCs w:val="21"/>
        </w:rPr>
        <w:t>月度访问天数为</w:t>
      </w:r>
      <w:r w:rsidR="009C4135">
        <w:rPr>
          <w:rFonts w:ascii="微软雅黑" w:eastAsia="微软雅黑" w:hAnsi="微软雅黑" w:hint="eastAsia"/>
          <w:szCs w:val="21"/>
        </w:rPr>
        <w:t>6.</w:t>
      </w:r>
      <w:r w:rsidR="00016E24">
        <w:rPr>
          <w:rFonts w:ascii="微软雅黑" w:eastAsia="微软雅黑" w:hAnsi="微软雅黑" w:hint="eastAsia"/>
          <w:szCs w:val="21"/>
        </w:rPr>
        <w:t>2</w:t>
      </w:r>
      <w:r w:rsidR="006507C8" w:rsidRPr="009D423B">
        <w:rPr>
          <w:rFonts w:ascii="微软雅黑" w:eastAsia="微软雅黑" w:hAnsi="微软雅黑"/>
          <w:szCs w:val="21"/>
        </w:rPr>
        <w:t>天，</w:t>
      </w:r>
      <w:r w:rsidR="0023109E">
        <w:rPr>
          <w:rFonts w:ascii="微软雅黑" w:eastAsia="微软雅黑" w:hAnsi="微软雅黑"/>
          <w:szCs w:val="21"/>
        </w:rPr>
        <w:t>较</w:t>
      </w:r>
      <w:r w:rsidR="0023109E">
        <w:rPr>
          <w:rFonts w:ascii="微软雅黑" w:eastAsia="微软雅黑" w:hAnsi="微软雅黑" w:hint="eastAsia"/>
          <w:szCs w:val="21"/>
        </w:rPr>
        <w:t>201</w:t>
      </w:r>
      <w:r w:rsidR="00016E24">
        <w:rPr>
          <w:rFonts w:ascii="微软雅黑" w:eastAsia="微软雅黑" w:hAnsi="微软雅黑" w:hint="eastAsia"/>
          <w:szCs w:val="21"/>
        </w:rPr>
        <w:t>6</w:t>
      </w:r>
      <w:r w:rsidR="0023109E">
        <w:rPr>
          <w:rFonts w:ascii="微软雅黑" w:eastAsia="微软雅黑" w:hAnsi="微软雅黑" w:hint="eastAsia"/>
          <w:szCs w:val="21"/>
        </w:rPr>
        <w:t>年下降</w:t>
      </w:r>
      <w:r w:rsidR="00016E24">
        <w:rPr>
          <w:rFonts w:ascii="微软雅黑" w:eastAsia="微软雅黑" w:hAnsi="微软雅黑" w:hint="eastAsia"/>
          <w:szCs w:val="21"/>
        </w:rPr>
        <w:t>了</w:t>
      </w:r>
      <w:r w:rsidR="009C4135">
        <w:rPr>
          <w:rFonts w:ascii="微软雅黑" w:eastAsia="微软雅黑" w:hAnsi="微软雅黑" w:hint="eastAsia"/>
          <w:szCs w:val="21"/>
        </w:rPr>
        <w:t>0.</w:t>
      </w:r>
      <w:r w:rsidR="00016E24">
        <w:rPr>
          <w:rFonts w:ascii="微软雅黑" w:eastAsia="微软雅黑" w:hAnsi="微软雅黑" w:hint="eastAsia"/>
          <w:szCs w:val="21"/>
        </w:rPr>
        <w:t>4</w:t>
      </w:r>
      <w:r w:rsidR="009C4135">
        <w:rPr>
          <w:rFonts w:ascii="微软雅黑" w:eastAsia="微软雅黑" w:hAnsi="微软雅黑" w:hint="eastAsia"/>
          <w:szCs w:val="21"/>
        </w:rPr>
        <w:t>天</w:t>
      </w:r>
      <w:r w:rsidR="00016E24">
        <w:rPr>
          <w:rFonts w:ascii="微软雅黑" w:eastAsia="微软雅黑" w:hAnsi="微软雅黑" w:hint="eastAsia"/>
          <w:szCs w:val="21"/>
        </w:rPr>
        <w:t>。</w:t>
      </w:r>
      <w:r w:rsidR="006507C8" w:rsidRPr="009D423B">
        <w:rPr>
          <w:rFonts w:ascii="微软雅黑" w:eastAsia="微软雅黑" w:hAnsi="微软雅黑"/>
          <w:szCs w:val="21"/>
        </w:rPr>
        <w:t>在</w:t>
      </w:r>
      <w:r w:rsidR="00BA18B6">
        <w:rPr>
          <w:rFonts w:ascii="微软雅黑" w:eastAsia="微软雅黑" w:hAnsi="微软雅黑"/>
          <w:szCs w:val="21"/>
        </w:rPr>
        <w:t>PC端常</w:t>
      </w:r>
      <w:r w:rsidR="00016E24">
        <w:rPr>
          <w:rFonts w:ascii="微软雅黑" w:eastAsia="微软雅黑" w:hAnsi="微软雅黑"/>
          <w:szCs w:val="21"/>
        </w:rPr>
        <w:t>见</w:t>
      </w:r>
      <w:r w:rsidR="00BA18B6">
        <w:rPr>
          <w:rFonts w:ascii="微软雅黑" w:eastAsia="微软雅黑" w:hAnsi="微软雅黑"/>
          <w:szCs w:val="21"/>
        </w:rPr>
        <w:t>网络</w:t>
      </w:r>
      <w:r w:rsidR="006507C8" w:rsidRPr="009D423B">
        <w:rPr>
          <w:rFonts w:ascii="微软雅黑" w:eastAsia="微软雅黑" w:hAnsi="微软雅黑"/>
          <w:szCs w:val="21"/>
        </w:rPr>
        <w:t>服务中</w:t>
      </w:r>
      <w:r w:rsidR="00016E24">
        <w:rPr>
          <w:rFonts w:ascii="微软雅黑" w:eastAsia="微软雅黑" w:hAnsi="微软雅黑" w:hint="eastAsia"/>
          <w:szCs w:val="21"/>
        </w:rPr>
        <w:t>，</w:t>
      </w:r>
      <w:r w:rsidR="00FF7D76">
        <w:rPr>
          <w:rFonts w:ascii="微软雅黑" w:eastAsia="微软雅黑" w:hAnsi="微软雅黑" w:hint="eastAsia"/>
          <w:szCs w:val="21"/>
        </w:rPr>
        <w:t>新闻资讯服务</w:t>
      </w:r>
      <w:r w:rsidR="00016E24">
        <w:rPr>
          <w:rFonts w:ascii="微软雅黑" w:eastAsia="微软雅黑" w:hAnsi="微软雅黑"/>
          <w:szCs w:val="21"/>
        </w:rPr>
        <w:t>月度使用天数</w:t>
      </w:r>
      <w:r w:rsidR="006507C8" w:rsidRPr="009D423B">
        <w:rPr>
          <w:rFonts w:ascii="微软雅黑" w:eastAsia="微软雅黑" w:hAnsi="微软雅黑"/>
          <w:szCs w:val="21"/>
        </w:rPr>
        <w:t>属于中等偏低水平。</w:t>
      </w:r>
    </w:p>
    <w:p w:rsidR="008B05CF" w:rsidRDefault="008B05CF" w:rsidP="006507C8">
      <w:pPr>
        <w:snapToGrid w:val="0"/>
        <w:jc w:val="center"/>
        <w:rPr>
          <w:rFonts w:ascii="微软雅黑" w:eastAsia="微软雅黑" w:hAnsi="微软雅黑"/>
          <w:szCs w:val="21"/>
        </w:rPr>
      </w:pPr>
      <w:r>
        <w:rPr>
          <w:noProof/>
        </w:rPr>
        <w:drawing>
          <wp:inline distT="0" distB="0" distL="0" distR="0">
            <wp:extent cx="4809600" cy="2880000"/>
            <wp:effectExtent l="0" t="0" r="10160" b="15875"/>
            <wp:docPr id="97497" name="图表 97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507C8" w:rsidRPr="009D423B" w:rsidRDefault="00C564F4" w:rsidP="006507C8">
      <w:pPr>
        <w:pStyle w:val="ab"/>
      </w:pPr>
      <w:bookmarkStart w:id="83" w:name="_Toc524418129"/>
      <w:r>
        <w:rPr>
          <w:rFonts w:hint="eastAsia"/>
        </w:rPr>
        <w:t>图3-</w:t>
      </w:r>
      <w:r w:rsidR="008540F1">
        <w:rPr>
          <w:rFonts w:hint="eastAsia"/>
        </w:rPr>
        <w:t>24</w:t>
      </w:r>
      <w:r w:rsidR="008540F1" w:rsidRPr="009D423B">
        <w:t xml:space="preserve">  </w:t>
      </w:r>
      <w:r w:rsidR="0050355B">
        <w:t>2017年</w:t>
      </w:r>
      <w:r w:rsidR="006507C8" w:rsidRPr="009D423B">
        <w:t>陕西省网民使用新闻资讯服务人均月度访问天数</w:t>
      </w:r>
      <w:bookmarkEnd w:id="83"/>
    </w:p>
    <w:p w:rsidR="006507C8" w:rsidRPr="00777A18" w:rsidRDefault="006507C8" w:rsidP="006507C8">
      <w:pPr>
        <w:widowControl/>
        <w:spacing w:line="400" w:lineRule="exact"/>
        <w:ind w:firstLineChars="200" w:firstLine="420"/>
        <w:jc w:val="left"/>
        <w:rPr>
          <w:rFonts w:ascii="微软雅黑" w:eastAsia="微软雅黑" w:hAnsi="微软雅黑"/>
          <w:b/>
          <w:szCs w:val="21"/>
        </w:rPr>
      </w:pPr>
      <w:r w:rsidRPr="00777A18">
        <w:rPr>
          <w:rFonts w:ascii="微软雅黑" w:eastAsia="微软雅黑" w:hAnsi="微软雅黑"/>
          <w:b/>
          <w:szCs w:val="21"/>
        </w:rPr>
        <w:t>2）网民使用新闻资讯服务人均月度访问次数</w:t>
      </w:r>
    </w:p>
    <w:p w:rsidR="006507C8" w:rsidRPr="009D423B" w:rsidRDefault="0050355B" w:rsidP="006507C8">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，陕西省网民使用新闻资讯服务的人均月度访问次数</w:t>
      </w:r>
      <w:r w:rsidR="00B61493">
        <w:rPr>
          <w:rFonts w:ascii="微软雅黑" w:eastAsia="微软雅黑" w:hAnsi="微软雅黑" w:hint="eastAsia"/>
          <w:szCs w:val="21"/>
        </w:rPr>
        <w:t>均值</w:t>
      </w:r>
      <w:r w:rsidR="006507C8" w:rsidRPr="009D423B">
        <w:rPr>
          <w:rFonts w:ascii="微软雅黑" w:eastAsia="微软雅黑" w:hAnsi="微软雅黑"/>
          <w:szCs w:val="21"/>
        </w:rPr>
        <w:t>为</w:t>
      </w:r>
      <w:r w:rsidR="00016E24">
        <w:rPr>
          <w:rFonts w:ascii="微软雅黑" w:eastAsia="微软雅黑" w:hAnsi="微软雅黑" w:hint="eastAsia"/>
          <w:szCs w:val="21"/>
        </w:rPr>
        <w:t>16.2</w:t>
      </w:r>
      <w:r w:rsidR="006507C8" w:rsidRPr="009D423B">
        <w:rPr>
          <w:rFonts w:ascii="微软雅黑" w:eastAsia="微软雅黑" w:hAnsi="微软雅黑"/>
          <w:szCs w:val="21"/>
        </w:rPr>
        <w:t>次，</w:t>
      </w:r>
      <w:r w:rsidR="006507C8" w:rsidRPr="009D423B">
        <w:rPr>
          <w:rFonts w:ascii="微软雅黑" w:eastAsia="微软雅黑" w:hAnsi="微软雅黑" w:hint="eastAsia"/>
          <w:szCs w:val="21"/>
        </w:rPr>
        <w:t>与</w:t>
      </w:r>
      <w:r w:rsidR="00016E24" w:rsidRPr="009D423B">
        <w:rPr>
          <w:rFonts w:ascii="微软雅黑" w:eastAsia="微软雅黑" w:hAnsi="微软雅黑" w:hint="eastAsia"/>
          <w:szCs w:val="21"/>
        </w:rPr>
        <w:t>201</w:t>
      </w:r>
      <w:r w:rsidR="00016E24">
        <w:rPr>
          <w:rFonts w:ascii="微软雅黑" w:eastAsia="微软雅黑" w:hAnsi="微软雅黑" w:hint="eastAsia"/>
          <w:szCs w:val="21"/>
        </w:rPr>
        <w:t>6</w:t>
      </w:r>
      <w:r w:rsidR="006507C8" w:rsidRPr="009D423B">
        <w:rPr>
          <w:rFonts w:ascii="微软雅黑" w:eastAsia="微软雅黑" w:hAnsi="微软雅黑" w:hint="eastAsia"/>
          <w:szCs w:val="21"/>
        </w:rPr>
        <w:t>年</w:t>
      </w:r>
      <w:r w:rsidR="007B46EE">
        <w:rPr>
          <w:rFonts w:ascii="微软雅黑" w:eastAsia="微软雅黑" w:hAnsi="微软雅黑" w:hint="eastAsia"/>
          <w:szCs w:val="21"/>
        </w:rPr>
        <w:t>的</w:t>
      </w:r>
      <w:r w:rsidR="00016E24">
        <w:rPr>
          <w:rFonts w:ascii="微软雅黑" w:eastAsia="微软雅黑" w:hAnsi="微软雅黑" w:hint="eastAsia"/>
          <w:szCs w:val="21"/>
        </w:rPr>
        <w:t>18.5次相比</w:t>
      </w:r>
      <w:r w:rsidR="007B46EE">
        <w:rPr>
          <w:rFonts w:ascii="微软雅黑" w:eastAsia="微软雅黑" w:hAnsi="微软雅黑" w:hint="eastAsia"/>
          <w:szCs w:val="21"/>
        </w:rPr>
        <w:t>减少</w:t>
      </w:r>
      <w:r w:rsidR="00016E24">
        <w:rPr>
          <w:rFonts w:ascii="微软雅黑" w:eastAsia="微软雅黑" w:hAnsi="微软雅黑" w:hint="eastAsia"/>
          <w:szCs w:val="21"/>
        </w:rPr>
        <w:t>2.3</w:t>
      </w:r>
      <w:r w:rsidR="007B46EE">
        <w:rPr>
          <w:rFonts w:ascii="微软雅黑" w:eastAsia="微软雅黑" w:hAnsi="微软雅黑" w:hint="eastAsia"/>
          <w:szCs w:val="21"/>
        </w:rPr>
        <w:t>次</w:t>
      </w:r>
      <w:r w:rsidR="006507C8" w:rsidRPr="009D423B">
        <w:rPr>
          <w:rFonts w:ascii="微软雅黑" w:eastAsia="微软雅黑" w:hAnsi="微软雅黑" w:hint="eastAsia"/>
          <w:szCs w:val="21"/>
        </w:rPr>
        <w:t>。</w:t>
      </w:r>
      <w:r w:rsidR="00B7279A">
        <w:rPr>
          <w:rFonts w:ascii="微软雅黑" w:eastAsia="微软雅黑" w:hAnsi="微软雅黑" w:hint="eastAsia"/>
          <w:szCs w:val="21"/>
        </w:rPr>
        <w:t>全</w:t>
      </w:r>
      <w:r w:rsidR="008542B3" w:rsidRPr="009D423B">
        <w:rPr>
          <w:rFonts w:ascii="微软雅黑" w:eastAsia="微软雅黑" w:hAnsi="微软雅黑"/>
          <w:szCs w:val="21"/>
        </w:rPr>
        <w:t>省网民使用新闻资讯服务</w:t>
      </w:r>
      <w:r w:rsidR="00B61493">
        <w:rPr>
          <w:rFonts w:ascii="微软雅黑" w:eastAsia="微软雅黑" w:hAnsi="微软雅黑" w:hint="eastAsia"/>
          <w:szCs w:val="21"/>
        </w:rPr>
        <w:t>月度</w:t>
      </w:r>
      <w:r w:rsidR="00B61493">
        <w:rPr>
          <w:rFonts w:ascii="微软雅黑" w:eastAsia="微软雅黑" w:hAnsi="微软雅黑"/>
          <w:szCs w:val="21"/>
        </w:rPr>
        <w:t>访问次数</w:t>
      </w:r>
      <w:r w:rsidR="006507C8" w:rsidRPr="009D423B">
        <w:rPr>
          <w:rFonts w:ascii="微软雅黑" w:eastAsia="微软雅黑" w:hAnsi="微软雅黑"/>
          <w:szCs w:val="21"/>
        </w:rPr>
        <w:t>低于使用搜索服务</w:t>
      </w:r>
      <w:r w:rsidR="006507C8" w:rsidRPr="009D423B">
        <w:rPr>
          <w:rFonts w:ascii="微软雅黑" w:eastAsia="微软雅黑" w:hAnsi="微软雅黑" w:hint="eastAsia"/>
          <w:szCs w:val="21"/>
        </w:rPr>
        <w:t>、</w:t>
      </w:r>
      <w:r w:rsidR="006507C8" w:rsidRPr="009D423B">
        <w:rPr>
          <w:rFonts w:ascii="微软雅黑" w:eastAsia="微软雅黑" w:hAnsi="微软雅黑"/>
          <w:szCs w:val="21"/>
        </w:rPr>
        <w:t>在线视频</w:t>
      </w:r>
      <w:r w:rsidR="006507C8" w:rsidRPr="009D423B">
        <w:rPr>
          <w:rFonts w:ascii="微软雅黑" w:eastAsia="微软雅黑" w:hAnsi="微软雅黑" w:hint="eastAsia"/>
          <w:szCs w:val="21"/>
        </w:rPr>
        <w:t>、</w:t>
      </w:r>
      <w:r w:rsidR="006507C8" w:rsidRPr="009D423B">
        <w:rPr>
          <w:rFonts w:ascii="微软雅黑" w:eastAsia="微软雅黑" w:hAnsi="微软雅黑"/>
          <w:szCs w:val="21"/>
        </w:rPr>
        <w:t>社区交友和电子商务</w:t>
      </w:r>
      <w:r w:rsidR="00B7279A">
        <w:rPr>
          <w:rFonts w:ascii="微软雅黑" w:eastAsia="微软雅黑" w:hAnsi="微软雅黑"/>
          <w:szCs w:val="21"/>
        </w:rPr>
        <w:t>等其他常见网络应用</w:t>
      </w:r>
      <w:r w:rsidR="006507C8" w:rsidRPr="009D423B">
        <w:rPr>
          <w:rFonts w:ascii="微软雅黑" w:eastAsia="微软雅黑" w:hAnsi="微软雅黑"/>
          <w:szCs w:val="21"/>
        </w:rPr>
        <w:t>，</w:t>
      </w:r>
      <w:r w:rsidR="00F943F8">
        <w:rPr>
          <w:rFonts w:ascii="微软雅黑" w:eastAsia="微软雅黑" w:hAnsi="微软雅黑" w:hint="eastAsia"/>
          <w:szCs w:val="21"/>
        </w:rPr>
        <w:t>是</w:t>
      </w:r>
      <w:r w:rsidR="00B61493">
        <w:rPr>
          <w:rFonts w:ascii="微软雅黑" w:eastAsia="微软雅黑" w:hAnsi="微软雅黑" w:hint="eastAsia"/>
          <w:szCs w:val="21"/>
        </w:rPr>
        <w:t>PC端</w:t>
      </w:r>
      <w:r w:rsidR="006507C8" w:rsidRPr="009D423B">
        <w:rPr>
          <w:rFonts w:ascii="微软雅黑" w:eastAsia="微软雅黑" w:hAnsi="微软雅黑" w:hint="eastAsia"/>
          <w:szCs w:val="21"/>
        </w:rPr>
        <w:t>浏览频率</w:t>
      </w:r>
      <w:r w:rsidR="00B7279A">
        <w:rPr>
          <w:rFonts w:ascii="微软雅黑" w:eastAsia="微软雅黑" w:hAnsi="微软雅黑" w:hint="eastAsia"/>
          <w:szCs w:val="21"/>
        </w:rPr>
        <w:t>相对</w:t>
      </w:r>
      <w:r w:rsidR="006507C8" w:rsidRPr="009D423B">
        <w:rPr>
          <w:rFonts w:ascii="微软雅黑" w:eastAsia="微软雅黑" w:hAnsi="微软雅黑" w:hint="eastAsia"/>
          <w:szCs w:val="21"/>
        </w:rPr>
        <w:t>较低的</w:t>
      </w:r>
      <w:r w:rsidR="00B61493">
        <w:rPr>
          <w:rFonts w:ascii="微软雅黑" w:eastAsia="微软雅黑" w:hAnsi="微软雅黑" w:hint="eastAsia"/>
          <w:szCs w:val="21"/>
        </w:rPr>
        <w:t>网络</w:t>
      </w:r>
      <w:r w:rsidR="008542B3">
        <w:rPr>
          <w:rFonts w:ascii="微软雅黑" w:eastAsia="微软雅黑" w:hAnsi="微软雅黑" w:hint="eastAsia"/>
          <w:szCs w:val="21"/>
        </w:rPr>
        <w:t>服务类型</w:t>
      </w:r>
      <w:r w:rsidR="006507C8" w:rsidRPr="009D423B">
        <w:rPr>
          <w:rFonts w:ascii="微软雅黑" w:eastAsia="微软雅黑" w:hAnsi="微软雅黑" w:hint="eastAsia"/>
          <w:szCs w:val="21"/>
        </w:rPr>
        <w:t>。</w:t>
      </w:r>
    </w:p>
    <w:p w:rsidR="008B05CF" w:rsidRPr="009D423B" w:rsidRDefault="008B05CF" w:rsidP="006507C8">
      <w:pPr>
        <w:snapToGrid w:val="0"/>
        <w:jc w:val="center"/>
        <w:rPr>
          <w:rFonts w:ascii="微软雅黑" w:eastAsia="微软雅黑" w:hAnsi="微软雅黑"/>
          <w:szCs w:val="21"/>
        </w:rPr>
      </w:pPr>
      <w:r>
        <w:rPr>
          <w:noProof/>
        </w:rPr>
        <w:drawing>
          <wp:inline distT="0" distB="0" distL="0" distR="0">
            <wp:extent cx="4809600" cy="2880000"/>
            <wp:effectExtent l="0" t="0" r="10160" b="15875"/>
            <wp:docPr id="97498" name="图表 97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507C8" w:rsidRPr="009D423B" w:rsidRDefault="00C564F4" w:rsidP="006507C8">
      <w:pPr>
        <w:pStyle w:val="ab"/>
      </w:pPr>
      <w:bookmarkStart w:id="84" w:name="_Toc524418130"/>
      <w:r>
        <w:rPr>
          <w:rFonts w:hint="eastAsia"/>
        </w:rPr>
        <w:t>图3-</w:t>
      </w:r>
      <w:r w:rsidR="008540F1">
        <w:rPr>
          <w:rFonts w:hint="eastAsia"/>
        </w:rPr>
        <w:t>25</w:t>
      </w:r>
      <w:r w:rsidR="008540F1" w:rsidRPr="009D423B">
        <w:t xml:space="preserve">  </w:t>
      </w:r>
      <w:r w:rsidR="0050355B">
        <w:t>2017年</w:t>
      </w:r>
      <w:r w:rsidR="006507C8" w:rsidRPr="009D423B">
        <w:t>陕西省</w:t>
      </w:r>
      <w:r w:rsidR="006507C8" w:rsidRPr="009D423B">
        <w:rPr>
          <w:rFonts w:hint="eastAsia"/>
        </w:rPr>
        <w:t>网民</w:t>
      </w:r>
      <w:r w:rsidR="006507C8" w:rsidRPr="009D423B">
        <w:t>使用新闻资讯服务人均月度访问次数</w:t>
      </w:r>
      <w:bookmarkEnd w:id="84"/>
    </w:p>
    <w:p w:rsidR="00574F26" w:rsidRPr="003E0CE0" w:rsidRDefault="00574F26" w:rsidP="00574F26">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3）网民使用新闻资讯服务人均单日有效浏览时间</w:t>
      </w:r>
    </w:p>
    <w:p w:rsidR="00574F26" w:rsidRPr="003E0CE0" w:rsidRDefault="00574F26" w:rsidP="00574F26">
      <w:pPr>
        <w:snapToGrid w:val="0"/>
        <w:spacing w:line="400" w:lineRule="exact"/>
        <w:ind w:firstLineChars="202" w:firstLine="424"/>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szCs w:val="21"/>
        </w:rPr>
        <w:t>陕西省</w:t>
      </w:r>
      <w:r w:rsidRPr="003E0CE0">
        <w:rPr>
          <w:rFonts w:ascii="微软雅黑" w:eastAsia="微软雅黑" w:hAnsi="微软雅黑"/>
          <w:szCs w:val="21"/>
        </w:rPr>
        <w:t>网民使用新闻资讯服务的人均单日有效浏览时间</w:t>
      </w:r>
      <w:r w:rsidR="00901173">
        <w:rPr>
          <w:rFonts w:ascii="微软雅黑" w:eastAsia="微软雅黑" w:hAnsi="微软雅黑" w:hint="eastAsia"/>
          <w:szCs w:val="21"/>
        </w:rPr>
        <w:t>稳中有升</w:t>
      </w:r>
      <w:r w:rsidRPr="003E0CE0">
        <w:rPr>
          <w:rFonts w:ascii="微软雅黑" w:eastAsia="微软雅黑" w:hAnsi="微软雅黑"/>
          <w:szCs w:val="21"/>
        </w:rPr>
        <w:t>，全年均值为</w:t>
      </w:r>
      <w:r w:rsidR="00901173">
        <w:rPr>
          <w:rFonts w:ascii="微软雅黑" w:eastAsia="微软雅黑" w:hAnsi="微软雅黑" w:hint="eastAsia"/>
          <w:szCs w:val="21"/>
        </w:rPr>
        <w:t>8.8</w:t>
      </w:r>
      <w:r w:rsidR="00FF7D76">
        <w:rPr>
          <w:rFonts w:ascii="微软雅黑" w:eastAsia="微软雅黑" w:hAnsi="微软雅黑"/>
          <w:szCs w:val="21"/>
        </w:rPr>
        <w:t>分钟。这一时间与使用搜索服务的时间较为接近，但与社区交友</w:t>
      </w:r>
      <w:r w:rsidRPr="003E0CE0">
        <w:rPr>
          <w:rFonts w:ascii="微软雅黑" w:eastAsia="微软雅黑" w:hAnsi="微软雅黑"/>
          <w:szCs w:val="21"/>
        </w:rPr>
        <w:t>、电子商务、在线视频等网络服务相比，则存在差距</w:t>
      </w:r>
      <w:r w:rsidR="00901173">
        <w:rPr>
          <w:rFonts w:ascii="微软雅黑" w:eastAsia="微软雅黑" w:hAnsi="微软雅黑" w:hint="eastAsia"/>
          <w:szCs w:val="21"/>
        </w:rPr>
        <w:t>，</w:t>
      </w:r>
      <w:r w:rsidR="00901173">
        <w:rPr>
          <w:rFonts w:ascii="微软雅黑" w:eastAsia="微软雅黑" w:hAnsi="微软雅黑"/>
          <w:szCs w:val="21"/>
        </w:rPr>
        <w:t>这侧面反应网民</w:t>
      </w:r>
      <w:r w:rsidR="00FF7D76">
        <w:rPr>
          <w:rFonts w:ascii="微软雅黑" w:eastAsia="微软雅黑" w:hAnsi="微软雅黑" w:hint="eastAsia"/>
          <w:szCs w:val="21"/>
        </w:rPr>
        <w:t>以</w:t>
      </w:r>
      <w:r w:rsidR="00901173">
        <w:rPr>
          <w:rFonts w:ascii="微软雅黑" w:eastAsia="微软雅黑" w:hAnsi="微软雅黑"/>
          <w:szCs w:val="21"/>
        </w:rPr>
        <w:t>快速浏览新闻居多</w:t>
      </w:r>
      <w:r w:rsidRPr="003E0CE0">
        <w:rPr>
          <w:rFonts w:ascii="微软雅黑" w:eastAsia="微软雅黑" w:hAnsi="微软雅黑"/>
          <w:szCs w:val="21"/>
        </w:rPr>
        <w:t>。全年来看，</w:t>
      </w:r>
      <w:r w:rsidR="00901173">
        <w:rPr>
          <w:rFonts w:ascii="微软雅黑" w:eastAsia="微软雅黑" w:hAnsi="微软雅黑" w:hint="eastAsia"/>
          <w:szCs w:val="21"/>
        </w:rPr>
        <w:t>6</w:t>
      </w:r>
      <w:r w:rsidRPr="003E0CE0">
        <w:rPr>
          <w:rFonts w:ascii="微软雅黑" w:eastAsia="微软雅黑" w:hAnsi="微软雅黑"/>
          <w:szCs w:val="21"/>
        </w:rPr>
        <w:t>月</w:t>
      </w:r>
      <w:r w:rsidR="00901173">
        <w:rPr>
          <w:rFonts w:ascii="微软雅黑" w:eastAsia="微软雅黑" w:hAnsi="微软雅黑" w:hint="eastAsia"/>
          <w:szCs w:val="21"/>
        </w:rPr>
        <w:t>和8月</w:t>
      </w:r>
      <w:r w:rsidRPr="003E0CE0">
        <w:rPr>
          <w:rFonts w:ascii="微软雅黑" w:eastAsia="微软雅黑" w:hAnsi="微软雅黑"/>
          <w:szCs w:val="21"/>
        </w:rPr>
        <w:t>人均单日有效浏览时间最高，达到</w:t>
      </w:r>
      <w:r w:rsidR="00901173">
        <w:rPr>
          <w:rFonts w:ascii="微软雅黑" w:eastAsia="微软雅黑" w:hAnsi="微软雅黑" w:hint="eastAsia"/>
          <w:szCs w:val="21"/>
        </w:rPr>
        <w:t>9.3</w:t>
      </w:r>
      <w:r w:rsidRPr="003E0CE0">
        <w:rPr>
          <w:rFonts w:ascii="微软雅黑" w:eastAsia="微软雅黑" w:hAnsi="微软雅黑"/>
          <w:szCs w:val="21"/>
        </w:rPr>
        <w:t>分钟</w:t>
      </w:r>
      <w:r w:rsidR="00B1149F">
        <w:rPr>
          <w:rFonts w:ascii="微软雅黑" w:eastAsia="微软雅黑" w:hAnsi="微软雅黑" w:hint="eastAsia"/>
          <w:szCs w:val="21"/>
        </w:rPr>
        <w:t>；</w:t>
      </w:r>
      <w:r w:rsidR="00B1149F">
        <w:rPr>
          <w:rFonts w:ascii="微软雅黑" w:eastAsia="微软雅黑" w:hAnsi="微软雅黑"/>
          <w:szCs w:val="21"/>
        </w:rPr>
        <w:t>而</w:t>
      </w:r>
      <w:r w:rsidR="00901173">
        <w:rPr>
          <w:rFonts w:ascii="微软雅黑" w:eastAsia="微软雅黑" w:hAnsi="微软雅黑" w:hint="eastAsia"/>
          <w:szCs w:val="21"/>
        </w:rPr>
        <w:t>1</w:t>
      </w:r>
      <w:r w:rsidRPr="003E0CE0">
        <w:rPr>
          <w:rFonts w:ascii="微软雅黑" w:eastAsia="微软雅黑" w:hAnsi="微软雅黑"/>
          <w:szCs w:val="21"/>
        </w:rPr>
        <w:t>月</w:t>
      </w:r>
      <w:r w:rsidR="00901173">
        <w:rPr>
          <w:rFonts w:ascii="微软雅黑" w:eastAsia="微软雅黑" w:hAnsi="微软雅黑" w:hint="eastAsia"/>
          <w:szCs w:val="21"/>
        </w:rPr>
        <w:t>最低</w:t>
      </w:r>
      <w:r w:rsidRPr="003E0CE0">
        <w:rPr>
          <w:rFonts w:ascii="微软雅黑" w:eastAsia="微软雅黑" w:hAnsi="微软雅黑"/>
          <w:szCs w:val="21"/>
        </w:rPr>
        <w:t>，仅</w:t>
      </w:r>
      <w:r w:rsidR="00901173">
        <w:rPr>
          <w:rFonts w:ascii="微软雅黑" w:eastAsia="微软雅黑" w:hAnsi="微软雅黑" w:hint="eastAsia"/>
          <w:szCs w:val="21"/>
        </w:rPr>
        <w:t>7.5</w:t>
      </w:r>
      <w:r w:rsidRPr="003E0CE0">
        <w:rPr>
          <w:rFonts w:ascii="微软雅黑" w:eastAsia="微软雅黑" w:hAnsi="微软雅黑"/>
          <w:szCs w:val="21"/>
        </w:rPr>
        <w:t>分钟。</w:t>
      </w:r>
    </w:p>
    <w:p w:rsidR="008B05CF" w:rsidRPr="003E0CE0" w:rsidRDefault="008B05CF" w:rsidP="00574F26">
      <w:pPr>
        <w:jc w:val="center"/>
        <w:rPr>
          <w:rFonts w:ascii="微软雅黑" w:eastAsia="微软雅黑" w:hAnsi="微软雅黑"/>
          <w:szCs w:val="21"/>
        </w:rPr>
      </w:pPr>
      <w:r>
        <w:rPr>
          <w:noProof/>
        </w:rPr>
        <w:drawing>
          <wp:inline distT="0" distB="0" distL="0" distR="0">
            <wp:extent cx="4809600" cy="2880000"/>
            <wp:effectExtent l="0" t="0" r="10160" b="15875"/>
            <wp:docPr id="97499" name="图表 97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74F26" w:rsidRPr="003E0CE0" w:rsidRDefault="00C564F4" w:rsidP="00574F26">
      <w:pPr>
        <w:pStyle w:val="ab"/>
      </w:pPr>
      <w:bookmarkStart w:id="85" w:name="_Toc517164679"/>
      <w:bookmarkStart w:id="86" w:name="_Toc517206459"/>
      <w:bookmarkStart w:id="87" w:name="_Toc524418131"/>
      <w:r>
        <w:t>图3-</w:t>
      </w:r>
      <w:r w:rsidR="008540F1">
        <w:rPr>
          <w:rFonts w:hint="eastAsia"/>
        </w:rPr>
        <w:t>26</w:t>
      </w:r>
      <w:r w:rsidR="008540F1" w:rsidRPr="003E0CE0">
        <w:t xml:space="preserve">  </w:t>
      </w:r>
      <w:r w:rsidR="00574F26" w:rsidRPr="003E0CE0">
        <w:t>2017年</w:t>
      </w:r>
      <w:r w:rsidR="00574F26">
        <w:t>陕西省</w:t>
      </w:r>
      <w:r w:rsidR="00574F26" w:rsidRPr="003E0CE0">
        <w:t>网民使用新闻资讯服务人均单日有效浏览时间</w:t>
      </w:r>
      <w:bookmarkEnd w:id="85"/>
      <w:bookmarkEnd w:id="86"/>
      <w:bookmarkEnd w:id="87"/>
    </w:p>
    <w:p w:rsidR="00574F26" w:rsidRPr="003E0CE0" w:rsidRDefault="00574F26" w:rsidP="00574F26">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4）网民使用新闻资讯服务人均单次浏览页面</w:t>
      </w:r>
    </w:p>
    <w:p w:rsidR="00574F26" w:rsidRPr="003E0CE0" w:rsidRDefault="00574F26" w:rsidP="00574F26">
      <w:pPr>
        <w:snapToGrid w:val="0"/>
        <w:spacing w:line="400" w:lineRule="exact"/>
        <w:ind w:firstLineChars="202" w:firstLine="424"/>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szCs w:val="21"/>
        </w:rPr>
        <w:t>陕西省</w:t>
      </w:r>
      <w:r w:rsidRPr="003E0CE0">
        <w:rPr>
          <w:rFonts w:ascii="微软雅黑" w:eastAsia="微软雅黑" w:hAnsi="微软雅黑"/>
          <w:szCs w:val="21"/>
        </w:rPr>
        <w:t>网民人均单次浏览页面数保持在2.</w:t>
      </w:r>
      <w:r w:rsidR="00901173">
        <w:rPr>
          <w:rFonts w:ascii="微软雅黑" w:eastAsia="微软雅黑" w:hAnsi="微软雅黑" w:hint="eastAsia"/>
          <w:szCs w:val="21"/>
        </w:rPr>
        <w:t>6</w:t>
      </w:r>
      <w:r w:rsidRPr="003E0CE0">
        <w:rPr>
          <w:rFonts w:ascii="微软雅黑" w:eastAsia="微软雅黑" w:hAnsi="微软雅黑"/>
          <w:szCs w:val="21"/>
        </w:rPr>
        <w:t>-3.</w:t>
      </w:r>
      <w:r w:rsidR="00901173">
        <w:rPr>
          <w:rFonts w:ascii="微软雅黑" w:eastAsia="微软雅黑" w:hAnsi="微软雅黑" w:hint="eastAsia"/>
          <w:szCs w:val="21"/>
        </w:rPr>
        <w:t>1</w:t>
      </w:r>
      <w:r w:rsidRPr="003E0CE0">
        <w:rPr>
          <w:rFonts w:ascii="微软雅黑" w:eastAsia="微软雅黑" w:hAnsi="微软雅黑"/>
          <w:szCs w:val="21"/>
        </w:rPr>
        <w:t>页之间。从月度趋势来看，2017年上半年人均单次浏览页面数略高于下半年，其中</w:t>
      </w:r>
      <w:r w:rsidR="00901173">
        <w:rPr>
          <w:rFonts w:ascii="微软雅黑" w:eastAsia="微软雅黑" w:hAnsi="微软雅黑" w:hint="eastAsia"/>
          <w:szCs w:val="21"/>
        </w:rPr>
        <w:t>2</w:t>
      </w:r>
      <w:r w:rsidRPr="003E0CE0">
        <w:rPr>
          <w:rFonts w:ascii="微软雅黑" w:eastAsia="微软雅黑" w:hAnsi="微软雅黑"/>
          <w:szCs w:val="21"/>
        </w:rPr>
        <w:t>月份是全年最高值，达到3.</w:t>
      </w:r>
      <w:r w:rsidR="00901173">
        <w:rPr>
          <w:rFonts w:ascii="微软雅黑" w:eastAsia="微软雅黑" w:hAnsi="微软雅黑" w:hint="eastAsia"/>
          <w:szCs w:val="21"/>
        </w:rPr>
        <w:t>1</w:t>
      </w:r>
      <w:r w:rsidRPr="003E0CE0">
        <w:rPr>
          <w:rFonts w:ascii="微软雅黑" w:eastAsia="微软雅黑" w:hAnsi="微软雅黑"/>
          <w:szCs w:val="21"/>
        </w:rPr>
        <w:t>页，12月为最低值，仅2.</w:t>
      </w:r>
      <w:r w:rsidR="00901173">
        <w:rPr>
          <w:rFonts w:ascii="微软雅黑" w:eastAsia="微软雅黑" w:hAnsi="微软雅黑" w:hint="eastAsia"/>
          <w:szCs w:val="21"/>
        </w:rPr>
        <w:t>6</w:t>
      </w:r>
      <w:r w:rsidRPr="003E0CE0">
        <w:rPr>
          <w:rFonts w:ascii="微软雅黑" w:eastAsia="微软雅黑" w:hAnsi="微软雅黑"/>
          <w:szCs w:val="21"/>
        </w:rPr>
        <w:t>页。</w:t>
      </w:r>
    </w:p>
    <w:p w:rsidR="008B05CF" w:rsidRPr="003E0CE0" w:rsidRDefault="008B05CF" w:rsidP="00574F26">
      <w:pPr>
        <w:jc w:val="center"/>
        <w:rPr>
          <w:rFonts w:ascii="微软雅黑" w:eastAsia="微软雅黑" w:hAnsi="微软雅黑"/>
          <w:szCs w:val="21"/>
        </w:rPr>
      </w:pPr>
      <w:r>
        <w:rPr>
          <w:noProof/>
        </w:rPr>
        <w:drawing>
          <wp:inline distT="0" distB="0" distL="0" distR="0">
            <wp:extent cx="4809600" cy="2880000"/>
            <wp:effectExtent l="0" t="0" r="10160" b="15875"/>
            <wp:docPr id="1116" name="图表 1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74F26" w:rsidRPr="003E0CE0" w:rsidRDefault="00C564F4" w:rsidP="00574F26">
      <w:pPr>
        <w:pStyle w:val="ab"/>
      </w:pPr>
      <w:bookmarkStart w:id="88" w:name="_Toc517164680"/>
      <w:bookmarkStart w:id="89" w:name="_Toc517206460"/>
      <w:bookmarkStart w:id="90" w:name="_Toc524418132"/>
      <w:r>
        <w:t>图3-</w:t>
      </w:r>
      <w:r w:rsidR="008540F1">
        <w:rPr>
          <w:rFonts w:hint="eastAsia"/>
        </w:rPr>
        <w:t>27</w:t>
      </w:r>
      <w:r w:rsidR="008540F1" w:rsidRPr="003E0CE0">
        <w:t xml:space="preserve">  </w:t>
      </w:r>
      <w:r w:rsidR="00574F26" w:rsidRPr="003E0CE0">
        <w:t>2017年</w:t>
      </w:r>
      <w:r w:rsidR="00574F26">
        <w:t>陕西省</w:t>
      </w:r>
      <w:r w:rsidR="00574F26" w:rsidRPr="003E0CE0">
        <w:t>网民使用新闻资讯服务人均单次浏览页面</w:t>
      </w:r>
      <w:bookmarkEnd w:id="88"/>
      <w:bookmarkEnd w:id="89"/>
      <w:bookmarkEnd w:id="90"/>
    </w:p>
    <w:p w:rsidR="006507C8" w:rsidRPr="00B20897" w:rsidRDefault="006507C8" w:rsidP="006507C8">
      <w:pPr>
        <w:spacing w:line="400" w:lineRule="exact"/>
        <w:ind w:firstLineChars="200" w:firstLine="420"/>
        <w:outlineLvl w:val="4"/>
        <w:rPr>
          <w:rFonts w:ascii="微软雅黑" w:eastAsia="微软雅黑" w:hAnsi="微软雅黑" w:cs="宋体"/>
          <w:b/>
          <w:bCs/>
          <w:szCs w:val="21"/>
        </w:rPr>
      </w:pPr>
      <w:r w:rsidRPr="00B20897">
        <w:rPr>
          <w:rFonts w:ascii="微软雅黑" w:eastAsia="微软雅黑" w:hAnsi="微软雅黑" w:cs="宋体" w:hint="eastAsia"/>
          <w:b/>
          <w:bCs/>
          <w:szCs w:val="21"/>
        </w:rPr>
        <w:t>（3</w:t>
      </w:r>
      <w:r w:rsidR="00E664AC" w:rsidRPr="00B20897">
        <w:rPr>
          <w:rFonts w:ascii="微软雅黑" w:eastAsia="微软雅黑" w:hAnsi="微软雅黑" w:cs="宋体" w:hint="eastAsia"/>
          <w:b/>
          <w:bCs/>
          <w:szCs w:val="21"/>
        </w:rPr>
        <w:t>）</w:t>
      </w:r>
      <w:r w:rsidRPr="00B20897">
        <w:rPr>
          <w:rFonts w:ascii="微软雅黑" w:eastAsia="微软雅黑" w:hAnsi="微软雅黑" w:cs="宋体" w:hint="eastAsia"/>
          <w:b/>
          <w:bCs/>
          <w:szCs w:val="21"/>
        </w:rPr>
        <w:t>网民使用的主要新闻资讯网站</w:t>
      </w:r>
    </w:p>
    <w:p w:rsidR="005F59D7" w:rsidRDefault="00EA0D3B" w:rsidP="001C3D3F">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从月度覆盖比例来看，2017年12月，在</w:t>
      </w:r>
      <w:r w:rsidRPr="00B20897">
        <w:rPr>
          <w:rFonts w:ascii="微软雅黑" w:eastAsia="微软雅黑" w:hAnsi="微软雅黑" w:hint="eastAsia"/>
          <w:szCs w:val="21"/>
        </w:rPr>
        <w:t>陕西省网民使用的主要新闻资讯网站</w:t>
      </w:r>
      <w:r>
        <w:rPr>
          <w:rFonts w:ascii="微软雅黑" w:eastAsia="微软雅黑" w:hAnsi="微软雅黑" w:hint="eastAsia"/>
          <w:szCs w:val="21"/>
        </w:rPr>
        <w:t>中</w:t>
      </w:r>
      <w:r w:rsidRPr="00B20897">
        <w:rPr>
          <w:rFonts w:ascii="微软雅黑" w:eastAsia="微软雅黑" w:hAnsi="微软雅黑"/>
          <w:szCs w:val="21"/>
        </w:rPr>
        <w:t>，</w:t>
      </w:r>
      <w:r w:rsidRPr="00B20897">
        <w:rPr>
          <w:rFonts w:ascii="微软雅黑" w:eastAsia="微软雅黑" w:hAnsi="微软雅黑" w:hint="eastAsia"/>
          <w:szCs w:val="21"/>
        </w:rPr>
        <w:t>凤凰网、腾讯新闻</w:t>
      </w:r>
      <w:r>
        <w:rPr>
          <w:rFonts w:ascii="微软雅黑" w:eastAsia="微软雅黑" w:hAnsi="微软雅黑" w:hint="eastAsia"/>
          <w:szCs w:val="21"/>
        </w:rPr>
        <w:t>资讯和腾讯地方网站等排在前列</w:t>
      </w:r>
      <w:r w:rsidRPr="00B20897">
        <w:rPr>
          <w:rFonts w:ascii="微软雅黑" w:eastAsia="微软雅黑" w:hAnsi="微软雅黑" w:hint="eastAsia"/>
          <w:szCs w:val="21"/>
        </w:rPr>
        <w:t>，而</w:t>
      </w:r>
      <w:r w:rsidRPr="00B20897">
        <w:rPr>
          <w:rFonts w:ascii="微软雅黑" w:eastAsia="微软雅黑" w:hAnsi="微软雅黑"/>
          <w:szCs w:val="21"/>
        </w:rPr>
        <w:t>新浪</w:t>
      </w:r>
      <w:r w:rsidRPr="00B20897">
        <w:rPr>
          <w:rFonts w:ascii="微软雅黑" w:eastAsia="微软雅黑" w:hAnsi="微软雅黑" w:hint="eastAsia"/>
          <w:szCs w:val="21"/>
        </w:rPr>
        <w:t>、</w:t>
      </w:r>
      <w:r w:rsidRPr="00B20897">
        <w:rPr>
          <w:rFonts w:ascii="微软雅黑" w:eastAsia="微软雅黑" w:hAnsi="微软雅黑"/>
          <w:szCs w:val="21"/>
        </w:rPr>
        <w:t>网易等传统门户网站</w:t>
      </w:r>
      <w:r>
        <w:rPr>
          <w:rFonts w:ascii="微软雅黑" w:eastAsia="微软雅黑" w:hAnsi="微软雅黑"/>
          <w:szCs w:val="21"/>
        </w:rPr>
        <w:t>排名</w:t>
      </w:r>
      <w:r w:rsidRPr="00B20897">
        <w:rPr>
          <w:rFonts w:ascii="微软雅黑" w:eastAsia="微软雅黑" w:hAnsi="微软雅黑"/>
          <w:szCs w:val="21"/>
        </w:rPr>
        <w:t>则相对靠后</w:t>
      </w:r>
      <w:r w:rsidRPr="00B20897">
        <w:rPr>
          <w:rFonts w:ascii="微软雅黑" w:eastAsia="微软雅黑" w:hAnsi="微软雅黑" w:hint="eastAsia"/>
          <w:szCs w:val="21"/>
        </w:rPr>
        <w:t>。</w:t>
      </w:r>
      <w:r w:rsidR="005F59D7">
        <w:rPr>
          <w:rFonts w:ascii="微软雅黑" w:eastAsia="微软雅黑" w:hAnsi="微软雅黑" w:hint="eastAsia"/>
          <w:szCs w:val="21"/>
        </w:rPr>
        <w:t>由于</w:t>
      </w:r>
      <w:r w:rsidR="009723D9">
        <w:rPr>
          <w:rFonts w:ascii="微软雅黑" w:eastAsia="微软雅黑" w:hAnsi="微软雅黑" w:hint="eastAsia"/>
          <w:szCs w:val="21"/>
        </w:rPr>
        <w:t>凤凰网</w:t>
      </w:r>
      <w:r w:rsidR="008540F1">
        <w:rPr>
          <w:rFonts w:ascii="微软雅黑" w:eastAsia="微软雅黑" w:hAnsi="微软雅黑" w:hint="eastAsia"/>
          <w:szCs w:val="21"/>
        </w:rPr>
        <w:t>、</w:t>
      </w:r>
      <w:r w:rsidR="009723D9">
        <w:rPr>
          <w:rFonts w:ascii="微软雅黑" w:eastAsia="微软雅黑" w:hAnsi="微软雅黑" w:hint="eastAsia"/>
          <w:szCs w:val="21"/>
        </w:rPr>
        <w:t>腾讯等知名的新闻资讯网站在全国范围内拥有较大的用户基数，</w:t>
      </w:r>
      <w:r w:rsidR="005F59D7">
        <w:rPr>
          <w:rFonts w:ascii="微软雅黑" w:eastAsia="微软雅黑" w:hAnsi="微软雅黑" w:hint="eastAsia"/>
          <w:szCs w:val="21"/>
        </w:rPr>
        <w:t>使得</w:t>
      </w:r>
      <w:r w:rsidR="009723D9">
        <w:rPr>
          <w:rFonts w:ascii="微软雅黑" w:eastAsia="微软雅黑" w:hAnsi="微软雅黑" w:hint="eastAsia"/>
          <w:szCs w:val="21"/>
        </w:rPr>
        <w:t>这些网站</w:t>
      </w:r>
      <w:r w:rsidR="00A75CDE">
        <w:rPr>
          <w:rFonts w:ascii="微软雅黑" w:eastAsia="微软雅黑" w:hAnsi="微软雅黑" w:hint="eastAsia"/>
          <w:szCs w:val="21"/>
        </w:rPr>
        <w:t>一般</w:t>
      </w:r>
      <w:r w:rsidR="009723D9">
        <w:rPr>
          <w:rFonts w:ascii="微软雅黑" w:eastAsia="微软雅黑" w:hAnsi="微软雅黑" w:hint="eastAsia"/>
          <w:szCs w:val="21"/>
        </w:rPr>
        <w:t>在各省的覆盖人群</w:t>
      </w:r>
      <w:r w:rsidR="00A75CDE">
        <w:rPr>
          <w:rFonts w:ascii="微软雅黑" w:eastAsia="微软雅黑" w:hAnsi="微软雅黑" w:hint="eastAsia"/>
          <w:szCs w:val="21"/>
        </w:rPr>
        <w:t>比例也普遍</w:t>
      </w:r>
      <w:r w:rsidR="009723D9">
        <w:rPr>
          <w:rFonts w:ascii="微软雅黑" w:eastAsia="微软雅黑" w:hAnsi="微软雅黑" w:hint="eastAsia"/>
          <w:szCs w:val="21"/>
        </w:rPr>
        <w:t>较高。</w:t>
      </w:r>
      <w:r w:rsidR="00A75CDE">
        <w:rPr>
          <w:rFonts w:ascii="微软雅黑" w:eastAsia="微软雅黑" w:hAnsi="微软雅黑" w:hint="eastAsia"/>
          <w:szCs w:val="21"/>
        </w:rPr>
        <w:t>而从特定网站的具体人群构成角度来看，</w:t>
      </w:r>
      <w:r w:rsidR="005F59D7">
        <w:rPr>
          <w:rFonts w:ascii="微软雅黑" w:eastAsia="微软雅黑" w:hAnsi="微软雅黑" w:hint="eastAsia"/>
          <w:szCs w:val="21"/>
        </w:rPr>
        <w:t>荣耀</w:t>
      </w:r>
      <w:r w:rsidR="009256EB">
        <w:rPr>
          <w:rFonts w:ascii="微软雅黑" w:eastAsia="微软雅黑" w:hAnsi="微软雅黑" w:hint="eastAsia"/>
          <w:szCs w:val="21"/>
        </w:rPr>
        <w:t>西安、西部网、华商网</w:t>
      </w:r>
      <w:r w:rsidR="00A75CDE">
        <w:rPr>
          <w:rFonts w:ascii="微软雅黑" w:eastAsia="微软雅黑" w:hAnsi="微软雅黑" w:hint="eastAsia"/>
          <w:szCs w:val="21"/>
        </w:rPr>
        <w:t>、陕西传媒网</w:t>
      </w:r>
      <w:r w:rsidR="009256EB">
        <w:rPr>
          <w:rFonts w:ascii="微软雅黑" w:eastAsia="微软雅黑" w:hAnsi="微软雅黑" w:hint="eastAsia"/>
          <w:szCs w:val="21"/>
        </w:rPr>
        <w:t>等</w:t>
      </w:r>
      <w:r w:rsidR="001F7A0D">
        <w:rPr>
          <w:rFonts w:ascii="微软雅黑" w:eastAsia="微软雅黑" w:hAnsi="微软雅黑" w:hint="eastAsia"/>
          <w:szCs w:val="21"/>
        </w:rPr>
        <w:t>新闻资讯网站</w:t>
      </w:r>
      <w:r w:rsidR="00A75CDE">
        <w:rPr>
          <w:rFonts w:ascii="微软雅黑" w:eastAsia="微软雅黑" w:hAnsi="微软雅黑" w:hint="eastAsia"/>
          <w:szCs w:val="21"/>
        </w:rPr>
        <w:t>中的陕西用户</w:t>
      </w:r>
      <w:r w:rsidR="00EF4F82">
        <w:rPr>
          <w:rFonts w:ascii="微软雅黑" w:eastAsia="微软雅黑" w:hAnsi="微软雅黑" w:hint="eastAsia"/>
          <w:szCs w:val="21"/>
        </w:rPr>
        <w:t>占比则</w:t>
      </w:r>
      <w:r w:rsidR="00A75CDE">
        <w:rPr>
          <w:rFonts w:ascii="微软雅黑" w:eastAsia="微软雅黑" w:hAnsi="微软雅黑" w:hint="eastAsia"/>
          <w:szCs w:val="21"/>
        </w:rPr>
        <w:t>相对</w:t>
      </w:r>
      <w:r w:rsidR="00EF4F82">
        <w:rPr>
          <w:rFonts w:ascii="微软雅黑" w:eastAsia="微软雅黑" w:hAnsi="微软雅黑" w:hint="eastAsia"/>
          <w:szCs w:val="21"/>
        </w:rPr>
        <w:t>更高</w:t>
      </w:r>
      <w:r w:rsidR="005F59D7">
        <w:rPr>
          <w:rFonts w:ascii="微软雅黑" w:eastAsia="微软雅黑" w:hAnsi="微软雅黑" w:hint="eastAsia"/>
          <w:szCs w:val="21"/>
        </w:rPr>
        <w:t>，尤其是荣耀西安网站，陕西省用户占到其全部用户的85.4%</w:t>
      </w:r>
      <w:r>
        <w:rPr>
          <w:rFonts w:ascii="微软雅黑" w:eastAsia="微软雅黑" w:hAnsi="微软雅黑" w:hint="eastAsia"/>
          <w:szCs w:val="21"/>
        </w:rPr>
        <w:t>。这一方面表明了这些网站拥有相对更多的</w:t>
      </w:r>
      <w:r w:rsidR="005F59D7">
        <w:rPr>
          <w:rFonts w:ascii="微软雅黑" w:eastAsia="微软雅黑" w:hAnsi="微软雅黑" w:hint="eastAsia"/>
          <w:szCs w:val="21"/>
        </w:rPr>
        <w:t>陕西省用户</w:t>
      </w:r>
      <w:r>
        <w:rPr>
          <w:rFonts w:ascii="微软雅黑" w:eastAsia="微软雅黑" w:hAnsi="微软雅黑" w:hint="eastAsia"/>
          <w:szCs w:val="21"/>
        </w:rPr>
        <w:t>，同时</w:t>
      </w:r>
      <w:r w:rsidR="005F59D7">
        <w:rPr>
          <w:rFonts w:ascii="微软雅黑" w:eastAsia="微软雅黑" w:hAnsi="微软雅黑" w:hint="eastAsia"/>
          <w:szCs w:val="21"/>
        </w:rPr>
        <w:t>也反映出陕西省网民对这些新闻资讯网站具有更高的使用倾向。</w:t>
      </w:r>
    </w:p>
    <w:p w:rsidR="005F59D7" w:rsidRPr="009D423B" w:rsidRDefault="005F59D7" w:rsidP="006507C8">
      <w:pPr>
        <w:jc w:val="center"/>
        <w:rPr>
          <w:rFonts w:ascii="微软雅黑" w:eastAsia="微软雅黑" w:hAnsi="微软雅黑"/>
          <w:noProof/>
          <w:szCs w:val="21"/>
        </w:rPr>
      </w:pPr>
      <w:r>
        <w:rPr>
          <w:noProof/>
        </w:rPr>
        <w:drawing>
          <wp:inline distT="0" distB="0" distL="0" distR="0">
            <wp:extent cx="4798800" cy="2880000"/>
            <wp:effectExtent l="0" t="0" r="20955" b="15875"/>
            <wp:docPr id="97525" name="图表 97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97828" w:rsidRDefault="00C564F4" w:rsidP="001C3D3F">
      <w:pPr>
        <w:pStyle w:val="ab"/>
      </w:pPr>
      <w:bookmarkStart w:id="91" w:name="_Toc524418133"/>
      <w:r>
        <w:rPr>
          <w:rFonts w:hint="eastAsia"/>
        </w:rPr>
        <w:t>图3-</w:t>
      </w:r>
      <w:r w:rsidR="008540F1">
        <w:rPr>
          <w:rFonts w:hint="eastAsia"/>
        </w:rPr>
        <w:t>28</w:t>
      </w:r>
      <w:r w:rsidR="008540F1" w:rsidRPr="009D423B">
        <w:t xml:space="preserve">  </w:t>
      </w:r>
      <w:r w:rsidR="0050355B">
        <w:t>2017年</w:t>
      </w:r>
      <w:r w:rsidR="006507C8" w:rsidRPr="009D423B">
        <w:rPr>
          <w:rFonts w:hint="eastAsia"/>
        </w:rPr>
        <w:t>12</w:t>
      </w:r>
      <w:r w:rsidR="006507C8" w:rsidRPr="009D423B">
        <w:t>月</w:t>
      </w:r>
      <w:r w:rsidR="006507C8" w:rsidRPr="009D423B">
        <w:rPr>
          <w:rFonts w:hint="eastAsia"/>
        </w:rPr>
        <w:t>陕西</w:t>
      </w:r>
      <w:r w:rsidR="006507C8" w:rsidRPr="009D423B">
        <w:t>省网民使用的主要新闻资讯网站</w:t>
      </w:r>
      <w:bookmarkEnd w:id="91"/>
    </w:p>
    <w:p w:rsidR="006507C8" w:rsidRPr="009D423B" w:rsidRDefault="006507C8" w:rsidP="006507C8">
      <w:pPr>
        <w:spacing w:line="400" w:lineRule="exact"/>
        <w:outlineLvl w:val="3"/>
        <w:rPr>
          <w:rFonts w:ascii="微软雅黑" w:eastAsia="微软雅黑" w:hAnsi="微软雅黑"/>
          <w:b/>
        </w:rPr>
      </w:pPr>
      <w:bookmarkStart w:id="92" w:name="_Toc524417987"/>
      <w:r w:rsidRPr="009D423B">
        <w:rPr>
          <w:rFonts w:ascii="微软雅黑" w:eastAsia="微软雅黑" w:hAnsi="微软雅黑" w:hint="eastAsia"/>
          <w:b/>
        </w:rPr>
        <w:t>4.</w:t>
      </w:r>
      <w:r w:rsidR="00714508">
        <w:rPr>
          <w:rFonts w:ascii="微软雅黑" w:eastAsia="微软雅黑" w:hAnsi="微软雅黑" w:hint="eastAsia"/>
          <w:b/>
        </w:rPr>
        <w:t>PC端</w:t>
      </w:r>
      <w:r w:rsidRPr="009D423B">
        <w:rPr>
          <w:rFonts w:ascii="微软雅黑" w:eastAsia="微软雅黑" w:hAnsi="微软雅黑" w:hint="eastAsia"/>
          <w:b/>
        </w:rPr>
        <w:t>网民使用社区交友服务情况</w:t>
      </w:r>
      <w:bookmarkEnd w:id="92"/>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（1）</w:t>
      </w:r>
      <w:r w:rsidR="00FE440C" w:rsidRPr="009D423B">
        <w:rPr>
          <w:rFonts w:ascii="微软雅黑" w:eastAsia="微软雅黑" w:hAnsi="微软雅黑" w:cs="宋体" w:hint="eastAsia"/>
          <w:b/>
          <w:bCs/>
          <w:szCs w:val="21"/>
        </w:rPr>
        <w:t>使用</w:t>
      </w:r>
      <w:r w:rsidR="00FE440C">
        <w:rPr>
          <w:rFonts w:ascii="微软雅黑" w:eastAsia="微软雅黑" w:hAnsi="微软雅黑" w:cs="宋体" w:hint="eastAsia"/>
          <w:b/>
          <w:bCs/>
          <w:szCs w:val="21"/>
        </w:rPr>
        <w:t>社区交友</w:t>
      </w:r>
      <w:r w:rsidR="00FE440C" w:rsidRPr="009D423B">
        <w:rPr>
          <w:rFonts w:ascii="微软雅黑" w:eastAsia="微软雅黑" w:hAnsi="微软雅黑" w:cs="宋体" w:hint="eastAsia"/>
          <w:b/>
          <w:bCs/>
          <w:szCs w:val="21"/>
        </w:rPr>
        <w:t>服务网民</w:t>
      </w:r>
      <w:r w:rsidR="00FE440C">
        <w:rPr>
          <w:rFonts w:ascii="微软雅黑" w:eastAsia="微软雅黑" w:hAnsi="微软雅黑" w:cs="宋体" w:hint="eastAsia"/>
          <w:b/>
          <w:bCs/>
          <w:szCs w:val="21"/>
        </w:rPr>
        <w:t>月度覆盖比例</w:t>
      </w:r>
    </w:p>
    <w:p w:rsidR="004D682E" w:rsidRDefault="00F92C66" w:rsidP="004D682E">
      <w:pPr>
        <w:spacing w:line="400" w:lineRule="exact"/>
        <w:ind w:firstLineChars="200" w:firstLine="420"/>
        <w:rPr>
          <w:rFonts w:ascii="微软雅黑" w:eastAsia="微软雅黑" w:hAnsi="微软雅黑"/>
          <w:szCs w:val="21"/>
        </w:rPr>
      </w:pPr>
      <w:r w:rsidRPr="009D423B">
        <w:rPr>
          <w:rFonts w:ascii="微软雅黑" w:eastAsia="微软雅黑" w:hAnsi="微软雅黑" w:hint="eastAsia"/>
          <w:szCs w:val="21"/>
        </w:rPr>
        <w:t>社区交友服务是</w:t>
      </w:r>
      <w:r>
        <w:rPr>
          <w:rFonts w:ascii="微软雅黑" w:eastAsia="微软雅黑" w:hAnsi="微软雅黑" w:hint="eastAsia"/>
          <w:szCs w:val="21"/>
        </w:rPr>
        <w:t>广大</w:t>
      </w:r>
      <w:r w:rsidRPr="009D423B">
        <w:rPr>
          <w:rFonts w:ascii="微软雅黑" w:eastAsia="微软雅黑" w:hAnsi="微软雅黑" w:hint="eastAsia"/>
          <w:szCs w:val="21"/>
        </w:rPr>
        <w:t>网民</w:t>
      </w:r>
      <w:r>
        <w:rPr>
          <w:rFonts w:ascii="微软雅黑" w:eastAsia="微软雅黑" w:hAnsi="微软雅黑" w:hint="eastAsia"/>
          <w:szCs w:val="21"/>
        </w:rPr>
        <w:t>比较</w:t>
      </w:r>
      <w:r w:rsidRPr="009D423B">
        <w:rPr>
          <w:rFonts w:ascii="微软雅黑" w:eastAsia="微软雅黑" w:hAnsi="微软雅黑" w:hint="eastAsia"/>
          <w:szCs w:val="21"/>
        </w:rPr>
        <w:t>青睐的网络服务之一，</w:t>
      </w:r>
      <w:r>
        <w:rPr>
          <w:rFonts w:ascii="微软雅黑" w:eastAsia="微软雅黑" w:hAnsi="微软雅黑" w:hint="eastAsia"/>
          <w:szCs w:val="21"/>
        </w:rPr>
        <w:t>但近年来由于</w:t>
      </w:r>
      <w:r w:rsidRPr="009D423B">
        <w:rPr>
          <w:rFonts w:ascii="微软雅黑" w:eastAsia="微软雅黑" w:hAnsi="微软雅黑" w:hint="eastAsia"/>
          <w:szCs w:val="21"/>
        </w:rPr>
        <w:t>移动互联网</w:t>
      </w:r>
      <w:r>
        <w:rPr>
          <w:rFonts w:ascii="微软雅黑" w:eastAsia="微软雅黑" w:hAnsi="微软雅黑" w:hint="eastAsia"/>
          <w:szCs w:val="21"/>
        </w:rPr>
        <w:t>的快速发展</w:t>
      </w:r>
      <w:r w:rsidRPr="009D423B">
        <w:rPr>
          <w:rFonts w:ascii="微软雅黑" w:eastAsia="微软雅黑" w:hAnsi="微软雅黑" w:hint="eastAsia"/>
          <w:szCs w:val="21"/>
        </w:rPr>
        <w:t>，</w:t>
      </w:r>
      <w:r>
        <w:rPr>
          <w:rFonts w:ascii="微软雅黑" w:eastAsia="微软雅黑" w:hAnsi="微软雅黑" w:hint="eastAsia"/>
          <w:szCs w:val="21"/>
        </w:rPr>
        <w:t>PC端</w:t>
      </w:r>
      <w:r w:rsidRPr="009D423B">
        <w:rPr>
          <w:rFonts w:ascii="微软雅黑" w:eastAsia="微软雅黑" w:hAnsi="微软雅黑" w:hint="eastAsia"/>
          <w:szCs w:val="21"/>
        </w:rPr>
        <w:t>用户</w:t>
      </w:r>
      <w:r>
        <w:rPr>
          <w:rFonts w:ascii="微软雅黑" w:eastAsia="微软雅黑" w:hAnsi="微软雅黑" w:hint="eastAsia"/>
          <w:szCs w:val="21"/>
        </w:rPr>
        <w:t>也呈现出</w:t>
      </w:r>
      <w:r w:rsidRPr="009D423B">
        <w:rPr>
          <w:rFonts w:ascii="微软雅黑" w:eastAsia="微软雅黑" w:hAnsi="微软雅黑" w:hint="eastAsia"/>
          <w:szCs w:val="21"/>
        </w:rPr>
        <w:t>向移动端迁移</w:t>
      </w:r>
      <w:r>
        <w:rPr>
          <w:rFonts w:ascii="微软雅黑" w:eastAsia="微软雅黑" w:hAnsi="微软雅黑" w:hint="eastAsia"/>
          <w:szCs w:val="21"/>
        </w:rPr>
        <w:t>趋势</w:t>
      </w:r>
      <w:r w:rsidRPr="009D423B">
        <w:rPr>
          <w:rFonts w:ascii="微软雅黑" w:eastAsia="微软雅黑" w:hAnsi="微软雅黑" w:hint="eastAsia"/>
          <w:szCs w:val="21"/>
        </w:rPr>
        <w:t>。</w:t>
      </w:r>
      <w:r w:rsidR="0050355B">
        <w:rPr>
          <w:rFonts w:ascii="微软雅黑" w:eastAsia="微软雅黑" w:hAnsi="微软雅黑" w:hint="eastAsia"/>
          <w:szCs w:val="21"/>
        </w:rPr>
        <w:t>2017年</w:t>
      </w:r>
      <w:r w:rsidR="006507C8" w:rsidRPr="009D423B">
        <w:rPr>
          <w:rFonts w:ascii="微软雅黑" w:eastAsia="微软雅黑" w:hAnsi="微软雅黑" w:hint="eastAsia"/>
          <w:szCs w:val="21"/>
        </w:rPr>
        <w:t>，</w:t>
      </w:r>
      <w:r w:rsidR="006507C8" w:rsidRPr="009D423B">
        <w:rPr>
          <w:rFonts w:ascii="微软雅黑" w:eastAsia="微软雅黑" w:hAnsi="微软雅黑"/>
          <w:szCs w:val="21"/>
        </w:rPr>
        <w:t>陕西省使用社区交友服务</w:t>
      </w:r>
      <w:r w:rsidR="004D682E">
        <w:rPr>
          <w:rFonts w:ascii="微软雅黑" w:eastAsia="微软雅黑" w:hAnsi="微软雅黑"/>
          <w:szCs w:val="21"/>
        </w:rPr>
        <w:t>的</w:t>
      </w:r>
      <w:r w:rsidR="006507C8" w:rsidRPr="009D423B">
        <w:rPr>
          <w:rFonts w:ascii="微软雅黑" w:eastAsia="微软雅黑" w:hAnsi="微软雅黑"/>
          <w:szCs w:val="21"/>
        </w:rPr>
        <w:t>网民月度</w:t>
      </w:r>
      <w:r w:rsidR="00BE189A">
        <w:rPr>
          <w:rFonts w:ascii="微软雅黑" w:eastAsia="微软雅黑" w:hAnsi="微软雅黑" w:hint="eastAsia"/>
          <w:szCs w:val="21"/>
        </w:rPr>
        <w:t>覆盖比例整体</w:t>
      </w:r>
      <w:r w:rsidR="004D682E">
        <w:rPr>
          <w:rFonts w:ascii="微软雅黑" w:eastAsia="微软雅黑" w:hAnsi="微软雅黑" w:hint="eastAsia"/>
          <w:szCs w:val="21"/>
        </w:rPr>
        <w:t>保持</w:t>
      </w:r>
      <w:r w:rsidR="00BE189A">
        <w:rPr>
          <w:rFonts w:ascii="微软雅黑" w:eastAsia="微软雅黑" w:hAnsi="微软雅黑" w:hint="eastAsia"/>
          <w:szCs w:val="21"/>
        </w:rPr>
        <w:t>平稳</w:t>
      </w:r>
      <w:r w:rsidR="006507C8" w:rsidRPr="009D423B">
        <w:rPr>
          <w:rFonts w:ascii="微软雅黑" w:eastAsia="微软雅黑" w:hAnsi="微软雅黑"/>
          <w:szCs w:val="21"/>
        </w:rPr>
        <w:t>，</w:t>
      </w:r>
      <w:r w:rsidR="00BE189A">
        <w:rPr>
          <w:rFonts w:ascii="微软雅黑" w:eastAsia="微软雅黑" w:hAnsi="微软雅黑"/>
          <w:szCs w:val="21"/>
        </w:rPr>
        <w:t>全年</w:t>
      </w:r>
      <w:r w:rsidR="00C23761">
        <w:rPr>
          <w:rFonts w:ascii="微软雅黑" w:eastAsia="微软雅黑" w:hAnsi="微软雅黑" w:hint="eastAsia"/>
          <w:szCs w:val="21"/>
        </w:rPr>
        <w:t>月度覆盖比例</w:t>
      </w:r>
      <w:r w:rsidR="00BE189A">
        <w:rPr>
          <w:rFonts w:ascii="微软雅黑" w:eastAsia="微软雅黑" w:hAnsi="微软雅黑"/>
          <w:szCs w:val="21"/>
        </w:rPr>
        <w:t>均值达到</w:t>
      </w:r>
      <w:r w:rsidR="00BE189A">
        <w:rPr>
          <w:rFonts w:ascii="微软雅黑" w:eastAsia="微软雅黑" w:hAnsi="微软雅黑" w:hint="eastAsia"/>
          <w:szCs w:val="21"/>
        </w:rPr>
        <w:t>80.2%</w:t>
      </w:r>
      <w:r w:rsidR="004D682E">
        <w:rPr>
          <w:rFonts w:ascii="微软雅黑" w:eastAsia="微软雅黑" w:hAnsi="微软雅黑" w:hint="eastAsia"/>
          <w:szCs w:val="21"/>
        </w:rPr>
        <w:t>，仍然属于渗透率较高的网络服务类型。</w:t>
      </w:r>
    </w:p>
    <w:p w:rsidR="008B05CF" w:rsidRPr="009D423B" w:rsidRDefault="008B05CF" w:rsidP="006507C8">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97505" name="图表 97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507C8" w:rsidRDefault="00C564F4" w:rsidP="006507C8">
      <w:pPr>
        <w:pStyle w:val="ab"/>
      </w:pPr>
      <w:bookmarkStart w:id="93" w:name="_Toc524418134"/>
      <w:r>
        <w:t>图3-</w:t>
      </w:r>
      <w:r w:rsidR="001C3D3F">
        <w:rPr>
          <w:rFonts w:hint="eastAsia"/>
        </w:rPr>
        <w:t>29</w:t>
      </w:r>
      <w:r w:rsidR="001C3D3F" w:rsidRPr="009D423B">
        <w:t xml:space="preserve">  </w:t>
      </w:r>
      <w:r w:rsidR="0050355B">
        <w:t>2017年</w:t>
      </w:r>
      <w:r w:rsidR="006507C8" w:rsidRPr="009D423B">
        <w:t>陕西省</w:t>
      </w:r>
      <w:r w:rsidR="006507C8" w:rsidRPr="009D423B">
        <w:rPr>
          <w:rFonts w:hint="eastAsia"/>
        </w:rPr>
        <w:t>网民</w:t>
      </w:r>
      <w:r w:rsidR="006507C8" w:rsidRPr="009D423B">
        <w:t>使用社区交友服务</w:t>
      </w:r>
      <w:r w:rsidR="006507C8" w:rsidRPr="009D423B">
        <w:rPr>
          <w:rFonts w:hint="eastAsia"/>
        </w:rPr>
        <w:t>月度覆盖人数</w:t>
      </w:r>
      <w:bookmarkEnd w:id="93"/>
    </w:p>
    <w:p w:rsidR="00714508" w:rsidRPr="00714508" w:rsidRDefault="00714508" w:rsidP="00EF56C6"/>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（2</w:t>
      </w:r>
      <w:r w:rsidR="00E664AC">
        <w:rPr>
          <w:rFonts w:ascii="微软雅黑" w:eastAsia="微软雅黑" w:hAnsi="微软雅黑" w:cs="宋体" w:hint="eastAsia"/>
          <w:b/>
          <w:bCs/>
          <w:szCs w:val="21"/>
        </w:rPr>
        <w:t>）</w:t>
      </w:r>
      <w:r w:rsidRPr="009D423B">
        <w:rPr>
          <w:rFonts w:ascii="微软雅黑" w:eastAsia="微软雅黑" w:hAnsi="微软雅黑" w:cs="宋体" w:hint="eastAsia"/>
          <w:b/>
          <w:bCs/>
          <w:szCs w:val="21"/>
        </w:rPr>
        <w:t>网民使用社区交友服务的粘性</w:t>
      </w:r>
    </w:p>
    <w:p w:rsidR="006507C8" w:rsidRPr="0081005D" w:rsidRDefault="006507C8" w:rsidP="0081005D">
      <w:pPr>
        <w:widowControl/>
        <w:spacing w:line="400" w:lineRule="exact"/>
        <w:ind w:firstLineChars="200" w:firstLine="420"/>
        <w:jc w:val="left"/>
        <w:rPr>
          <w:rFonts w:ascii="微软雅黑" w:eastAsia="微软雅黑" w:hAnsi="微软雅黑"/>
          <w:b/>
          <w:szCs w:val="21"/>
        </w:rPr>
      </w:pPr>
      <w:r w:rsidRPr="0081005D">
        <w:rPr>
          <w:rFonts w:ascii="微软雅黑" w:eastAsia="微软雅黑" w:hAnsi="微软雅黑"/>
          <w:b/>
          <w:szCs w:val="21"/>
        </w:rPr>
        <w:t>1</w:t>
      </w:r>
      <w:r w:rsidR="00E664AC">
        <w:rPr>
          <w:rFonts w:ascii="微软雅黑" w:eastAsia="微软雅黑" w:hAnsi="微软雅黑"/>
          <w:b/>
          <w:szCs w:val="21"/>
        </w:rPr>
        <w:t>）</w:t>
      </w:r>
      <w:r w:rsidRPr="0081005D">
        <w:rPr>
          <w:rFonts w:ascii="微软雅黑" w:eastAsia="微软雅黑" w:hAnsi="微软雅黑"/>
          <w:b/>
          <w:szCs w:val="21"/>
        </w:rPr>
        <w:t>网民使用社区交友服务人均月度访问天数</w:t>
      </w:r>
    </w:p>
    <w:p w:rsidR="006507C8" w:rsidRPr="009D423B" w:rsidRDefault="0050355B" w:rsidP="00DF7F28">
      <w:pPr>
        <w:snapToGrid w:val="0"/>
        <w:spacing w:line="400" w:lineRule="exact"/>
        <w:ind w:firstLineChars="202" w:firstLine="424"/>
        <w:rPr>
          <w:rFonts w:ascii="微软雅黑" w:eastAsia="微软雅黑" w:hAnsi="微软雅黑"/>
          <w:noProof/>
          <w:szCs w:val="21"/>
        </w:rPr>
      </w:pPr>
      <w:r>
        <w:rPr>
          <w:rFonts w:ascii="微软雅黑" w:eastAsia="微软雅黑" w:hAnsi="微软雅黑"/>
          <w:szCs w:val="21"/>
        </w:rPr>
        <w:t>2017年</w:t>
      </w:r>
      <w:r w:rsidR="006507C8" w:rsidRPr="009D423B">
        <w:rPr>
          <w:rFonts w:ascii="微软雅黑" w:eastAsia="微软雅黑" w:hAnsi="微软雅黑"/>
          <w:szCs w:val="21"/>
        </w:rPr>
        <w:t>，陕西省网民使用社区交友服务人均月度访问天数为</w:t>
      </w:r>
      <w:r w:rsidR="00A926C2">
        <w:rPr>
          <w:rFonts w:ascii="微软雅黑" w:eastAsia="微软雅黑" w:hAnsi="微软雅黑" w:hint="eastAsia"/>
          <w:szCs w:val="21"/>
        </w:rPr>
        <w:t>5.9</w:t>
      </w:r>
      <w:r w:rsidR="006507C8" w:rsidRPr="009D423B">
        <w:rPr>
          <w:rFonts w:ascii="微软雅黑" w:eastAsia="微软雅黑" w:hAnsi="微软雅黑"/>
          <w:szCs w:val="21"/>
        </w:rPr>
        <w:t>天，</w:t>
      </w:r>
      <w:r w:rsidR="00D865A2">
        <w:rPr>
          <w:rFonts w:ascii="微软雅黑" w:eastAsia="微软雅黑" w:hAnsi="微软雅黑" w:hint="eastAsia"/>
          <w:szCs w:val="21"/>
        </w:rPr>
        <w:t>与</w:t>
      </w:r>
      <w:r w:rsidR="00D865A2" w:rsidRPr="009D423B">
        <w:rPr>
          <w:rFonts w:ascii="微软雅黑" w:eastAsia="微软雅黑" w:hAnsi="微软雅黑" w:hint="eastAsia"/>
          <w:szCs w:val="21"/>
        </w:rPr>
        <w:t>201</w:t>
      </w:r>
      <w:r w:rsidR="00D865A2">
        <w:rPr>
          <w:rFonts w:ascii="微软雅黑" w:eastAsia="微软雅黑" w:hAnsi="微软雅黑" w:hint="eastAsia"/>
          <w:szCs w:val="21"/>
        </w:rPr>
        <w:t>6</w:t>
      </w:r>
      <w:r w:rsidR="006507C8" w:rsidRPr="009D423B">
        <w:rPr>
          <w:rFonts w:ascii="微软雅黑" w:eastAsia="微软雅黑" w:hAnsi="微软雅黑" w:hint="eastAsia"/>
          <w:szCs w:val="21"/>
        </w:rPr>
        <w:t>年</w:t>
      </w:r>
      <w:r w:rsidR="00D865A2">
        <w:rPr>
          <w:rFonts w:ascii="微软雅黑" w:eastAsia="微软雅黑" w:hAnsi="微软雅黑" w:hint="eastAsia"/>
          <w:szCs w:val="21"/>
        </w:rPr>
        <w:t>相比下降了</w:t>
      </w:r>
      <w:r w:rsidR="00FF49CB">
        <w:rPr>
          <w:rFonts w:ascii="微软雅黑" w:eastAsia="微软雅黑" w:hAnsi="微软雅黑" w:hint="eastAsia"/>
          <w:szCs w:val="21"/>
        </w:rPr>
        <w:t>0.9天。PC端</w:t>
      </w:r>
      <w:r w:rsidR="00FF49CB" w:rsidRPr="0081005D">
        <w:rPr>
          <w:rFonts w:ascii="微软雅黑" w:eastAsia="微软雅黑" w:hAnsi="微软雅黑"/>
          <w:szCs w:val="21"/>
        </w:rPr>
        <w:t>社区交友服务访问频次的下降</w:t>
      </w:r>
      <w:r w:rsidR="00FF49CB" w:rsidRPr="0081005D">
        <w:rPr>
          <w:rFonts w:ascii="微软雅黑" w:eastAsia="微软雅黑" w:hAnsi="微软雅黑" w:hint="eastAsia"/>
          <w:szCs w:val="21"/>
        </w:rPr>
        <w:t>，</w:t>
      </w:r>
      <w:r w:rsidR="00FF49CB" w:rsidRPr="0081005D">
        <w:rPr>
          <w:rFonts w:ascii="微软雅黑" w:eastAsia="微软雅黑" w:hAnsi="微软雅黑"/>
          <w:szCs w:val="21"/>
        </w:rPr>
        <w:t>主要与近年来移动端应用的不断普及存在密切关系</w:t>
      </w:r>
      <w:r w:rsidR="00FF49CB">
        <w:rPr>
          <w:rFonts w:ascii="微软雅黑" w:eastAsia="微软雅黑" w:hAnsi="微软雅黑" w:hint="eastAsia"/>
          <w:szCs w:val="21"/>
        </w:rPr>
        <w:t>。因为移动端的便捷性，使得各类社交类移动APP</w:t>
      </w:r>
      <w:r w:rsidR="00FF49CB" w:rsidRPr="0081005D">
        <w:rPr>
          <w:rFonts w:ascii="微软雅黑" w:eastAsia="微软雅黑" w:hAnsi="微软雅黑"/>
          <w:szCs w:val="21"/>
        </w:rPr>
        <w:t>分流了</w:t>
      </w:r>
      <w:r w:rsidR="00FF49CB">
        <w:rPr>
          <w:rFonts w:ascii="微软雅黑" w:eastAsia="微软雅黑" w:hAnsi="微软雅黑"/>
          <w:szCs w:val="21"/>
        </w:rPr>
        <w:t>众多的用户</w:t>
      </w:r>
      <w:r w:rsidR="00FF49CB" w:rsidRPr="0081005D">
        <w:rPr>
          <w:rFonts w:ascii="微软雅黑" w:eastAsia="微软雅黑" w:hAnsi="微软雅黑" w:hint="eastAsia"/>
          <w:szCs w:val="21"/>
        </w:rPr>
        <w:t>。</w:t>
      </w:r>
    </w:p>
    <w:p w:rsidR="008B05CF" w:rsidRPr="009D423B" w:rsidRDefault="008B05CF" w:rsidP="006507C8">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97506" name="图表 97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507C8" w:rsidRPr="009D423B" w:rsidRDefault="00C564F4" w:rsidP="006507C8">
      <w:pPr>
        <w:pStyle w:val="ab"/>
      </w:pPr>
      <w:bookmarkStart w:id="94" w:name="_Toc524418135"/>
      <w:r>
        <w:rPr>
          <w:rFonts w:hint="eastAsia"/>
        </w:rPr>
        <w:t>图3-</w:t>
      </w:r>
      <w:r w:rsidR="001C3D3F">
        <w:rPr>
          <w:rFonts w:hint="eastAsia"/>
        </w:rPr>
        <w:t>30</w:t>
      </w:r>
      <w:r w:rsidR="001C3D3F" w:rsidRPr="009D423B">
        <w:t xml:space="preserve">  </w:t>
      </w:r>
      <w:r w:rsidR="0050355B">
        <w:t>2017年</w:t>
      </w:r>
      <w:r w:rsidR="006507C8" w:rsidRPr="009D423B">
        <w:t>陕西省网民使用社区交友服务人均月度访问天</w:t>
      </w:r>
      <w:r w:rsidR="006507C8" w:rsidRPr="009D423B">
        <w:rPr>
          <w:rFonts w:hint="eastAsia"/>
        </w:rPr>
        <w:t>数</w:t>
      </w:r>
      <w:bookmarkEnd w:id="94"/>
    </w:p>
    <w:p w:rsidR="006507C8" w:rsidRPr="0081005D" w:rsidRDefault="006507C8" w:rsidP="006507C8">
      <w:pPr>
        <w:widowControl/>
        <w:spacing w:line="400" w:lineRule="exact"/>
        <w:ind w:firstLineChars="200" w:firstLine="420"/>
        <w:jc w:val="left"/>
        <w:rPr>
          <w:rFonts w:ascii="微软雅黑" w:eastAsia="微软雅黑" w:hAnsi="微软雅黑"/>
          <w:b/>
          <w:szCs w:val="21"/>
        </w:rPr>
      </w:pPr>
      <w:r w:rsidRPr="0081005D">
        <w:rPr>
          <w:rFonts w:ascii="微软雅黑" w:eastAsia="微软雅黑" w:hAnsi="微软雅黑"/>
          <w:b/>
          <w:szCs w:val="21"/>
        </w:rPr>
        <w:t>2</w:t>
      </w:r>
      <w:r w:rsidR="00E664AC">
        <w:rPr>
          <w:rFonts w:ascii="微软雅黑" w:eastAsia="微软雅黑" w:hAnsi="微软雅黑"/>
          <w:b/>
          <w:szCs w:val="21"/>
        </w:rPr>
        <w:t>）</w:t>
      </w:r>
      <w:r w:rsidRPr="0081005D">
        <w:rPr>
          <w:rFonts w:ascii="微软雅黑" w:eastAsia="微软雅黑" w:hAnsi="微软雅黑"/>
          <w:b/>
          <w:szCs w:val="21"/>
        </w:rPr>
        <w:t>网民使用社区交友服务人均月度访问次数</w:t>
      </w:r>
    </w:p>
    <w:p w:rsidR="005F12B9" w:rsidRDefault="0050355B" w:rsidP="0081005D">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w:t>
      </w:r>
      <w:r w:rsidR="006507C8" w:rsidRPr="009D423B">
        <w:rPr>
          <w:rFonts w:ascii="微软雅黑" w:eastAsia="微软雅黑" w:hAnsi="微软雅黑" w:hint="eastAsia"/>
          <w:szCs w:val="21"/>
        </w:rPr>
        <w:t>网民人均月度访问社区交友服务平均为</w:t>
      </w:r>
      <w:r w:rsidR="00FF49CB">
        <w:rPr>
          <w:rFonts w:ascii="微软雅黑" w:eastAsia="微软雅黑" w:hAnsi="微软雅黑" w:hint="eastAsia"/>
          <w:szCs w:val="21"/>
        </w:rPr>
        <w:t>17.2</w:t>
      </w:r>
      <w:r w:rsidR="006507C8" w:rsidRPr="009D423B">
        <w:rPr>
          <w:rFonts w:ascii="微软雅黑" w:eastAsia="微软雅黑" w:hAnsi="微软雅黑"/>
          <w:szCs w:val="21"/>
        </w:rPr>
        <w:t>次，</w:t>
      </w:r>
      <w:r w:rsidR="006507C8" w:rsidRPr="009D423B">
        <w:rPr>
          <w:rFonts w:ascii="微软雅黑" w:eastAsia="微软雅黑" w:hAnsi="微软雅黑" w:hint="eastAsia"/>
          <w:szCs w:val="21"/>
        </w:rPr>
        <w:t>低于</w:t>
      </w:r>
      <w:r w:rsidR="00FF49CB" w:rsidRPr="009D423B">
        <w:rPr>
          <w:rFonts w:ascii="微软雅黑" w:eastAsia="微软雅黑" w:hAnsi="微软雅黑" w:hint="eastAsia"/>
          <w:szCs w:val="21"/>
        </w:rPr>
        <w:t>201</w:t>
      </w:r>
      <w:r w:rsidR="00FF49CB">
        <w:rPr>
          <w:rFonts w:ascii="微软雅黑" w:eastAsia="微软雅黑" w:hAnsi="微软雅黑" w:hint="eastAsia"/>
          <w:szCs w:val="21"/>
        </w:rPr>
        <w:t>6</w:t>
      </w:r>
      <w:r w:rsidR="006507C8" w:rsidRPr="009D423B">
        <w:rPr>
          <w:rFonts w:ascii="微软雅黑" w:eastAsia="微软雅黑" w:hAnsi="微软雅黑" w:hint="eastAsia"/>
          <w:szCs w:val="21"/>
        </w:rPr>
        <w:t>年</w:t>
      </w:r>
      <w:r w:rsidR="00FF49CB">
        <w:rPr>
          <w:rFonts w:ascii="微软雅黑" w:eastAsia="微软雅黑" w:hAnsi="微软雅黑" w:hint="eastAsia"/>
          <w:szCs w:val="21"/>
        </w:rPr>
        <w:t>2.8次</w:t>
      </w:r>
      <w:r w:rsidR="006507C8" w:rsidRPr="009D423B">
        <w:rPr>
          <w:rFonts w:ascii="微软雅黑" w:eastAsia="微软雅黑" w:hAnsi="微软雅黑" w:hint="eastAsia"/>
          <w:szCs w:val="21"/>
        </w:rPr>
        <w:t>，</w:t>
      </w:r>
      <w:r w:rsidR="006507C8" w:rsidRPr="009D423B">
        <w:rPr>
          <w:rFonts w:ascii="微软雅黑" w:eastAsia="微软雅黑" w:hAnsi="微软雅黑"/>
          <w:szCs w:val="21"/>
        </w:rPr>
        <w:t>在</w:t>
      </w:r>
      <w:r w:rsidR="000E70C3">
        <w:rPr>
          <w:rFonts w:ascii="微软雅黑" w:eastAsia="微软雅黑" w:hAnsi="微软雅黑" w:hint="eastAsia"/>
          <w:szCs w:val="21"/>
        </w:rPr>
        <w:t>常用</w:t>
      </w:r>
      <w:r w:rsidR="006507C8" w:rsidRPr="009D423B">
        <w:rPr>
          <w:rFonts w:ascii="微软雅黑" w:eastAsia="微软雅黑" w:hAnsi="微软雅黑"/>
          <w:szCs w:val="21"/>
        </w:rPr>
        <w:t>服务类型中处于中等水平，</w:t>
      </w:r>
      <w:r w:rsidR="000E70C3">
        <w:rPr>
          <w:rFonts w:ascii="微软雅黑" w:eastAsia="微软雅黑" w:hAnsi="微软雅黑" w:hint="eastAsia"/>
          <w:szCs w:val="21"/>
        </w:rPr>
        <w:t>不及</w:t>
      </w:r>
      <w:r w:rsidR="006507C8" w:rsidRPr="009D423B">
        <w:rPr>
          <w:rFonts w:ascii="微软雅黑" w:eastAsia="微软雅黑" w:hAnsi="微软雅黑"/>
          <w:szCs w:val="21"/>
        </w:rPr>
        <w:t>使用搜索服务</w:t>
      </w:r>
      <w:r w:rsidR="005F12B9">
        <w:rPr>
          <w:rFonts w:ascii="微软雅黑" w:eastAsia="微软雅黑" w:hAnsi="微软雅黑" w:hint="eastAsia"/>
          <w:szCs w:val="21"/>
        </w:rPr>
        <w:t>、</w:t>
      </w:r>
      <w:r w:rsidR="005F12B9">
        <w:rPr>
          <w:rFonts w:ascii="微软雅黑" w:eastAsia="微软雅黑" w:hAnsi="微软雅黑"/>
          <w:szCs w:val="21"/>
        </w:rPr>
        <w:t>在线视频和</w:t>
      </w:r>
      <w:r w:rsidR="006507C8" w:rsidRPr="009D423B">
        <w:rPr>
          <w:rFonts w:ascii="微软雅黑" w:eastAsia="微软雅黑" w:hAnsi="微软雅黑" w:hint="eastAsia"/>
          <w:szCs w:val="21"/>
        </w:rPr>
        <w:t>电子商务的月均次数。从</w:t>
      </w:r>
      <w:r w:rsidR="00800C3B">
        <w:rPr>
          <w:rFonts w:ascii="微软雅黑" w:eastAsia="微软雅黑" w:hAnsi="微软雅黑" w:hint="eastAsia"/>
          <w:szCs w:val="21"/>
        </w:rPr>
        <w:t>全年</w:t>
      </w:r>
      <w:r w:rsidR="006507C8" w:rsidRPr="009D423B">
        <w:rPr>
          <w:rFonts w:ascii="微软雅黑" w:eastAsia="微软雅黑" w:hAnsi="微软雅黑" w:hint="eastAsia"/>
          <w:szCs w:val="21"/>
        </w:rPr>
        <w:t>趋势来看，使</w:t>
      </w:r>
      <w:r w:rsidR="006507C8" w:rsidRPr="009D423B">
        <w:rPr>
          <w:rFonts w:ascii="微软雅黑" w:eastAsia="微软雅黑" w:hAnsi="微软雅黑"/>
          <w:szCs w:val="21"/>
        </w:rPr>
        <w:t>用社区交友服务</w:t>
      </w:r>
      <w:r w:rsidR="00800C3B">
        <w:rPr>
          <w:rFonts w:ascii="微软雅黑" w:eastAsia="微软雅黑" w:hAnsi="微软雅黑"/>
          <w:szCs w:val="21"/>
        </w:rPr>
        <w:t>的</w:t>
      </w:r>
      <w:r w:rsidR="006507C8" w:rsidRPr="009D423B">
        <w:rPr>
          <w:rFonts w:ascii="微软雅黑" w:eastAsia="微软雅黑" w:hAnsi="微软雅黑"/>
          <w:szCs w:val="21"/>
        </w:rPr>
        <w:t>人均月度访问次数</w:t>
      </w:r>
      <w:r w:rsidR="005F12B9">
        <w:rPr>
          <w:rFonts w:ascii="微软雅黑" w:eastAsia="微软雅黑" w:hAnsi="微软雅黑" w:hint="eastAsia"/>
          <w:szCs w:val="21"/>
        </w:rPr>
        <w:t>基本保持</w:t>
      </w:r>
      <w:r w:rsidR="005F12B9">
        <w:rPr>
          <w:rFonts w:ascii="微软雅黑" w:eastAsia="微软雅黑" w:hAnsi="微软雅黑"/>
          <w:szCs w:val="21"/>
        </w:rPr>
        <w:t>稳定</w:t>
      </w:r>
      <w:r w:rsidR="006507C8" w:rsidRPr="009D423B">
        <w:rPr>
          <w:rFonts w:ascii="微软雅黑" w:eastAsia="微软雅黑" w:hAnsi="微软雅黑" w:hint="eastAsia"/>
          <w:szCs w:val="21"/>
        </w:rPr>
        <w:t>，</w:t>
      </w:r>
      <w:r w:rsidR="005F12B9">
        <w:rPr>
          <w:rFonts w:ascii="微软雅黑" w:eastAsia="微软雅黑" w:hAnsi="微软雅黑" w:hint="eastAsia"/>
          <w:szCs w:val="21"/>
        </w:rPr>
        <w:t>其中以3月最高，达到20.</w:t>
      </w:r>
      <w:r w:rsidR="00217D14">
        <w:rPr>
          <w:rFonts w:ascii="微软雅黑" w:eastAsia="微软雅黑" w:hAnsi="微软雅黑" w:hint="eastAsia"/>
          <w:szCs w:val="21"/>
        </w:rPr>
        <w:t>6</w:t>
      </w:r>
      <w:r w:rsidR="005F12B9">
        <w:rPr>
          <w:rFonts w:ascii="微软雅黑" w:eastAsia="微软雅黑" w:hAnsi="微软雅黑" w:hint="eastAsia"/>
          <w:szCs w:val="21"/>
        </w:rPr>
        <w:t>次</w:t>
      </w:r>
      <w:r w:rsidR="00217D14">
        <w:rPr>
          <w:rFonts w:ascii="微软雅黑" w:eastAsia="微软雅黑" w:hAnsi="微软雅黑" w:hint="eastAsia"/>
          <w:szCs w:val="21"/>
        </w:rPr>
        <w:t>；6月份最低，仅15.4次。</w:t>
      </w:r>
    </w:p>
    <w:p w:rsidR="008B05CF" w:rsidRPr="009D423B" w:rsidRDefault="008B05CF" w:rsidP="006507C8">
      <w:pPr>
        <w:snapToGrid w:val="0"/>
        <w:jc w:val="center"/>
        <w:rPr>
          <w:rFonts w:ascii="微软雅黑" w:eastAsia="微软雅黑" w:hAnsi="微软雅黑"/>
          <w:noProof/>
          <w:szCs w:val="21"/>
        </w:rPr>
      </w:pPr>
      <w:r>
        <w:rPr>
          <w:noProof/>
        </w:rPr>
        <w:drawing>
          <wp:inline distT="0" distB="0" distL="0" distR="0">
            <wp:extent cx="4809600" cy="2880000"/>
            <wp:effectExtent l="0" t="0" r="10160" b="15875"/>
            <wp:docPr id="97507" name="图表 97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507C8" w:rsidRPr="009D423B" w:rsidRDefault="00C564F4" w:rsidP="006507C8">
      <w:pPr>
        <w:pStyle w:val="ab"/>
      </w:pPr>
      <w:bookmarkStart w:id="95" w:name="_Toc524418136"/>
      <w:r>
        <w:rPr>
          <w:rFonts w:hint="eastAsia"/>
        </w:rPr>
        <w:t>图3-</w:t>
      </w:r>
      <w:r w:rsidR="001C3D3F">
        <w:rPr>
          <w:rFonts w:hint="eastAsia"/>
        </w:rPr>
        <w:t>31</w:t>
      </w:r>
      <w:r w:rsidR="001C3D3F" w:rsidRPr="009D423B">
        <w:t xml:space="preserve">  </w:t>
      </w:r>
      <w:r w:rsidR="0050355B">
        <w:t>2017年</w:t>
      </w:r>
      <w:r w:rsidR="006507C8" w:rsidRPr="009D423B">
        <w:t>陕西省网民使用社区交友服务人均月度访问次数</w:t>
      </w:r>
      <w:bookmarkEnd w:id="95"/>
    </w:p>
    <w:p w:rsidR="00574F26" w:rsidRPr="003E0CE0" w:rsidRDefault="00574F26" w:rsidP="00574F26">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3）网民使用社区交友服务人均单日有效浏览时间</w:t>
      </w:r>
    </w:p>
    <w:p w:rsidR="00574F26" w:rsidRDefault="00574F26" w:rsidP="0081005D">
      <w:pPr>
        <w:snapToGrid w:val="0"/>
        <w:spacing w:line="400" w:lineRule="exact"/>
        <w:ind w:firstLineChars="202" w:firstLine="424"/>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szCs w:val="21"/>
        </w:rPr>
        <w:t>陕西省</w:t>
      </w:r>
      <w:r w:rsidRPr="003E0CE0">
        <w:rPr>
          <w:rFonts w:ascii="微软雅黑" w:eastAsia="微软雅黑" w:hAnsi="微软雅黑"/>
          <w:szCs w:val="21"/>
        </w:rPr>
        <w:t>网民使用社区交友服务的人均单日有效浏览时间整体呈下降趋势，全年均值为</w:t>
      </w:r>
      <w:r w:rsidR="00C05FE0">
        <w:rPr>
          <w:rFonts w:ascii="微软雅黑" w:eastAsia="微软雅黑" w:hAnsi="微软雅黑" w:hint="eastAsia"/>
          <w:szCs w:val="21"/>
        </w:rPr>
        <w:t>13.5</w:t>
      </w:r>
      <w:r w:rsidRPr="003E0CE0">
        <w:rPr>
          <w:rFonts w:ascii="微软雅黑" w:eastAsia="微软雅黑" w:hAnsi="微软雅黑"/>
          <w:szCs w:val="21"/>
        </w:rPr>
        <w:t>分钟。在常用网络服务中，社区交友服务的人均单日有效浏览时间仅次于在线视频和电子商务，</w:t>
      </w:r>
      <w:r w:rsidR="00434808">
        <w:rPr>
          <w:rFonts w:ascii="微软雅黑" w:eastAsia="微软雅黑" w:hAnsi="微软雅黑" w:hint="eastAsia"/>
          <w:szCs w:val="21"/>
        </w:rPr>
        <w:t>展现出</w:t>
      </w:r>
      <w:r w:rsidR="002A3C36" w:rsidRPr="003E0CE0">
        <w:rPr>
          <w:rFonts w:ascii="微软雅黑" w:eastAsia="微软雅黑" w:hAnsi="微软雅黑"/>
          <w:szCs w:val="21"/>
        </w:rPr>
        <w:t>社区交友服务</w:t>
      </w:r>
      <w:r w:rsidR="002A3C36">
        <w:rPr>
          <w:rFonts w:ascii="微软雅黑" w:eastAsia="微软雅黑" w:hAnsi="微软雅黑"/>
          <w:szCs w:val="21"/>
        </w:rPr>
        <w:t>依然有着</w:t>
      </w:r>
      <w:r w:rsidRPr="003E0CE0">
        <w:rPr>
          <w:rFonts w:ascii="微软雅黑" w:eastAsia="微软雅黑" w:hAnsi="微软雅黑"/>
          <w:szCs w:val="21"/>
        </w:rPr>
        <w:t>较强</w:t>
      </w:r>
      <w:r w:rsidR="002A3C36">
        <w:rPr>
          <w:rFonts w:ascii="微软雅黑" w:eastAsia="微软雅黑" w:hAnsi="微软雅黑" w:hint="eastAsia"/>
          <w:szCs w:val="21"/>
        </w:rPr>
        <w:t>使用粘性</w:t>
      </w:r>
      <w:r w:rsidRPr="003E0CE0">
        <w:rPr>
          <w:rFonts w:ascii="微软雅黑" w:eastAsia="微软雅黑" w:hAnsi="微软雅黑"/>
          <w:szCs w:val="21"/>
        </w:rPr>
        <w:t>。</w:t>
      </w:r>
    </w:p>
    <w:p w:rsidR="008B05CF" w:rsidRPr="003E0CE0" w:rsidRDefault="008B05CF" w:rsidP="00574F26">
      <w:pPr>
        <w:jc w:val="center"/>
        <w:rPr>
          <w:rFonts w:ascii="微软雅黑" w:eastAsia="微软雅黑" w:hAnsi="微软雅黑"/>
          <w:szCs w:val="21"/>
        </w:rPr>
      </w:pPr>
      <w:r>
        <w:rPr>
          <w:noProof/>
        </w:rPr>
        <w:drawing>
          <wp:inline distT="0" distB="0" distL="0" distR="0">
            <wp:extent cx="4809600" cy="2880000"/>
            <wp:effectExtent l="0" t="0" r="10160" b="15875"/>
            <wp:docPr id="97508" name="图表 97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74F26" w:rsidRPr="003E0CE0" w:rsidRDefault="00C564F4" w:rsidP="00574F26">
      <w:pPr>
        <w:pStyle w:val="ab"/>
      </w:pPr>
      <w:bookmarkStart w:id="96" w:name="_Toc517164685"/>
      <w:bookmarkStart w:id="97" w:name="_Toc517206465"/>
      <w:bookmarkStart w:id="98" w:name="_Toc524418137"/>
      <w:r>
        <w:t>图3-</w:t>
      </w:r>
      <w:r w:rsidR="001C3D3F">
        <w:rPr>
          <w:rFonts w:hint="eastAsia"/>
        </w:rPr>
        <w:t>32</w:t>
      </w:r>
      <w:r w:rsidR="001C3D3F" w:rsidRPr="003E0CE0">
        <w:t xml:space="preserve">  </w:t>
      </w:r>
      <w:r w:rsidR="00574F26" w:rsidRPr="003E0CE0">
        <w:t>2017年</w:t>
      </w:r>
      <w:r w:rsidR="00574F26">
        <w:t>陕西省</w:t>
      </w:r>
      <w:r w:rsidR="00574F26" w:rsidRPr="003E0CE0">
        <w:t>网民使用社区交友服务人均单日有效浏览时间</w:t>
      </w:r>
      <w:bookmarkEnd w:id="96"/>
      <w:bookmarkEnd w:id="97"/>
      <w:bookmarkEnd w:id="98"/>
    </w:p>
    <w:p w:rsidR="00574F26" w:rsidRPr="003E0CE0" w:rsidRDefault="00574F26" w:rsidP="00574F26">
      <w:pPr>
        <w:widowControl/>
        <w:spacing w:line="400" w:lineRule="exact"/>
        <w:ind w:firstLineChars="200" w:firstLine="420"/>
        <w:jc w:val="left"/>
        <w:rPr>
          <w:rFonts w:ascii="微软雅黑" w:eastAsia="微软雅黑" w:hAnsi="微软雅黑"/>
          <w:b/>
          <w:szCs w:val="21"/>
        </w:rPr>
      </w:pPr>
      <w:r w:rsidRPr="003E0CE0">
        <w:rPr>
          <w:rFonts w:ascii="微软雅黑" w:eastAsia="微软雅黑" w:hAnsi="微软雅黑"/>
          <w:b/>
          <w:szCs w:val="21"/>
        </w:rPr>
        <w:t>4）网民使用社区交友服务人均单次浏览页面</w:t>
      </w:r>
    </w:p>
    <w:p w:rsidR="00574F26" w:rsidRDefault="00574F26" w:rsidP="0081005D">
      <w:pPr>
        <w:snapToGrid w:val="0"/>
        <w:spacing w:line="400" w:lineRule="exact"/>
        <w:ind w:firstLineChars="202" w:firstLine="424"/>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szCs w:val="21"/>
        </w:rPr>
        <w:t>陕西省</w:t>
      </w:r>
      <w:r w:rsidRPr="003E0CE0">
        <w:rPr>
          <w:rFonts w:ascii="微软雅黑" w:eastAsia="微软雅黑" w:hAnsi="微软雅黑"/>
          <w:szCs w:val="21"/>
        </w:rPr>
        <w:t>网民使用PC端社区交友服务的人均单次浏览页均值为</w:t>
      </w:r>
      <w:r w:rsidR="002A3C36">
        <w:rPr>
          <w:rFonts w:ascii="微软雅黑" w:eastAsia="微软雅黑" w:hAnsi="微软雅黑" w:hint="eastAsia"/>
          <w:szCs w:val="21"/>
        </w:rPr>
        <w:t>2.8</w:t>
      </w:r>
      <w:r w:rsidRPr="003E0CE0">
        <w:rPr>
          <w:rFonts w:ascii="微软雅黑" w:eastAsia="微软雅黑" w:hAnsi="微软雅黑"/>
          <w:szCs w:val="21"/>
        </w:rPr>
        <w:t>页。</w:t>
      </w:r>
      <w:r w:rsidR="002A3C36">
        <w:rPr>
          <w:rFonts w:ascii="微软雅黑" w:eastAsia="微软雅黑" w:hAnsi="微软雅黑" w:hint="eastAsia"/>
          <w:szCs w:val="21"/>
        </w:rPr>
        <w:t>整体来看</w:t>
      </w:r>
      <w:r w:rsidRPr="003E0CE0">
        <w:rPr>
          <w:rFonts w:ascii="微软雅黑" w:eastAsia="微软雅黑" w:hAnsi="微软雅黑"/>
          <w:szCs w:val="21"/>
        </w:rPr>
        <w:t>，相较于其他</w:t>
      </w:r>
      <w:r w:rsidR="002A3C36">
        <w:rPr>
          <w:rFonts w:ascii="微软雅黑" w:eastAsia="微软雅黑" w:hAnsi="微软雅黑"/>
          <w:szCs w:val="21"/>
        </w:rPr>
        <w:t>常见</w:t>
      </w:r>
      <w:r w:rsidRPr="003E0CE0">
        <w:rPr>
          <w:rFonts w:ascii="微软雅黑" w:eastAsia="微软雅黑" w:hAnsi="微软雅黑"/>
          <w:szCs w:val="21"/>
        </w:rPr>
        <w:t>网络服务</w:t>
      </w:r>
      <w:r w:rsidR="002A3C36">
        <w:rPr>
          <w:rFonts w:ascii="微软雅黑" w:eastAsia="微软雅黑" w:hAnsi="微软雅黑"/>
          <w:szCs w:val="21"/>
        </w:rPr>
        <w:t>类型</w:t>
      </w:r>
      <w:r w:rsidRPr="003E0CE0">
        <w:rPr>
          <w:rFonts w:ascii="微软雅黑" w:eastAsia="微软雅黑" w:hAnsi="微软雅黑"/>
          <w:szCs w:val="21"/>
        </w:rPr>
        <w:t>，</w:t>
      </w:r>
      <w:r w:rsidR="008B6989" w:rsidRPr="003E0CE0">
        <w:rPr>
          <w:rFonts w:ascii="微软雅黑" w:eastAsia="微软雅黑" w:hAnsi="微软雅黑"/>
          <w:szCs w:val="21"/>
        </w:rPr>
        <w:t>PC端</w:t>
      </w:r>
      <w:r w:rsidRPr="003E0CE0">
        <w:rPr>
          <w:rFonts w:ascii="微软雅黑" w:eastAsia="微软雅黑" w:hAnsi="微软雅黑"/>
          <w:szCs w:val="21"/>
        </w:rPr>
        <w:t>社区交友服务</w:t>
      </w:r>
      <w:r w:rsidR="002A3C36">
        <w:rPr>
          <w:rFonts w:ascii="微软雅黑" w:eastAsia="微软雅黑" w:hAnsi="微软雅黑"/>
          <w:szCs w:val="21"/>
        </w:rPr>
        <w:t>与新闻资讯</w:t>
      </w:r>
      <w:r w:rsidR="008B6989" w:rsidRPr="003E0CE0">
        <w:rPr>
          <w:rFonts w:ascii="微软雅黑" w:eastAsia="微软雅黑" w:hAnsi="微软雅黑"/>
          <w:szCs w:val="21"/>
        </w:rPr>
        <w:t>是人均单次浏览页面</w:t>
      </w:r>
      <w:r w:rsidR="008B6989">
        <w:rPr>
          <w:rFonts w:ascii="微软雅黑" w:eastAsia="微软雅黑" w:hAnsi="微软雅黑"/>
          <w:szCs w:val="21"/>
        </w:rPr>
        <w:t>较高</w:t>
      </w:r>
      <w:r w:rsidR="008B6989" w:rsidRPr="003E0CE0">
        <w:rPr>
          <w:rFonts w:ascii="微软雅黑" w:eastAsia="微软雅黑" w:hAnsi="微软雅黑"/>
          <w:szCs w:val="21"/>
        </w:rPr>
        <w:t>的网络服务</w:t>
      </w:r>
      <w:r w:rsidR="008B6989">
        <w:rPr>
          <w:rFonts w:ascii="微软雅黑" w:eastAsia="微软雅黑" w:hAnsi="微软雅黑"/>
          <w:szCs w:val="21"/>
        </w:rPr>
        <w:t>类型</w:t>
      </w:r>
      <w:r w:rsidR="008B6989">
        <w:rPr>
          <w:rFonts w:ascii="微软雅黑" w:eastAsia="微软雅黑" w:hAnsi="微软雅黑" w:hint="eastAsia"/>
          <w:szCs w:val="21"/>
        </w:rPr>
        <w:t>，</w:t>
      </w:r>
      <w:r w:rsidR="008B6989">
        <w:rPr>
          <w:rFonts w:ascii="微软雅黑" w:eastAsia="微软雅黑" w:hAnsi="微软雅黑"/>
          <w:szCs w:val="21"/>
        </w:rPr>
        <w:t>高于搜索服务</w:t>
      </w:r>
      <w:r w:rsidR="008B6989">
        <w:rPr>
          <w:rFonts w:ascii="微软雅黑" w:eastAsia="微软雅黑" w:hAnsi="微软雅黑" w:hint="eastAsia"/>
          <w:szCs w:val="21"/>
        </w:rPr>
        <w:t>、在线视频和</w:t>
      </w:r>
      <w:r w:rsidRPr="003E0CE0">
        <w:rPr>
          <w:rFonts w:ascii="微软雅黑" w:eastAsia="微软雅黑" w:hAnsi="微软雅黑"/>
          <w:szCs w:val="21"/>
        </w:rPr>
        <w:t>电子商务等网络应用。</w:t>
      </w:r>
    </w:p>
    <w:p w:rsidR="002A3C36" w:rsidRPr="003E0CE0" w:rsidRDefault="002A3C36" w:rsidP="00574F26">
      <w:pPr>
        <w:jc w:val="center"/>
        <w:rPr>
          <w:rFonts w:ascii="微软雅黑" w:eastAsia="微软雅黑" w:hAnsi="微软雅黑"/>
          <w:szCs w:val="21"/>
        </w:rPr>
      </w:pPr>
      <w:r>
        <w:rPr>
          <w:noProof/>
        </w:rPr>
        <w:drawing>
          <wp:inline distT="0" distB="0" distL="0" distR="0">
            <wp:extent cx="4787375" cy="2880000"/>
            <wp:effectExtent l="0" t="0" r="13335" b="1587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74F26" w:rsidRDefault="00C564F4" w:rsidP="00574F26">
      <w:pPr>
        <w:pStyle w:val="ab"/>
      </w:pPr>
      <w:bookmarkStart w:id="99" w:name="_Toc517164686"/>
      <w:bookmarkStart w:id="100" w:name="_Toc517206466"/>
      <w:bookmarkStart w:id="101" w:name="_Toc524418138"/>
      <w:r>
        <w:t>图3-</w:t>
      </w:r>
      <w:r w:rsidR="001C3D3F">
        <w:rPr>
          <w:rFonts w:hint="eastAsia"/>
        </w:rPr>
        <w:t>33</w:t>
      </w:r>
      <w:r w:rsidR="001C3D3F" w:rsidRPr="003E0CE0">
        <w:t xml:space="preserve">  </w:t>
      </w:r>
      <w:r w:rsidR="00574F26" w:rsidRPr="003E0CE0">
        <w:t>2017年</w:t>
      </w:r>
      <w:r w:rsidR="00574F26">
        <w:t>陕西省</w:t>
      </w:r>
      <w:r w:rsidR="00574F26" w:rsidRPr="003E0CE0">
        <w:t>网民使用社区交友服务人均单次浏览页面</w:t>
      </w:r>
      <w:bookmarkEnd w:id="99"/>
      <w:bookmarkEnd w:id="100"/>
      <w:bookmarkEnd w:id="101"/>
    </w:p>
    <w:p w:rsidR="00C16CE4" w:rsidRDefault="00C16CE4" w:rsidP="00C16CE4"/>
    <w:p w:rsidR="00C16CE4" w:rsidRPr="00C16CE4" w:rsidRDefault="00C16CE4" w:rsidP="00C16CE4"/>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（3</w:t>
      </w:r>
      <w:r w:rsidR="00E664AC">
        <w:rPr>
          <w:rFonts w:ascii="微软雅黑" w:eastAsia="微软雅黑" w:hAnsi="微软雅黑" w:cs="宋体" w:hint="eastAsia"/>
          <w:b/>
          <w:bCs/>
          <w:szCs w:val="21"/>
        </w:rPr>
        <w:t>）</w:t>
      </w:r>
      <w:r w:rsidRPr="009D423B">
        <w:rPr>
          <w:rFonts w:ascii="微软雅黑" w:eastAsia="微软雅黑" w:hAnsi="微软雅黑" w:cs="宋体" w:hint="eastAsia"/>
          <w:b/>
          <w:bCs/>
          <w:szCs w:val="21"/>
        </w:rPr>
        <w:t>网民使用的主要社区交友网站</w:t>
      </w:r>
    </w:p>
    <w:p w:rsidR="00FB7740" w:rsidRDefault="00F92C66" w:rsidP="0081005D">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根据艾瑞IUserTracker数据产品对网络服务的划分，社区交友服务是较为常见的网络服务大类之一，具体又包含了社区、微博、SNS服务、博客、文学小说、婚恋交友、购物分享、校友录、位置签到、维客等众多细分服务。</w:t>
      </w:r>
      <w:r w:rsidR="00C95DD1">
        <w:rPr>
          <w:rFonts w:ascii="微软雅黑" w:eastAsia="微软雅黑" w:hAnsi="微软雅黑"/>
          <w:szCs w:val="21"/>
        </w:rPr>
        <w:t>从月度覆盖比例角度来看</w:t>
      </w:r>
      <w:r w:rsidR="00C95DD1">
        <w:rPr>
          <w:rFonts w:ascii="微软雅黑" w:eastAsia="微软雅黑" w:hAnsi="微软雅黑" w:hint="eastAsia"/>
          <w:szCs w:val="21"/>
        </w:rPr>
        <w:t>，在</w:t>
      </w:r>
      <w:r w:rsidR="0050355B">
        <w:rPr>
          <w:rFonts w:ascii="微软雅黑" w:eastAsia="微软雅黑" w:hAnsi="微软雅黑"/>
          <w:szCs w:val="21"/>
        </w:rPr>
        <w:t>2017年</w:t>
      </w:r>
      <w:r w:rsidR="00C95DD1">
        <w:rPr>
          <w:rFonts w:ascii="微软雅黑" w:eastAsia="微软雅黑" w:hAnsi="微软雅黑" w:hint="eastAsia"/>
          <w:szCs w:val="21"/>
        </w:rPr>
        <w:t>12月</w:t>
      </w:r>
      <w:r w:rsidR="009846F6">
        <w:rPr>
          <w:rFonts w:ascii="微软雅黑" w:eastAsia="微软雅黑" w:hAnsi="微软雅黑" w:hint="eastAsia"/>
          <w:szCs w:val="21"/>
        </w:rPr>
        <w:t>，</w:t>
      </w:r>
      <w:r w:rsidR="006507C8" w:rsidRPr="009D423B">
        <w:rPr>
          <w:rFonts w:ascii="微软雅黑" w:eastAsia="微软雅黑" w:hAnsi="微软雅黑"/>
          <w:szCs w:val="21"/>
        </w:rPr>
        <w:t>陕西省网民使用的主要社区</w:t>
      </w:r>
      <w:r w:rsidR="008B6989">
        <w:rPr>
          <w:rFonts w:ascii="微软雅黑" w:eastAsia="微软雅黑" w:hAnsi="微软雅黑"/>
          <w:szCs w:val="21"/>
        </w:rPr>
        <w:t>交友</w:t>
      </w:r>
      <w:r w:rsidR="006507C8" w:rsidRPr="009D423B">
        <w:rPr>
          <w:rFonts w:ascii="微软雅黑" w:eastAsia="微软雅黑" w:hAnsi="微软雅黑"/>
          <w:szCs w:val="21"/>
        </w:rPr>
        <w:t>网站中，</w:t>
      </w:r>
      <w:r w:rsidR="006507C8" w:rsidRPr="009D423B">
        <w:rPr>
          <w:rFonts w:ascii="微软雅黑" w:eastAsia="微软雅黑" w:hAnsi="微软雅黑" w:hint="eastAsia"/>
          <w:szCs w:val="21"/>
        </w:rPr>
        <w:t>新浪博客、</w:t>
      </w:r>
      <w:r w:rsidR="008B6989" w:rsidRPr="009D423B">
        <w:rPr>
          <w:rFonts w:ascii="微软雅黑" w:eastAsia="微软雅黑" w:hAnsi="微软雅黑" w:hint="eastAsia"/>
          <w:szCs w:val="21"/>
        </w:rPr>
        <w:t>新浪微博</w:t>
      </w:r>
      <w:r w:rsidR="008B6989">
        <w:rPr>
          <w:rFonts w:ascii="微软雅黑" w:eastAsia="微软雅黑" w:hAnsi="微软雅黑" w:hint="eastAsia"/>
          <w:szCs w:val="21"/>
        </w:rPr>
        <w:t>、</w:t>
      </w:r>
      <w:r w:rsidR="006507C8" w:rsidRPr="009D423B">
        <w:rPr>
          <w:rFonts w:ascii="微软雅黑" w:eastAsia="微软雅黑" w:hAnsi="微软雅黑" w:hint="eastAsia"/>
          <w:szCs w:val="21"/>
        </w:rPr>
        <w:t>百度社区、腾讯SNS是最常使用的</w:t>
      </w:r>
      <w:r w:rsidR="00A35C7D">
        <w:rPr>
          <w:rFonts w:ascii="微软雅黑" w:eastAsia="微软雅黑" w:hAnsi="微软雅黑" w:hint="eastAsia"/>
          <w:szCs w:val="21"/>
        </w:rPr>
        <w:t>4</w:t>
      </w:r>
      <w:r w:rsidR="006507C8" w:rsidRPr="009D423B">
        <w:rPr>
          <w:rFonts w:ascii="微软雅黑" w:eastAsia="微软雅黑" w:hAnsi="微软雅黑" w:hint="eastAsia"/>
          <w:szCs w:val="21"/>
        </w:rPr>
        <w:t>大社区交友服务，</w:t>
      </w:r>
      <w:r w:rsidR="008B6989">
        <w:rPr>
          <w:rFonts w:ascii="微软雅黑" w:eastAsia="微软雅黑" w:hAnsi="微软雅黑" w:hint="eastAsia"/>
          <w:szCs w:val="21"/>
        </w:rPr>
        <w:t>其月度覆盖比例均超过30%</w:t>
      </w:r>
      <w:r w:rsidR="006507C8" w:rsidRPr="009D423B">
        <w:rPr>
          <w:rFonts w:ascii="微软雅黑" w:eastAsia="微软雅黑" w:hAnsi="微软雅黑" w:hint="eastAsia"/>
          <w:szCs w:val="21"/>
        </w:rPr>
        <w:t>，形成稳固的第一</w:t>
      </w:r>
      <w:r w:rsidR="00A35C7D">
        <w:rPr>
          <w:rFonts w:ascii="微软雅黑" w:eastAsia="微软雅黑" w:hAnsi="微软雅黑" w:hint="eastAsia"/>
          <w:szCs w:val="21"/>
        </w:rPr>
        <w:t>梯队</w:t>
      </w:r>
      <w:r w:rsidR="008B6989">
        <w:rPr>
          <w:rFonts w:ascii="微软雅黑" w:eastAsia="微软雅黑" w:hAnsi="微软雅黑" w:hint="eastAsia"/>
          <w:szCs w:val="21"/>
        </w:rPr>
        <w:t>。知乎、豆瓣紧随其后，月度覆盖比例在20%左右</w:t>
      </w:r>
      <w:r w:rsidR="006507C8" w:rsidRPr="009D423B">
        <w:rPr>
          <w:rFonts w:ascii="微软雅黑" w:eastAsia="微软雅黑" w:hAnsi="微软雅黑" w:hint="eastAsia"/>
          <w:szCs w:val="21"/>
        </w:rPr>
        <w:t>。</w:t>
      </w:r>
      <w:r w:rsidR="009846F6">
        <w:rPr>
          <w:rFonts w:ascii="微软雅黑" w:eastAsia="微软雅黑" w:hAnsi="微软雅黑" w:hint="eastAsia"/>
          <w:szCs w:val="21"/>
        </w:rPr>
        <w:t>值得注意的</w:t>
      </w:r>
      <w:r w:rsidR="00FB7740">
        <w:rPr>
          <w:rFonts w:ascii="微软雅黑" w:eastAsia="微软雅黑" w:hAnsi="微软雅黑" w:hint="eastAsia"/>
          <w:szCs w:val="21"/>
        </w:rPr>
        <w:t>是</w:t>
      </w:r>
      <w:r w:rsidR="009846F6">
        <w:rPr>
          <w:rFonts w:ascii="微软雅黑" w:eastAsia="微软雅黑" w:hAnsi="微软雅黑" w:hint="eastAsia"/>
          <w:szCs w:val="21"/>
        </w:rPr>
        <w:t>，在近年来</w:t>
      </w:r>
      <w:r w:rsidR="00FB7740">
        <w:rPr>
          <w:rFonts w:ascii="微软雅黑" w:eastAsia="微软雅黑" w:hAnsi="微软雅黑" w:hint="eastAsia"/>
          <w:szCs w:val="21"/>
        </w:rPr>
        <w:t>博客用户不断</w:t>
      </w:r>
      <w:r>
        <w:rPr>
          <w:rFonts w:ascii="微软雅黑" w:eastAsia="微软雅黑" w:hAnsi="微软雅黑" w:hint="eastAsia"/>
          <w:szCs w:val="21"/>
        </w:rPr>
        <w:t>流失</w:t>
      </w:r>
      <w:r w:rsidR="00FB7740">
        <w:rPr>
          <w:rFonts w:ascii="微软雅黑" w:eastAsia="微软雅黑" w:hAnsi="微软雅黑" w:hint="eastAsia"/>
          <w:szCs w:val="21"/>
        </w:rPr>
        <w:t>转移和</w:t>
      </w:r>
      <w:r>
        <w:rPr>
          <w:rFonts w:ascii="微软雅黑" w:eastAsia="微软雅黑" w:hAnsi="微软雅黑" w:hint="eastAsia"/>
          <w:szCs w:val="21"/>
        </w:rPr>
        <w:t>微博</w:t>
      </w:r>
      <w:r w:rsidR="009846F6">
        <w:rPr>
          <w:rFonts w:ascii="微软雅黑" w:eastAsia="微软雅黑" w:hAnsi="微软雅黑" w:hint="eastAsia"/>
          <w:szCs w:val="21"/>
        </w:rPr>
        <w:t>走下坡路</w:t>
      </w:r>
      <w:r w:rsidR="00FB7740">
        <w:rPr>
          <w:rFonts w:ascii="微软雅黑" w:eastAsia="微软雅黑" w:hAnsi="微软雅黑" w:hint="eastAsia"/>
          <w:szCs w:val="21"/>
        </w:rPr>
        <w:t>的情况下，新浪微博仍然有着相对较高的使用率，而这</w:t>
      </w:r>
      <w:r>
        <w:rPr>
          <w:rFonts w:ascii="微软雅黑" w:eastAsia="微软雅黑" w:hAnsi="微软雅黑" w:hint="eastAsia"/>
          <w:szCs w:val="21"/>
        </w:rPr>
        <w:t>主要</w:t>
      </w:r>
      <w:r w:rsidR="00FB7740">
        <w:rPr>
          <w:rFonts w:ascii="微软雅黑" w:eastAsia="微软雅黑" w:hAnsi="微软雅黑" w:hint="eastAsia"/>
          <w:szCs w:val="21"/>
        </w:rPr>
        <w:t>是由博客</w:t>
      </w:r>
      <w:r w:rsidR="004E0AF9">
        <w:rPr>
          <w:rFonts w:ascii="微软雅黑" w:eastAsia="微软雅黑" w:hAnsi="微软雅黑" w:hint="eastAsia"/>
          <w:szCs w:val="21"/>
        </w:rPr>
        <w:t>自身</w:t>
      </w:r>
      <w:r w:rsidR="00FB7740">
        <w:rPr>
          <w:rFonts w:ascii="微软雅黑" w:eastAsia="微软雅黑" w:hAnsi="微软雅黑" w:hint="eastAsia"/>
          <w:szCs w:val="21"/>
        </w:rPr>
        <w:t>特点所决定的。相对而言，博客</w:t>
      </w:r>
      <w:r w:rsidR="00FB7740" w:rsidRPr="00FB7740">
        <w:rPr>
          <w:rFonts w:ascii="微软雅黑" w:eastAsia="微软雅黑" w:hAnsi="微软雅黑" w:hint="eastAsia"/>
          <w:szCs w:val="21"/>
        </w:rPr>
        <w:t>更适用于长篇大论发表观点，</w:t>
      </w:r>
      <w:r w:rsidR="00FB7740">
        <w:rPr>
          <w:rFonts w:ascii="微软雅黑" w:eastAsia="微软雅黑" w:hAnsi="微软雅黑" w:hint="eastAsia"/>
          <w:szCs w:val="21"/>
        </w:rPr>
        <w:t>用户</w:t>
      </w:r>
      <w:r w:rsidR="00FB7740" w:rsidRPr="00FB7740">
        <w:rPr>
          <w:rFonts w:ascii="微软雅黑" w:eastAsia="微软雅黑" w:hAnsi="微软雅黑" w:hint="eastAsia"/>
          <w:szCs w:val="21"/>
        </w:rPr>
        <w:t>可以不断翻阅、慢慢思考，是一种</w:t>
      </w:r>
      <w:r w:rsidR="00FB7740">
        <w:rPr>
          <w:rFonts w:ascii="微软雅黑" w:eastAsia="微软雅黑" w:hAnsi="微软雅黑" w:hint="eastAsia"/>
          <w:szCs w:val="21"/>
        </w:rPr>
        <w:t>深度的阅读；而社区、微博，甚至微信公众号等</w:t>
      </w:r>
      <w:r>
        <w:rPr>
          <w:rFonts w:ascii="微软雅黑" w:eastAsia="微软雅黑" w:hAnsi="微软雅黑" w:hint="eastAsia"/>
          <w:szCs w:val="21"/>
        </w:rPr>
        <w:t>渠道</w:t>
      </w:r>
      <w:r w:rsidR="00FB7740">
        <w:rPr>
          <w:rFonts w:ascii="微软雅黑" w:eastAsia="微软雅黑" w:hAnsi="微软雅黑" w:hint="eastAsia"/>
          <w:szCs w:val="21"/>
        </w:rPr>
        <w:t>，</w:t>
      </w:r>
      <w:r w:rsidR="00FB7740" w:rsidRPr="00FB7740">
        <w:rPr>
          <w:rFonts w:ascii="微软雅黑" w:eastAsia="微软雅黑" w:hAnsi="微软雅黑" w:hint="eastAsia"/>
          <w:szCs w:val="21"/>
        </w:rPr>
        <w:t>更擅长</w:t>
      </w:r>
      <w:r>
        <w:rPr>
          <w:rFonts w:ascii="微软雅黑" w:eastAsia="微软雅黑" w:hAnsi="微软雅黑" w:hint="eastAsia"/>
          <w:szCs w:val="21"/>
        </w:rPr>
        <w:t>的是</w:t>
      </w:r>
      <w:r w:rsidR="00FB7740" w:rsidRPr="00FB7740">
        <w:rPr>
          <w:rFonts w:ascii="微软雅黑" w:eastAsia="微软雅黑" w:hAnsi="微软雅黑" w:hint="eastAsia"/>
          <w:szCs w:val="21"/>
        </w:rPr>
        <w:t>即时的互动交流</w:t>
      </w:r>
      <w:r w:rsidR="00FB7740">
        <w:rPr>
          <w:rFonts w:ascii="微软雅黑" w:eastAsia="微软雅黑" w:hAnsi="微软雅黑" w:hint="eastAsia"/>
          <w:szCs w:val="21"/>
        </w:rPr>
        <w:t>，虽然人际性更强</w:t>
      </w:r>
      <w:r w:rsidR="00FB7740" w:rsidRPr="00FB7740">
        <w:rPr>
          <w:rFonts w:ascii="微软雅黑" w:eastAsia="微软雅黑" w:hAnsi="微软雅黑" w:hint="eastAsia"/>
          <w:szCs w:val="21"/>
        </w:rPr>
        <w:t>，</w:t>
      </w:r>
      <w:r w:rsidR="00FB7740">
        <w:rPr>
          <w:rFonts w:ascii="微软雅黑" w:eastAsia="微软雅黑" w:hAnsi="微软雅黑" w:hint="eastAsia"/>
          <w:szCs w:val="21"/>
        </w:rPr>
        <w:t>但却</w:t>
      </w:r>
      <w:r w:rsidR="00FB7740" w:rsidRPr="00FB7740">
        <w:rPr>
          <w:rFonts w:ascii="微软雅黑" w:eastAsia="微软雅黑" w:hAnsi="微软雅黑" w:hint="eastAsia"/>
          <w:szCs w:val="21"/>
        </w:rPr>
        <w:t>是一种碎片化的</w:t>
      </w:r>
      <w:r w:rsidR="00FB7740">
        <w:rPr>
          <w:rFonts w:ascii="微软雅黑" w:eastAsia="微软雅黑" w:hAnsi="微软雅黑" w:hint="eastAsia"/>
          <w:szCs w:val="21"/>
        </w:rPr>
        <w:t>、</w:t>
      </w:r>
      <w:r w:rsidR="00FB7740" w:rsidRPr="00FB7740">
        <w:rPr>
          <w:rFonts w:ascii="微软雅黑" w:eastAsia="微软雅黑" w:hAnsi="微软雅黑" w:hint="eastAsia"/>
          <w:szCs w:val="21"/>
        </w:rPr>
        <w:t>转瞬即逝的浅阅读。</w:t>
      </w:r>
      <w:r w:rsidR="00FB7740">
        <w:rPr>
          <w:rFonts w:ascii="微软雅黑" w:eastAsia="微软雅黑" w:hAnsi="微软雅黑" w:hint="eastAsia"/>
          <w:szCs w:val="21"/>
        </w:rPr>
        <w:t>从当前博客发布的内容来看，以财经股评、</w:t>
      </w:r>
      <w:r w:rsidR="00FB7740" w:rsidRPr="00FB7740">
        <w:rPr>
          <w:rFonts w:ascii="微软雅黑" w:eastAsia="微软雅黑" w:hAnsi="微软雅黑" w:hint="eastAsia"/>
          <w:szCs w:val="21"/>
        </w:rPr>
        <w:t>历史、人文类的信息</w:t>
      </w:r>
      <w:r w:rsidR="00FB7740">
        <w:rPr>
          <w:rFonts w:ascii="微软雅黑" w:eastAsia="微软雅黑" w:hAnsi="微软雅黑" w:hint="eastAsia"/>
          <w:szCs w:val="21"/>
        </w:rPr>
        <w:t>比较多，</w:t>
      </w:r>
      <w:r>
        <w:rPr>
          <w:rFonts w:ascii="微软雅黑" w:eastAsia="微软雅黑" w:hAnsi="微软雅黑" w:hint="eastAsia"/>
          <w:szCs w:val="21"/>
        </w:rPr>
        <w:t>旅游体验分享、社会新闻分析等</w:t>
      </w:r>
      <w:r w:rsidR="00FB7740">
        <w:rPr>
          <w:rFonts w:ascii="微软雅黑" w:eastAsia="微软雅黑" w:hAnsi="微软雅黑" w:hint="eastAsia"/>
          <w:szCs w:val="21"/>
        </w:rPr>
        <w:t>也</w:t>
      </w:r>
      <w:r>
        <w:rPr>
          <w:rFonts w:ascii="微软雅黑" w:eastAsia="微软雅黑" w:hAnsi="微软雅黑" w:hint="eastAsia"/>
          <w:szCs w:val="21"/>
        </w:rPr>
        <w:t>占据一定比例</w:t>
      </w:r>
      <w:r w:rsidR="00FB7740" w:rsidRPr="00FB7740">
        <w:rPr>
          <w:rFonts w:ascii="微软雅黑" w:eastAsia="微软雅黑" w:hAnsi="微软雅黑" w:hint="eastAsia"/>
          <w:szCs w:val="21"/>
        </w:rPr>
        <w:t>。</w:t>
      </w:r>
      <w:r w:rsidR="004E0AF9">
        <w:rPr>
          <w:rFonts w:ascii="微软雅黑" w:eastAsia="微软雅黑" w:hAnsi="微软雅黑" w:hint="eastAsia"/>
          <w:szCs w:val="21"/>
        </w:rPr>
        <w:t>对这些信息有需求的用户，仍然不排除</w:t>
      </w:r>
      <w:r w:rsidR="00661255">
        <w:rPr>
          <w:rFonts w:ascii="微软雅黑" w:eastAsia="微软雅黑" w:hAnsi="微软雅黑" w:hint="eastAsia"/>
          <w:szCs w:val="21"/>
        </w:rPr>
        <w:t>通过博客这一渠道去获取相关资讯和信息，因此必然会有一定的用户留存。</w:t>
      </w:r>
    </w:p>
    <w:p w:rsidR="00C95DD1" w:rsidRDefault="00C95DD1" w:rsidP="00C16CE4">
      <w:pPr>
        <w:snapToGrid w:val="0"/>
        <w:rPr>
          <w:rFonts w:ascii="微软雅黑" w:eastAsia="微软雅黑" w:hAnsi="微软雅黑"/>
          <w:szCs w:val="21"/>
        </w:rPr>
      </w:pPr>
    </w:p>
    <w:p w:rsidR="008B05CF" w:rsidRPr="009D423B" w:rsidRDefault="008B05CF" w:rsidP="006507C8">
      <w:pPr>
        <w:snapToGrid w:val="0"/>
        <w:jc w:val="center"/>
        <w:rPr>
          <w:rFonts w:ascii="微软雅黑" w:eastAsia="微软雅黑" w:hAnsi="微软雅黑"/>
          <w:noProof/>
          <w:szCs w:val="21"/>
        </w:rPr>
      </w:pPr>
      <w:r>
        <w:rPr>
          <w:noProof/>
        </w:rPr>
        <w:drawing>
          <wp:inline distT="0" distB="0" distL="0" distR="0">
            <wp:extent cx="4798800" cy="3060000"/>
            <wp:effectExtent l="0" t="0" r="20955" b="26670"/>
            <wp:docPr id="97509" name="图表 97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507C8" w:rsidRDefault="00C564F4" w:rsidP="006507C8">
      <w:pPr>
        <w:pStyle w:val="ab"/>
      </w:pPr>
      <w:bookmarkStart w:id="102" w:name="_Toc524418139"/>
      <w:r>
        <w:rPr>
          <w:rFonts w:hint="eastAsia"/>
        </w:rPr>
        <w:t>图3-</w:t>
      </w:r>
      <w:r w:rsidR="001C3D3F" w:rsidRPr="009D423B">
        <w:t>3</w:t>
      </w:r>
      <w:r w:rsidR="001C3D3F">
        <w:rPr>
          <w:rFonts w:hint="eastAsia"/>
        </w:rPr>
        <w:t>4</w:t>
      </w:r>
      <w:r w:rsidR="001C3D3F" w:rsidRPr="009D423B">
        <w:t xml:space="preserve">  </w:t>
      </w:r>
      <w:r w:rsidR="0050355B">
        <w:t>2017年</w:t>
      </w:r>
      <w:r w:rsidR="006507C8" w:rsidRPr="009D423B">
        <w:rPr>
          <w:rFonts w:hint="eastAsia"/>
        </w:rPr>
        <w:t>12</w:t>
      </w:r>
      <w:r w:rsidR="006507C8" w:rsidRPr="009D423B">
        <w:t>月</w:t>
      </w:r>
      <w:r w:rsidR="006507C8" w:rsidRPr="009D423B">
        <w:rPr>
          <w:rFonts w:hint="eastAsia"/>
        </w:rPr>
        <w:t>陕</w:t>
      </w:r>
      <w:r w:rsidR="006507C8" w:rsidRPr="009D423B">
        <w:t>西省网民使用的主要社区交友网站</w:t>
      </w:r>
      <w:bookmarkEnd w:id="102"/>
    </w:p>
    <w:p w:rsidR="00C16CE4" w:rsidRPr="00C16CE4" w:rsidRDefault="00C16CE4" w:rsidP="00C16CE4"/>
    <w:p w:rsidR="006507C8" w:rsidRPr="009D423B" w:rsidRDefault="006507C8" w:rsidP="006507C8">
      <w:pPr>
        <w:spacing w:line="400" w:lineRule="exact"/>
        <w:outlineLvl w:val="3"/>
        <w:rPr>
          <w:rFonts w:ascii="微软雅黑" w:eastAsia="微软雅黑" w:hAnsi="微软雅黑"/>
          <w:b/>
        </w:rPr>
      </w:pPr>
      <w:bookmarkStart w:id="103" w:name="_Toc524417988"/>
      <w:r w:rsidRPr="009D423B">
        <w:rPr>
          <w:rFonts w:ascii="微软雅黑" w:eastAsia="微软雅黑" w:hAnsi="微软雅黑" w:hint="eastAsia"/>
          <w:b/>
        </w:rPr>
        <w:t>5.</w:t>
      </w:r>
      <w:r w:rsidR="00714508">
        <w:rPr>
          <w:rFonts w:ascii="微软雅黑" w:eastAsia="微软雅黑" w:hAnsi="微软雅黑" w:hint="eastAsia"/>
          <w:b/>
        </w:rPr>
        <w:t>PC端</w:t>
      </w:r>
      <w:r w:rsidRPr="009D423B">
        <w:rPr>
          <w:rFonts w:ascii="微软雅黑" w:eastAsia="微软雅黑" w:hAnsi="微软雅黑" w:hint="eastAsia"/>
          <w:b/>
        </w:rPr>
        <w:t>网民使用</w:t>
      </w:r>
      <w:r w:rsidR="002728EE" w:rsidRPr="009D423B">
        <w:rPr>
          <w:rFonts w:ascii="微软雅黑" w:eastAsia="微软雅黑" w:hAnsi="微软雅黑" w:hint="eastAsia"/>
          <w:b/>
        </w:rPr>
        <w:t>电子商务</w:t>
      </w:r>
      <w:r w:rsidRPr="009D423B">
        <w:rPr>
          <w:rFonts w:ascii="微软雅黑" w:eastAsia="微软雅黑" w:hAnsi="微软雅黑" w:hint="eastAsia"/>
          <w:b/>
        </w:rPr>
        <w:t>服务情况</w:t>
      </w:r>
      <w:bookmarkEnd w:id="103"/>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（1）</w:t>
      </w:r>
      <w:r w:rsidR="00FE440C" w:rsidRPr="009D423B">
        <w:rPr>
          <w:rFonts w:ascii="微软雅黑" w:eastAsia="微软雅黑" w:hAnsi="微软雅黑" w:cs="宋体" w:hint="eastAsia"/>
          <w:b/>
          <w:bCs/>
          <w:szCs w:val="21"/>
        </w:rPr>
        <w:t>使用</w:t>
      </w:r>
      <w:r w:rsidR="00FE440C">
        <w:rPr>
          <w:rFonts w:ascii="微软雅黑" w:eastAsia="微软雅黑" w:hAnsi="微软雅黑" w:cs="宋体" w:hint="eastAsia"/>
          <w:b/>
          <w:bCs/>
          <w:szCs w:val="21"/>
        </w:rPr>
        <w:t>电子商务</w:t>
      </w:r>
      <w:r w:rsidR="00FE440C" w:rsidRPr="009D423B">
        <w:rPr>
          <w:rFonts w:ascii="微软雅黑" w:eastAsia="微软雅黑" w:hAnsi="微软雅黑" w:cs="宋体" w:hint="eastAsia"/>
          <w:b/>
          <w:bCs/>
          <w:szCs w:val="21"/>
        </w:rPr>
        <w:t>网民</w:t>
      </w:r>
      <w:r w:rsidR="00FE440C">
        <w:rPr>
          <w:rFonts w:ascii="微软雅黑" w:eastAsia="微软雅黑" w:hAnsi="微软雅黑" w:cs="宋体" w:hint="eastAsia"/>
          <w:b/>
          <w:bCs/>
          <w:szCs w:val="21"/>
        </w:rPr>
        <w:t>月度覆盖比例</w:t>
      </w:r>
    </w:p>
    <w:p w:rsidR="008B05CF" w:rsidRPr="009944BB" w:rsidRDefault="0050355B" w:rsidP="0008412B">
      <w:pPr>
        <w:snapToGrid w:val="0"/>
        <w:spacing w:line="400" w:lineRule="exact"/>
        <w:ind w:firstLineChars="200" w:firstLine="420"/>
        <w:rPr>
          <w:rFonts w:ascii="微软雅黑" w:eastAsia="微软雅黑" w:hAnsi="微软雅黑"/>
          <w:noProof/>
          <w:szCs w:val="21"/>
        </w:rPr>
      </w:pPr>
      <w:r>
        <w:rPr>
          <w:rFonts w:ascii="微软雅黑" w:eastAsia="微软雅黑" w:hAnsi="微软雅黑"/>
          <w:szCs w:val="21"/>
        </w:rPr>
        <w:t>2017年</w:t>
      </w:r>
      <w:r w:rsidR="006507C8" w:rsidRPr="009D423B">
        <w:rPr>
          <w:rFonts w:ascii="微软雅黑" w:eastAsia="微软雅黑" w:hAnsi="微软雅黑"/>
          <w:szCs w:val="21"/>
        </w:rPr>
        <w:t>，陕西省使用</w:t>
      </w:r>
      <w:r w:rsidR="006507C8" w:rsidRPr="009D423B">
        <w:rPr>
          <w:rFonts w:ascii="微软雅黑" w:eastAsia="微软雅黑" w:hAnsi="微软雅黑" w:hint="eastAsia"/>
          <w:szCs w:val="21"/>
        </w:rPr>
        <w:t>电子商务</w:t>
      </w:r>
      <w:r w:rsidR="006507C8" w:rsidRPr="009D423B">
        <w:rPr>
          <w:rFonts w:ascii="微软雅黑" w:eastAsia="微软雅黑" w:hAnsi="微软雅黑"/>
          <w:szCs w:val="21"/>
        </w:rPr>
        <w:t>的网民</w:t>
      </w:r>
      <w:r w:rsidR="0081005D">
        <w:rPr>
          <w:rFonts w:ascii="微软雅黑" w:eastAsia="微软雅黑" w:hAnsi="微软雅黑" w:hint="eastAsia"/>
          <w:szCs w:val="21"/>
        </w:rPr>
        <w:t>月度覆盖比例</w:t>
      </w:r>
      <w:r w:rsidR="00337140" w:rsidRPr="009D423B">
        <w:rPr>
          <w:rFonts w:ascii="微软雅黑" w:eastAsia="微软雅黑" w:hAnsi="微软雅黑"/>
          <w:szCs w:val="21"/>
        </w:rPr>
        <w:t>保持</w:t>
      </w:r>
      <w:r w:rsidR="006507C8" w:rsidRPr="009D423B">
        <w:rPr>
          <w:rFonts w:ascii="微软雅黑" w:eastAsia="微软雅黑" w:hAnsi="微软雅黑" w:hint="eastAsia"/>
          <w:szCs w:val="21"/>
        </w:rPr>
        <w:t>平稳</w:t>
      </w:r>
      <w:r w:rsidR="0081005D">
        <w:rPr>
          <w:rFonts w:ascii="微软雅黑" w:eastAsia="微软雅黑" w:hAnsi="微软雅黑" w:hint="eastAsia"/>
          <w:szCs w:val="21"/>
        </w:rPr>
        <w:t>，这主要与电子商务已经步入成熟发展阶段</w:t>
      </w:r>
      <w:r w:rsidR="0048797F">
        <w:rPr>
          <w:rFonts w:ascii="微软雅黑" w:eastAsia="微软雅黑" w:hAnsi="微软雅黑" w:hint="eastAsia"/>
          <w:szCs w:val="21"/>
        </w:rPr>
        <w:t>，有着相对</w:t>
      </w:r>
      <w:r w:rsidR="001A557A">
        <w:rPr>
          <w:rFonts w:ascii="微软雅黑" w:eastAsia="微软雅黑" w:hAnsi="微软雅黑" w:hint="eastAsia"/>
          <w:szCs w:val="21"/>
        </w:rPr>
        <w:t>稳定的使用习惯</w:t>
      </w:r>
      <w:r w:rsidR="009944BB">
        <w:rPr>
          <w:rFonts w:ascii="微软雅黑" w:eastAsia="微软雅黑" w:hAnsi="微软雅黑" w:hint="eastAsia"/>
          <w:szCs w:val="21"/>
        </w:rPr>
        <w:t>是密切</w:t>
      </w:r>
      <w:r w:rsidR="00172704">
        <w:rPr>
          <w:rFonts w:ascii="微软雅黑" w:eastAsia="微软雅黑" w:hAnsi="微软雅黑" w:hint="eastAsia"/>
          <w:szCs w:val="21"/>
        </w:rPr>
        <w:t>相关的</w:t>
      </w:r>
      <w:r w:rsidR="0081005D">
        <w:rPr>
          <w:rFonts w:ascii="微软雅黑" w:eastAsia="微软雅黑" w:hAnsi="微软雅黑" w:hint="eastAsia"/>
          <w:szCs w:val="21"/>
        </w:rPr>
        <w:t>。</w:t>
      </w:r>
      <w:r w:rsidR="009944BB">
        <w:rPr>
          <w:rFonts w:ascii="微软雅黑" w:eastAsia="微软雅黑" w:hAnsi="微软雅黑" w:hint="eastAsia"/>
          <w:szCs w:val="21"/>
        </w:rPr>
        <w:t>全年来看，</w:t>
      </w:r>
      <w:r w:rsidR="00003CFE">
        <w:rPr>
          <w:rFonts w:ascii="微软雅黑" w:eastAsia="微软雅黑" w:hAnsi="微软雅黑" w:hint="eastAsia"/>
          <w:szCs w:val="21"/>
        </w:rPr>
        <w:t>陕西省网民</w:t>
      </w:r>
      <w:r w:rsidR="009944BB">
        <w:rPr>
          <w:rFonts w:ascii="微软雅黑" w:eastAsia="微软雅黑" w:hAnsi="微软雅黑" w:hint="eastAsia"/>
          <w:szCs w:val="21"/>
        </w:rPr>
        <w:t>月度覆盖比例</w:t>
      </w:r>
      <w:r w:rsidR="00003CFE">
        <w:rPr>
          <w:rFonts w:ascii="微软雅黑" w:eastAsia="微软雅黑" w:hAnsi="微软雅黑" w:hint="eastAsia"/>
          <w:szCs w:val="21"/>
        </w:rPr>
        <w:t>平均值</w:t>
      </w:r>
      <w:r w:rsidR="009944BB">
        <w:rPr>
          <w:rFonts w:ascii="微软雅黑" w:eastAsia="微软雅黑" w:hAnsi="微软雅黑" w:hint="eastAsia"/>
          <w:szCs w:val="21"/>
        </w:rPr>
        <w:t>为81.0%</w:t>
      </w:r>
      <w:r w:rsidR="00003CFE">
        <w:rPr>
          <w:rFonts w:ascii="微软雅黑" w:eastAsia="微软雅黑" w:hAnsi="微软雅黑" w:hint="eastAsia"/>
          <w:szCs w:val="21"/>
        </w:rPr>
        <w:t>，也是PC端渗透率较高的网络服务类型之一。</w:t>
      </w:r>
    </w:p>
    <w:p w:rsidR="008B05CF" w:rsidRPr="009D423B" w:rsidRDefault="008B05CF" w:rsidP="006507C8">
      <w:pPr>
        <w:jc w:val="center"/>
        <w:rPr>
          <w:rFonts w:ascii="微软雅黑" w:eastAsia="微软雅黑" w:hAnsi="微软雅黑"/>
          <w:noProof/>
          <w:szCs w:val="21"/>
        </w:rPr>
      </w:pPr>
      <w:r>
        <w:rPr>
          <w:noProof/>
        </w:rPr>
        <w:drawing>
          <wp:inline distT="0" distB="0" distL="0" distR="0">
            <wp:extent cx="4809600" cy="2880000"/>
            <wp:effectExtent l="0" t="0" r="10160" b="15875"/>
            <wp:docPr id="97510" name="图表 97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507C8" w:rsidRPr="009D423B" w:rsidRDefault="00C564F4" w:rsidP="006507C8">
      <w:pPr>
        <w:pStyle w:val="ab"/>
      </w:pPr>
      <w:bookmarkStart w:id="104" w:name="_Toc524418140"/>
      <w:r>
        <w:rPr>
          <w:rFonts w:hint="eastAsia"/>
        </w:rPr>
        <w:t>图3-</w:t>
      </w:r>
      <w:r w:rsidR="001C3D3F" w:rsidRPr="009D423B">
        <w:t>3</w:t>
      </w:r>
      <w:r w:rsidR="001C3D3F">
        <w:rPr>
          <w:rFonts w:hint="eastAsia"/>
        </w:rPr>
        <w:t>5</w:t>
      </w:r>
      <w:r w:rsidR="001C3D3F" w:rsidRPr="009D423B">
        <w:t xml:space="preserve">  </w:t>
      </w:r>
      <w:r w:rsidR="0050355B">
        <w:t>2017年</w:t>
      </w:r>
      <w:r w:rsidR="006507C8" w:rsidRPr="009D423B">
        <w:t>陕西省</w:t>
      </w:r>
      <w:r w:rsidR="006507C8" w:rsidRPr="009D423B">
        <w:rPr>
          <w:rFonts w:hint="eastAsia"/>
        </w:rPr>
        <w:t>网民</w:t>
      </w:r>
      <w:r w:rsidR="006507C8" w:rsidRPr="009D423B">
        <w:t>使用</w:t>
      </w:r>
      <w:r w:rsidR="006507C8" w:rsidRPr="009D423B">
        <w:rPr>
          <w:rFonts w:hint="eastAsia"/>
        </w:rPr>
        <w:t>电子商务服务月度覆盖人数</w:t>
      </w:r>
      <w:bookmarkEnd w:id="104"/>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（2）使用电子商务服务的粘性</w:t>
      </w:r>
    </w:p>
    <w:p w:rsidR="006507C8" w:rsidRPr="0008412B" w:rsidRDefault="006507C8" w:rsidP="006507C8">
      <w:pPr>
        <w:widowControl/>
        <w:spacing w:line="400" w:lineRule="exact"/>
        <w:ind w:firstLineChars="200" w:firstLine="420"/>
        <w:jc w:val="left"/>
        <w:rPr>
          <w:rFonts w:ascii="微软雅黑" w:eastAsia="微软雅黑" w:hAnsi="微软雅黑"/>
          <w:b/>
          <w:szCs w:val="21"/>
        </w:rPr>
      </w:pPr>
      <w:r w:rsidRPr="0008412B">
        <w:rPr>
          <w:rFonts w:ascii="微软雅黑" w:eastAsia="微软雅黑" w:hAnsi="微软雅黑"/>
          <w:b/>
          <w:szCs w:val="21"/>
        </w:rPr>
        <w:t>1</w:t>
      </w:r>
      <w:r w:rsidR="00E664AC">
        <w:rPr>
          <w:rFonts w:ascii="微软雅黑" w:eastAsia="微软雅黑" w:hAnsi="微软雅黑"/>
          <w:b/>
          <w:szCs w:val="21"/>
        </w:rPr>
        <w:t>）</w:t>
      </w:r>
      <w:r w:rsidRPr="0008412B">
        <w:rPr>
          <w:rFonts w:ascii="微软雅黑" w:eastAsia="微软雅黑" w:hAnsi="微软雅黑"/>
          <w:b/>
          <w:szCs w:val="21"/>
        </w:rPr>
        <w:t>网民使用</w:t>
      </w:r>
      <w:r w:rsidRPr="0008412B">
        <w:rPr>
          <w:rFonts w:ascii="微软雅黑" w:eastAsia="微软雅黑" w:hAnsi="微软雅黑" w:hint="eastAsia"/>
          <w:b/>
          <w:szCs w:val="21"/>
        </w:rPr>
        <w:t>电子商务服务</w:t>
      </w:r>
      <w:r w:rsidRPr="0008412B">
        <w:rPr>
          <w:rFonts w:ascii="微软雅黑" w:eastAsia="微软雅黑" w:hAnsi="微软雅黑"/>
          <w:b/>
          <w:szCs w:val="21"/>
        </w:rPr>
        <w:t>人均月度访问天数</w:t>
      </w:r>
    </w:p>
    <w:p w:rsidR="008B05CF" w:rsidRDefault="0050355B" w:rsidP="0008412B">
      <w:pPr>
        <w:snapToGrid w:val="0"/>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w:t>
      </w:r>
      <w:r w:rsidR="006507C8" w:rsidRPr="009D423B">
        <w:rPr>
          <w:rFonts w:ascii="微软雅黑" w:eastAsia="微软雅黑" w:hAnsi="微软雅黑" w:hint="eastAsia"/>
          <w:szCs w:val="21"/>
        </w:rPr>
        <w:t>网民人均月度访问天数呈平稳态势，人均月度访问天数为</w:t>
      </w:r>
      <w:r w:rsidR="006507C8" w:rsidRPr="009D423B">
        <w:rPr>
          <w:rFonts w:ascii="微软雅黑" w:eastAsia="微软雅黑" w:hAnsi="微软雅黑"/>
          <w:szCs w:val="21"/>
        </w:rPr>
        <w:t>6.</w:t>
      </w:r>
      <w:r w:rsidR="006F1186">
        <w:rPr>
          <w:rFonts w:ascii="微软雅黑" w:eastAsia="微软雅黑" w:hAnsi="微软雅黑" w:hint="eastAsia"/>
          <w:szCs w:val="21"/>
        </w:rPr>
        <w:t>7</w:t>
      </w:r>
      <w:r w:rsidR="006507C8" w:rsidRPr="009D423B">
        <w:rPr>
          <w:rFonts w:ascii="微软雅黑" w:eastAsia="微软雅黑" w:hAnsi="微软雅黑"/>
          <w:szCs w:val="21"/>
        </w:rPr>
        <w:t>天</w:t>
      </w:r>
      <w:r w:rsidR="006507C8" w:rsidRPr="009D423B">
        <w:rPr>
          <w:rFonts w:ascii="微软雅黑" w:eastAsia="微软雅黑" w:hAnsi="微软雅黑" w:hint="eastAsia"/>
          <w:szCs w:val="21"/>
        </w:rPr>
        <w:t>，与</w:t>
      </w:r>
      <w:r w:rsidR="006F1186" w:rsidRPr="009D423B">
        <w:rPr>
          <w:rFonts w:ascii="微软雅黑" w:eastAsia="微软雅黑" w:hAnsi="微软雅黑" w:hint="eastAsia"/>
          <w:szCs w:val="21"/>
        </w:rPr>
        <w:t>201</w:t>
      </w:r>
      <w:r w:rsidR="006F1186">
        <w:rPr>
          <w:rFonts w:ascii="微软雅黑" w:eastAsia="微软雅黑" w:hAnsi="微软雅黑" w:hint="eastAsia"/>
          <w:szCs w:val="21"/>
        </w:rPr>
        <w:t>6</w:t>
      </w:r>
      <w:r w:rsidR="006507C8" w:rsidRPr="009D423B">
        <w:rPr>
          <w:rFonts w:ascii="微软雅黑" w:eastAsia="微软雅黑" w:hAnsi="微软雅黑" w:hint="eastAsia"/>
          <w:szCs w:val="21"/>
        </w:rPr>
        <w:t>年</w:t>
      </w:r>
      <w:r w:rsidR="006F1186">
        <w:rPr>
          <w:rFonts w:ascii="微软雅黑" w:eastAsia="微软雅黑" w:hAnsi="微软雅黑" w:hint="eastAsia"/>
          <w:szCs w:val="21"/>
        </w:rPr>
        <w:t>基本</w:t>
      </w:r>
      <w:r w:rsidR="006507C8" w:rsidRPr="009D423B">
        <w:rPr>
          <w:rFonts w:ascii="微软雅黑" w:eastAsia="微软雅黑" w:hAnsi="微软雅黑" w:hint="eastAsia"/>
          <w:szCs w:val="21"/>
        </w:rPr>
        <w:t>持平</w:t>
      </w:r>
      <w:r w:rsidR="006507C8" w:rsidRPr="009D423B">
        <w:rPr>
          <w:rFonts w:ascii="微软雅黑" w:eastAsia="微软雅黑" w:hAnsi="微软雅黑"/>
          <w:szCs w:val="21"/>
        </w:rPr>
        <w:t>。这</w:t>
      </w:r>
      <w:r w:rsidR="0008412B">
        <w:rPr>
          <w:rFonts w:ascii="微软雅黑" w:eastAsia="微软雅黑" w:hAnsi="微软雅黑"/>
          <w:szCs w:val="21"/>
        </w:rPr>
        <w:t>再次</w:t>
      </w:r>
      <w:r w:rsidR="006507C8" w:rsidRPr="009D423B">
        <w:rPr>
          <w:rFonts w:ascii="微软雅黑" w:eastAsia="微软雅黑" w:hAnsi="微软雅黑"/>
          <w:szCs w:val="21"/>
        </w:rPr>
        <w:t>反映出</w:t>
      </w:r>
      <w:r w:rsidR="006F1186">
        <w:rPr>
          <w:rFonts w:ascii="微软雅黑" w:eastAsia="微软雅黑" w:hAnsi="微软雅黑" w:hint="eastAsia"/>
          <w:szCs w:val="21"/>
        </w:rPr>
        <w:t>在PC端有购物行为的网民，其使用习惯已比较稳定。</w:t>
      </w:r>
      <w:r w:rsidR="0008412B">
        <w:rPr>
          <w:rFonts w:ascii="微软雅黑" w:eastAsia="微软雅黑" w:hAnsi="微软雅黑" w:hint="eastAsia"/>
          <w:szCs w:val="21"/>
        </w:rPr>
        <w:t>总体来看，受“双十一”电商平台促销的影响，10月和11月是全年网络购物人均月度访问天数</w:t>
      </w:r>
      <w:r w:rsidR="004C5798">
        <w:rPr>
          <w:rFonts w:ascii="微软雅黑" w:eastAsia="微软雅黑" w:hAnsi="微软雅黑" w:hint="eastAsia"/>
          <w:szCs w:val="21"/>
        </w:rPr>
        <w:t>相对</w:t>
      </w:r>
      <w:r w:rsidR="0008412B">
        <w:rPr>
          <w:rFonts w:ascii="微软雅黑" w:eastAsia="微软雅黑" w:hAnsi="微软雅黑" w:hint="eastAsia"/>
          <w:szCs w:val="21"/>
        </w:rPr>
        <w:t>较高的月份。</w:t>
      </w:r>
    </w:p>
    <w:p w:rsidR="008B05CF" w:rsidRPr="009D423B" w:rsidRDefault="008B05CF" w:rsidP="006507C8">
      <w:pPr>
        <w:snapToGrid w:val="0"/>
        <w:jc w:val="center"/>
        <w:rPr>
          <w:rFonts w:ascii="微软雅黑" w:eastAsia="微软雅黑" w:hAnsi="微软雅黑"/>
          <w:szCs w:val="21"/>
        </w:rPr>
      </w:pPr>
      <w:r>
        <w:rPr>
          <w:noProof/>
        </w:rPr>
        <w:drawing>
          <wp:inline distT="0" distB="0" distL="0" distR="0">
            <wp:extent cx="4809600" cy="2880000"/>
            <wp:effectExtent l="0" t="0" r="10160" b="15875"/>
            <wp:docPr id="97511" name="图表 97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507C8" w:rsidRPr="009D423B" w:rsidRDefault="00C564F4" w:rsidP="006507C8">
      <w:pPr>
        <w:pStyle w:val="ab"/>
      </w:pPr>
      <w:bookmarkStart w:id="105" w:name="_Toc524418141"/>
      <w:r>
        <w:rPr>
          <w:rFonts w:hint="eastAsia"/>
        </w:rPr>
        <w:t>图3-</w:t>
      </w:r>
      <w:r w:rsidR="001C3D3F">
        <w:rPr>
          <w:rFonts w:hint="eastAsia"/>
        </w:rPr>
        <w:t>36</w:t>
      </w:r>
      <w:r w:rsidR="001C3D3F" w:rsidRPr="009D423B">
        <w:t xml:space="preserve">  </w:t>
      </w:r>
      <w:r w:rsidR="0050355B">
        <w:t>2017年</w:t>
      </w:r>
      <w:r w:rsidR="006507C8" w:rsidRPr="009D423B">
        <w:t>陕西省网民使用</w:t>
      </w:r>
      <w:r w:rsidR="006507C8" w:rsidRPr="009D423B">
        <w:rPr>
          <w:rFonts w:hint="eastAsia"/>
        </w:rPr>
        <w:t>电子商务</w:t>
      </w:r>
      <w:r w:rsidR="006507C8" w:rsidRPr="009D423B">
        <w:t>人均月度访问天</w:t>
      </w:r>
      <w:r w:rsidR="006507C8" w:rsidRPr="009D423B">
        <w:rPr>
          <w:rFonts w:hint="eastAsia"/>
        </w:rPr>
        <w:t>数</w:t>
      </w:r>
      <w:bookmarkEnd w:id="105"/>
    </w:p>
    <w:p w:rsidR="006507C8" w:rsidRPr="0008412B" w:rsidRDefault="006507C8" w:rsidP="006507C8">
      <w:pPr>
        <w:widowControl/>
        <w:spacing w:line="400" w:lineRule="exact"/>
        <w:ind w:firstLineChars="200" w:firstLine="420"/>
        <w:jc w:val="left"/>
        <w:rPr>
          <w:rFonts w:ascii="微软雅黑" w:eastAsia="微软雅黑" w:hAnsi="微软雅黑"/>
          <w:b/>
          <w:szCs w:val="21"/>
        </w:rPr>
      </w:pPr>
      <w:r w:rsidRPr="0008412B">
        <w:rPr>
          <w:rFonts w:ascii="微软雅黑" w:eastAsia="微软雅黑" w:hAnsi="微软雅黑"/>
          <w:b/>
          <w:szCs w:val="21"/>
        </w:rPr>
        <w:t>2）使用</w:t>
      </w:r>
      <w:r w:rsidRPr="0008412B">
        <w:rPr>
          <w:rFonts w:ascii="微软雅黑" w:eastAsia="微软雅黑" w:hAnsi="微软雅黑" w:hint="eastAsia"/>
          <w:b/>
          <w:szCs w:val="21"/>
        </w:rPr>
        <w:t>电子商务服务</w:t>
      </w:r>
      <w:r w:rsidRPr="0008412B">
        <w:rPr>
          <w:rFonts w:ascii="微软雅黑" w:eastAsia="微软雅黑" w:hAnsi="微软雅黑"/>
          <w:b/>
          <w:szCs w:val="21"/>
        </w:rPr>
        <w:t>人均月度访问次数</w:t>
      </w:r>
    </w:p>
    <w:p w:rsidR="008B05CF" w:rsidRDefault="0050355B" w:rsidP="004C5798">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006507C8" w:rsidRPr="009D423B">
        <w:rPr>
          <w:rFonts w:ascii="微软雅黑" w:eastAsia="微软雅黑" w:hAnsi="微软雅黑"/>
          <w:szCs w:val="21"/>
        </w:rPr>
        <w:t>，陕西省网民使用</w:t>
      </w:r>
      <w:r w:rsidR="006507C8" w:rsidRPr="009D423B">
        <w:rPr>
          <w:rFonts w:ascii="微软雅黑" w:eastAsia="微软雅黑" w:hAnsi="微软雅黑" w:hint="eastAsia"/>
          <w:szCs w:val="21"/>
        </w:rPr>
        <w:t>电子商务</w:t>
      </w:r>
      <w:r w:rsidR="006507C8" w:rsidRPr="009D423B">
        <w:rPr>
          <w:rFonts w:ascii="微软雅黑" w:eastAsia="微软雅黑" w:hAnsi="微软雅黑"/>
          <w:szCs w:val="21"/>
        </w:rPr>
        <w:t>的人均月度访问次数</w:t>
      </w:r>
      <w:r w:rsidR="004C5798">
        <w:rPr>
          <w:rFonts w:ascii="微软雅黑" w:eastAsia="微软雅黑" w:hAnsi="微软雅黑"/>
          <w:szCs w:val="21"/>
        </w:rPr>
        <w:t>整体呈现稳步增长趋势</w:t>
      </w:r>
      <w:r w:rsidR="004C5798">
        <w:rPr>
          <w:rFonts w:ascii="微软雅黑" w:eastAsia="微软雅黑" w:hAnsi="微软雅黑" w:hint="eastAsia"/>
          <w:szCs w:val="21"/>
        </w:rPr>
        <w:t>，全年</w:t>
      </w:r>
      <w:r w:rsidR="004C5798">
        <w:rPr>
          <w:rFonts w:ascii="微软雅黑" w:eastAsia="微软雅黑" w:hAnsi="微软雅黑"/>
          <w:szCs w:val="21"/>
        </w:rPr>
        <w:t>平均值为</w:t>
      </w:r>
      <w:r w:rsidR="004C5798">
        <w:rPr>
          <w:rFonts w:ascii="微软雅黑" w:eastAsia="微软雅黑" w:hAnsi="微软雅黑" w:hint="eastAsia"/>
          <w:szCs w:val="21"/>
        </w:rPr>
        <w:t>66.6次，与2016年相比提高了7次。全年来看，11月份的访问次数显著高于其他月份，达到83.5次，而其他月份仅在70次左右或以下，这</w:t>
      </w:r>
      <w:r w:rsidR="0012192A">
        <w:rPr>
          <w:rFonts w:ascii="微软雅黑" w:eastAsia="微软雅黑" w:hAnsi="微软雅黑" w:hint="eastAsia"/>
          <w:szCs w:val="21"/>
        </w:rPr>
        <w:t>也</w:t>
      </w:r>
      <w:r w:rsidR="004C5798">
        <w:rPr>
          <w:rFonts w:ascii="微软雅黑" w:eastAsia="微软雅黑" w:hAnsi="微软雅黑" w:hint="eastAsia"/>
          <w:szCs w:val="21"/>
        </w:rPr>
        <w:t>主要是受“双十一”的影响而导致的。</w:t>
      </w:r>
    </w:p>
    <w:p w:rsidR="008B05CF" w:rsidRPr="009D423B" w:rsidRDefault="008B05CF" w:rsidP="006507C8">
      <w:pPr>
        <w:snapToGrid w:val="0"/>
        <w:jc w:val="center"/>
        <w:rPr>
          <w:rFonts w:ascii="微软雅黑" w:eastAsia="微软雅黑" w:hAnsi="微软雅黑"/>
          <w:szCs w:val="21"/>
        </w:rPr>
      </w:pPr>
      <w:r>
        <w:rPr>
          <w:noProof/>
        </w:rPr>
        <w:drawing>
          <wp:inline distT="0" distB="0" distL="0" distR="0">
            <wp:extent cx="4809600" cy="2880000"/>
            <wp:effectExtent l="0" t="0" r="10160" b="15875"/>
            <wp:docPr id="97512" name="图表 97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07C8" w:rsidRPr="009D423B" w:rsidRDefault="00C564F4" w:rsidP="006507C8">
      <w:pPr>
        <w:pStyle w:val="ab"/>
      </w:pPr>
      <w:bookmarkStart w:id="106" w:name="_Toc524418142"/>
      <w:r>
        <w:rPr>
          <w:rFonts w:hint="eastAsia"/>
        </w:rPr>
        <w:t>图3-</w:t>
      </w:r>
      <w:r w:rsidR="001C3D3F">
        <w:rPr>
          <w:rFonts w:hint="eastAsia"/>
        </w:rPr>
        <w:t>37</w:t>
      </w:r>
      <w:r w:rsidR="001C3D3F" w:rsidRPr="009D423B">
        <w:t xml:space="preserve">  </w:t>
      </w:r>
      <w:r w:rsidR="0050355B">
        <w:t>2017年</w:t>
      </w:r>
      <w:r w:rsidR="006507C8" w:rsidRPr="009D423B">
        <w:t>陕西省网民使用</w:t>
      </w:r>
      <w:r w:rsidR="006507C8" w:rsidRPr="009D423B">
        <w:rPr>
          <w:rFonts w:hint="eastAsia"/>
        </w:rPr>
        <w:t>电子商务服务</w:t>
      </w:r>
      <w:r w:rsidR="006507C8" w:rsidRPr="009D423B">
        <w:t>人均月度访问次数</w:t>
      </w:r>
      <w:bookmarkEnd w:id="106"/>
    </w:p>
    <w:p w:rsidR="00574F26" w:rsidRPr="003E0CE0" w:rsidRDefault="00574F26" w:rsidP="00574F26">
      <w:pPr>
        <w:snapToGrid w:val="0"/>
        <w:spacing w:line="400" w:lineRule="exact"/>
        <w:ind w:firstLineChars="202" w:firstLine="424"/>
        <w:rPr>
          <w:rFonts w:ascii="微软雅黑" w:eastAsia="微软雅黑" w:hAnsi="微软雅黑"/>
          <w:b/>
          <w:szCs w:val="21"/>
        </w:rPr>
      </w:pPr>
      <w:r w:rsidRPr="003E0CE0">
        <w:rPr>
          <w:rFonts w:ascii="微软雅黑" w:eastAsia="微软雅黑" w:hAnsi="微软雅黑"/>
          <w:b/>
          <w:szCs w:val="21"/>
        </w:rPr>
        <w:t>3）使用电子商务人均单日有效浏览时间</w:t>
      </w:r>
    </w:p>
    <w:p w:rsidR="00574F26" w:rsidRDefault="00574F26" w:rsidP="001F64F9">
      <w:pPr>
        <w:widowControl/>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szCs w:val="21"/>
        </w:rPr>
        <w:t>陕西省</w:t>
      </w:r>
      <w:r w:rsidRPr="003E0CE0">
        <w:rPr>
          <w:rFonts w:ascii="微软雅黑" w:eastAsia="微软雅黑" w:hAnsi="微软雅黑"/>
          <w:szCs w:val="21"/>
        </w:rPr>
        <w:t>网民使用电子商务服务的人均单日有效浏览时间</w:t>
      </w:r>
      <w:r w:rsidR="001137BD">
        <w:rPr>
          <w:rFonts w:ascii="微软雅黑" w:eastAsia="微软雅黑" w:hAnsi="微软雅黑"/>
          <w:szCs w:val="21"/>
        </w:rPr>
        <w:t>也呈现出稳步增长趋势</w:t>
      </w:r>
      <w:r w:rsidR="001137BD">
        <w:rPr>
          <w:rFonts w:ascii="微软雅黑" w:eastAsia="微软雅黑" w:hAnsi="微软雅黑" w:hint="eastAsia"/>
          <w:szCs w:val="21"/>
        </w:rPr>
        <w:t>，</w:t>
      </w:r>
      <w:r w:rsidR="001137BD">
        <w:rPr>
          <w:rFonts w:ascii="微软雅黑" w:eastAsia="微软雅黑" w:hAnsi="微软雅黑"/>
          <w:szCs w:val="21"/>
        </w:rPr>
        <w:t>全年月均</w:t>
      </w:r>
      <w:r w:rsidRPr="003E0CE0">
        <w:rPr>
          <w:rFonts w:ascii="微软雅黑" w:eastAsia="微软雅黑" w:hAnsi="微软雅黑"/>
          <w:szCs w:val="21"/>
        </w:rPr>
        <w:t>值为</w:t>
      </w:r>
      <w:r w:rsidR="0012192A">
        <w:rPr>
          <w:rFonts w:ascii="微软雅黑" w:eastAsia="微软雅黑" w:hAnsi="微软雅黑" w:hint="eastAsia"/>
          <w:szCs w:val="21"/>
        </w:rPr>
        <w:t>20.0</w:t>
      </w:r>
      <w:r w:rsidR="001137BD">
        <w:rPr>
          <w:rFonts w:ascii="微软雅黑" w:eastAsia="微软雅黑" w:hAnsi="微软雅黑"/>
          <w:szCs w:val="21"/>
        </w:rPr>
        <w:t>分钟</w:t>
      </w:r>
      <w:r w:rsidRPr="003E0CE0">
        <w:rPr>
          <w:rFonts w:ascii="微软雅黑" w:eastAsia="微软雅黑" w:hAnsi="微软雅黑"/>
          <w:szCs w:val="21"/>
        </w:rPr>
        <w:t>。</w:t>
      </w:r>
      <w:r w:rsidR="001137BD">
        <w:rPr>
          <w:rFonts w:ascii="微软雅黑" w:eastAsia="微软雅黑" w:hAnsi="微软雅黑"/>
          <w:szCs w:val="21"/>
        </w:rPr>
        <w:t>整体来看</w:t>
      </w:r>
      <w:r w:rsidR="001137BD">
        <w:rPr>
          <w:rFonts w:ascii="微软雅黑" w:eastAsia="微软雅黑" w:hAnsi="微软雅黑" w:hint="eastAsia"/>
          <w:szCs w:val="21"/>
        </w:rPr>
        <w:t>，</w:t>
      </w:r>
      <w:r w:rsidRPr="003E0CE0">
        <w:rPr>
          <w:rFonts w:ascii="微软雅黑" w:eastAsia="微软雅黑" w:hAnsi="微软雅黑"/>
          <w:szCs w:val="21"/>
        </w:rPr>
        <w:t>“双十一”所在的11月份依然是全省网民人均单日有效浏览时间最长的月份，达到</w:t>
      </w:r>
      <w:r w:rsidR="001137BD">
        <w:rPr>
          <w:rFonts w:ascii="微软雅黑" w:eastAsia="微软雅黑" w:hAnsi="微软雅黑" w:hint="eastAsia"/>
          <w:szCs w:val="21"/>
        </w:rPr>
        <w:t>24.6</w:t>
      </w:r>
      <w:r w:rsidRPr="003E0CE0">
        <w:rPr>
          <w:rFonts w:ascii="微软雅黑" w:eastAsia="微软雅黑" w:hAnsi="微软雅黑"/>
          <w:szCs w:val="21"/>
        </w:rPr>
        <w:t>分钟。</w:t>
      </w:r>
      <w:r w:rsidR="00661255">
        <w:rPr>
          <w:rFonts w:ascii="微软雅黑" w:eastAsia="微软雅黑" w:hAnsi="微软雅黑"/>
          <w:szCs w:val="21"/>
        </w:rPr>
        <w:t>从各项指标的粘性来看</w:t>
      </w:r>
      <w:r w:rsidR="00661255">
        <w:rPr>
          <w:rFonts w:ascii="微软雅黑" w:eastAsia="微软雅黑" w:hAnsi="微软雅黑" w:hint="eastAsia"/>
          <w:szCs w:val="21"/>
        </w:rPr>
        <w:t>，</w:t>
      </w:r>
      <w:r w:rsidR="00661255" w:rsidRPr="003E0CE0">
        <w:rPr>
          <w:rFonts w:ascii="微软雅黑" w:eastAsia="微软雅黑" w:hAnsi="微软雅黑"/>
          <w:szCs w:val="21"/>
        </w:rPr>
        <w:t>电子商务也是PC</w:t>
      </w:r>
      <w:r w:rsidR="00661255">
        <w:rPr>
          <w:rFonts w:ascii="微软雅黑" w:eastAsia="微软雅黑" w:hAnsi="微软雅黑"/>
          <w:szCs w:val="21"/>
        </w:rPr>
        <w:t>端众多网络服务中</w:t>
      </w:r>
      <w:r w:rsidR="00661255" w:rsidRPr="003E0CE0">
        <w:rPr>
          <w:rFonts w:ascii="微软雅黑" w:eastAsia="微软雅黑" w:hAnsi="微软雅黑"/>
          <w:szCs w:val="21"/>
        </w:rPr>
        <w:t>为数不多的人均使用频次</w:t>
      </w:r>
      <w:r w:rsidR="00661255">
        <w:rPr>
          <w:rFonts w:ascii="微软雅黑" w:eastAsia="微软雅黑" w:hAnsi="微软雅黑" w:hint="eastAsia"/>
          <w:szCs w:val="21"/>
        </w:rPr>
        <w:t>及</w:t>
      </w:r>
      <w:r w:rsidR="00661255" w:rsidRPr="003E0CE0">
        <w:rPr>
          <w:rFonts w:ascii="微软雅黑" w:eastAsia="微软雅黑" w:hAnsi="微软雅黑"/>
          <w:szCs w:val="21"/>
        </w:rPr>
        <w:t>时长都还在增加的网络服务类型，这显示出电子商务对于</w:t>
      </w:r>
      <w:r w:rsidR="00661255">
        <w:rPr>
          <w:rFonts w:ascii="微软雅黑" w:eastAsia="微软雅黑" w:hAnsi="微软雅黑"/>
          <w:szCs w:val="21"/>
        </w:rPr>
        <w:t>陕西省</w:t>
      </w:r>
      <w:r w:rsidR="00661255" w:rsidRPr="003E0CE0">
        <w:rPr>
          <w:rFonts w:ascii="微软雅黑" w:eastAsia="微软雅黑" w:hAnsi="微软雅黑"/>
          <w:szCs w:val="21"/>
        </w:rPr>
        <w:t>网民具有较强的使用粘性。</w:t>
      </w:r>
    </w:p>
    <w:p w:rsidR="008B05CF" w:rsidRPr="003E0CE0" w:rsidRDefault="008B05CF" w:rsidP="00574F26">
      <w:pPr>
        <w:jc w:val="center"/>
        <w:rPr>
          <w:rFonts w:ascii="微软雅黑" w:eastAsia="微软雅黑" w:hAnsi="微软雅黑"/>
          <w:szCs w:val="21"/>
        </w:rPr>
      </w:pPr>
      <w:r>
        <w:rPr>
          <w:noProof/>
        </w:rPr>
        <w:drawing>
          <wp:inline distT="0" distB="0" distL="0" distR="0">
            <wp:extent cx="4809600" cy="2880000"/>
            <wp:effectExtent l="0" t="0" r="10160" b="15875"/>
            <wp:docPr id="97513" name="图表 97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74F26" w:rsidRPr="003E0CE0" w:rsidRDefault="00C564F4" w:rsidP="00574F26">
      <w:pPr>
        <w:pStyle w:val="ab"/>
      </w:pPr>
      <w:bookmarkStart w:id="107" w:name="_Toc517164691"/>
      <w:bookmarkStart w:id="108" w:name="_Toc517206471"/>
      <w:bookmarkStart w:id="109" w:name="_Toc524418143"/>
      <w:r>
        <w:t>图3-</w:t>
      </w:r>
      <w:r w:rsidR="001C3D3F">
        <w:rPr>
          <w:rFonts w:hint="eastAsia"/>
        </w:rPr>
        <w:t>38</w:t>
      </w:r>
      <w:r w:rsidR="001C3D3F" w:rsidRPr="003E0CE0">
        <w:t xml:space="preserve">  </w:t>
      </w:r>
      <w:r w:rsidR="00574F26" w:rsidRPr="003E0CE0">
        <w:t>2017年</w:t>
      </w:r>
      <w:r w:rsidR="00574F26">
        <w:t>陕西省</w:t>
      </w:r>
      <w:r w:rsidR="00574F26" w:rsidRPr="003E0CE0">
        <w:t>网民使用电子商务服务人均单日有效浏览时间</w:t>
      </w:r>
      <w:bookmarkEnd w:id="107"/>
      <w:bookmarkEnd w:id="108"/>
      <w:bookmarkEnd w:id="109"/>
    </w:p>
    <w:p w:rsidR="00574F26" w:rsidRPr="003E0CE0" w:rsidRDefault="00574F26" w:rsidP="00574F26">
      <w:pPr>
        <w:snapToGrid w:val="0"/>
        <w:spacing w:line="400" w:lineRule="exact"/>
        <w:ind w:firstLineChars="202" w:firstLine="424"/>
        <w:rPr>
          <w:rFonts w:ascii="微软雅黑" w:eastAsia="微软雅黑" w:hAnsi="微软雅黑"/>
          <w:b/>
          <w:szCs w:val="21"/>
        </w:rPr>
      </w:pPr>
      <w:r w:rsidRPr="003E0CE0">
        <w:rPr>
          <w:rFonts w:ascii="微软雅黑" w:eastAsia="微软雅黑" w:hAnsi="微软雅黑"/>
          <w:b/>
          <w:szCs w:val="21"/>
        </w:rPr>
        <w:t>4）网民使用电子商务服务人均单次浏览页面</w:t>
      </w:r>
    </w:p>
    <w:p w:rsidR="00574F26" w:rsidRDefault="00574F26" w:rsidP="001137BD">
      <w:pPr>
        <w:snapToGrid w:val="0"/>
        <w:spacing w:line="400" w:lineRule="exact"/>
        <w:ind w:firstLineChars="202" w:firstLine="424"/>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szCs w:val="21"/>
        </w:rPr>
        <w:t>陕西省</w:t>
      </w:r>
      <w:r w:rsidRPr="003E0CE0">
        <w:rPr>
          <w:rFonts w:ascii="微软雅黑" w:eastAsia="微软雅黑" w:hAnsi="微软雅黑"/>
          <w:szCs w:val="21"/>
        </w:rPr>
        <w:t>网民使用电子商务的人均单次浏览页面均值为2.</w:t>
      </w:r>
      <w:r w:rsidR="001137BD">
        <w:rPr>
          <w:rFonts w:ascii="微软雅黑" w:eastAsia="微软雅黑" w:hAnsi="微软雅黑" w:hint="eastAsia"/>
          <w:szCs w:val="21"/>
        </w:rPr>
        <w:t>7</w:t>
      </w:r>
      <w:r w:rsidRPr="003E0CE0">
        <w:rPr>
          <w:rFonts w:ascii="微软雅黑" w:eastAsia="微软雅黑" w:hAnsi="微软雅黑"/>
          <w:szCs w:val="21"/>
        </w:rPr>
        <w:t>页</w:t>
      </w:r>
      <w:r w:rsidR="00BE0C4F">
        <w:rPr>
          <w:rFonts w:ascii="微软雅黑" w:eastAsia="微软雅黑" w:hAnsi="微软雅黑" w:hint="eastAsia"/>
          <w:szCs w:val="21"/>
        </w:rPr>
        <w:t>，</w:t>
      </w:r>
      <w:r w:rsidR="00BE0C4F">
        <w:rPr>
          <w:rFonts w:ascii="微软雅黑" w:eastAsia="微软雅黑" w:hAnsi="微软雅黑"/>
          <w:szCs w:val="21"/>
        </w:rPr>
        <w:t>在常用网络服务类型中</w:t>
      </w:r>
      <w:r w:rsidRPr="003E0CE0">
        <w:rPr>
          <w:rFonts w:ascii="微软雅黑" w:eastAsia="微软雅黑" w:hAnsi="微软雅黑"/>
          <w:szCs w:val="21"/>
        </w:rPr>
        <w:t>处于中等水平，略低于社区交友和新闻资讯服务。</w:t>
      </w:r>
    </w:p>
    <w:p w:rsidR="008B05CF" w:rsidRPr="003E0CE0" w:rsidRDefault="008B05CF" w:rsidP="00574F26">
      <w:pPr>
        <w:jc w:val="center"/>
        <w:rPr>
          <w:rFonts w:ascii="微软雅黑" w:eastAsia="微软雅黑" w:hAnsi="微软雅黑"/>
          <w:szCs w:val="21"/>
        </w:rPr>
      </w:pPr>
      <w:r>
        <w:rPr>
          <w:noProof/>
        </w:rPr>
        <w:drawing>
          <wp:inline distT="0" distB="0" distL="0" distR="0">
            <wp:extent cx="4809600" cy="2880000"/>
            <wp:effectExtent l="0" t="0" r="10160" b="15875"/>
            <wp:docPr id="97514" name="图表 975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74F26" w:rsidRPr="003E0CE0" w:rsidRDefault="00C564F4" w:rsidP="00574F26">
      <w:pPr>
        <w:pStyle w:val="ab"/>
      </w:pPr>
      <w:bookmarkStart w:id="110" w:name="_Toc517164692"/>
      <w:bookmarkStart w:id="111" w:name="_Toc517206472"/>
      <w:bookmarkStart w:id="112" w:name="_Toc524418144"/>
      <w:r>
        <w:t>图3-</w:t>
      </w:r>
      <w:r w:rsidR="001C3D3F">
        <w:rPr>
          <w:rFonts w:hint="eastAsia"/>
        </w:rPr>
        <w:t>39</w:t>
      </w:r>
      <w:r w:rsidR="001C3D3F" w:rsidRPr="003E0CE0">
        <w:t xml:space="preserve">  </w:t>
      </w:r>
      <w:r w:rsidR="00574F26" w:rsidRPr="003E0CE0">
        <w:t>2017年</w:t>
      </w:r>
      <w:r w:rsidR="00574F26">
        <w:t>陕西省</w:t>
      </w:r>
      <w:r w:rsidR="00574F26" w:rsidRPr="003E0CE0">
        <w:t>网民使用电子商务服务人均单次浏览页面</w:t>
      </w:r>
      <w:bookmarkEnd w:id="110"/>
      <w:bookmarkEnd w:id="111"/>
      <w:bookmarkEnd w:id="112"/>
    </w:p>
    <w:p w:rsidR="006507C8" w:rsidRPr="009D423B" w:rsidRDefault="006507C8" w:rsidP="006507C8">
      <w:pPr>
        <w:spacing w:line="400" w:lineRule="exact"/>
        <w:ind w:firstLineChars="200" w:firstLine="420"/>
        <w:outlineLvl w:val="4"/>
        <w:rPr>
          <w:rFonts w:ascii="微软雅黑" w:eastAsia="微软雅黑" w:hAnsi="微软雅黑" w:cs="宋体"/>
          <w:b/>
          <w:bCs/>
          <w:szCs w:val="21"/>
        </w:rPr>
      </w:pPr>
      <w:r w:rsidRPr="009D423B">
        <w:rPr>
          <w:rFonts w:ascii="微软雅黑" w:eastAsia="微软雅黑" w:hAnsi="微软雅黑" w:cs="宋体" w:hint="eastAsia"/>
          <w:b/>
          <w:bCs/>
          <w:szCs w:val="21"/>
        </w:rPr>
        <w:t>（3</w:t>
      </w:r>
      <w:r w:rsidR="00E664AC">
        <w:rPr>
          <w:rFonts w:ascii="微软雅黑" w:eastAsia="微软雅黑" w:hAnsi="微软雅黑" w:cs="宋体" w:hint="eastAsia"/>
          <w:b/>
          <w:bCs/>
          <w:szCs w:val="21"/>
        </w:rPr>
        <w:t>）</w:t>
      </w:r>
      <w:r w:rsidRPr="009D423B">
        <w:rPr>
          <w:rFonts w:ascii="微软雅黑" w:eastAsia="微软雅黑" w:hAnsi="微软雅黑" w:cs="宋体" w:hint="eastAsia"/>
          <w:b/>
          <w:bCs/>
          <w:szCs w:val="21"/>
        </w:rPr>
        <w:t>网民使用的主要电子商务网站</w:t>
      </w:r>
    </w:p>
    <w:p w:rsidR="006507C8" w:rsidRDefault="00661255" w:rsidP="002E3F07">
      <w:pPr>
        <w:snapToGrid w:val="0"/>
        <w:ind w:firstLineChars="202" w:firstLine="424"/>
        <w:jc w:val="left"/>
        <w:rPr>
          <w:rFonts w:ascii="微软雅黑" w:eastAsia="微软雅黑" w:hAnsi="微软雅黑"/>
          <w:szCs w:val="21"/>
        </w:rPr>
      </w:pPr>
      <w:r>
        <w:rPr>
          <w:rFonts w:ascii="微软雅黑" w:eastAsia="微软雅黑" w:hAnsi="微软雅黑"/>
          <w:szCs w:val="21"/>
        </w:rPr>
        <w:t>从月度覆盖比例来看</w:t>
      </w:r>
      <w:r>
        <w:rPr>
          <w:rFonts w:ascii="微软雅黑" w:eastAsia="微软雅黑" w:hAnsi="微软雅黑" w:hint="eastAsia"/>
          <w:szCs w:val="21"/>
        </w:rPr>
        <w:t>，在</w:t>
      </w:r>
      <w:r>
        <w:rPr>
          <w:rFonts w:ascii="微软雅黑" w:eastAsia="微软雅黑" w:hAnsi="微软雅黑"/>
          <w:szCs w:val="21"/>
        </w:rPr>
        <w:t>2017年</w:t>
      </w:r>
      <w:r>
        <w:rPr>
          <w:rFonts w:ascii="微软雅黑" w:eastAsia="微软雅黑" w:hAnsi="微软雅黑" w:hint="eastAsia"/>
          <w:szCs w:val="21"/>
        </w:rPr>
        <w:t>12月</w:t>
      </w:r>
      <w:r w:rsidRPr="009D423B">
        <w:rPr>
          <w:rFonts w:ascii="微软雅黑" w:eastAsia="微软雅黑" w:hAnsi="微软雅黑"/>
          <w:szCs w:val="21"/>
        </w:rPr>
        <w:t>陕西省网民使用的主要</w:t>
      </w:r>
      <w:r w:rsidRPr="009D423B">
        <w:rPr>
          <w:rFonts w:ascii="微软雅黑" w:eastAsia="微软雅黑" w:hAnsi="微软雅黑" w:hint="eastAsia"/>
          <w:szCs w:val="21"/>
        </w:rPr>
        <w:t>电子商务网站</w:t>
      </w:r>
      <w:r w:rsidRPr="009D423B">
        <w:rPr>
          <w:rFonts w:ascii="微软雅黑" w:eastAsia="微软雅黑" w:hAnsi="微软雅黑"/>
          <w:szCs w:val="21"/>
        </w:rPr>
        <w:t>中，</w:t>
      </w:r>
      <w:r w:rsidRPr="009D423B">
        <w:rPr>
          <w:rFonts w:ascii="微软雅黑" w:eastAsia="微软雅黑" w:hAnsi="微软雅黑" w:hint="eastAsia"/>
          <w:szCs w:val="21"/>
        </w:rPr>
        <w:t>淘宝网依然一枝独秀位居首位，</w:t>
      </w:r>
      <w:r>
        <w:rPr>
          <w:rFonts w:ascii="微软雅黑" w:eastAsia="微软雅黑" w:hAnsi="微软雅黑" w:hint="eastAsia"/>
          <w:szCs w:val="21"/>
        </w:rPr>
        <w:t>月度覆盖比例达到65.0%；</w:t>
      </w:r>
      <w:r w:rsidRPr="009D423B">
        <w:rPr>
          <w:rFonts w:ascii="微软雅黑" w:eastAsia="微软雅黑" w:hAnsi="微软雅黑" w:hint="eastAsia"/>
          <w:szCs w:val="21"/>
        </w:rPr>
        <w:t>其次是天猫和京东商城</w:t>
      </w:r>
      <w:r>
        <w:rPr>
          <w:rFonts w:ascii="微软雅黑" w:eastAsia="微软雅黑" w:hAnsi="微软雅黑" w:hint="eastAsia"/>
          <w:szCs w:val="21"/>
        </w:rPr>
        <w:t>组成的</w:t>
      </w:r>
      <w:r w:rsidRPr="009D423B">
        <w:rPr>
          <w:rFonts w:ascii="微软雅黑" w:eastAsia="微软雅黑" w:hAnsi="微软雅黑" w:hint="eastAsia"/>
          <w:szCs w:val="21"/>
        </w:rPr>
        <w:t>第二</w:t>
      </w:r>
      <w:r>
        <w:rPr>
          <w:rFonts w:ascii="微软雅黑" w:eastAsia="微软雅黑" w:hAnsi="微软雅黑" w:hint="eastAsia"/>
          <w:szCs w:val="21"/>
        </w:rPr>
        <w:t>梯队，月度覆盖比例分别为43.6%和33.1%</w:t>
      </w:r>
      <w:r w:rsidRPr="009D423B">
        <w:rPr>
          <w:rFonts w:ascii="微软雅黑" w:eastAsia="微软雅黑" w:hAnsi="微软雅黑" w:hint="eastAsia"/>
          <w:szCs w:val="21"/>
        </w:rPr>
        <w:t>；</w:t>
      </w:r>
      <w:r w:rsidR="006507C8" w:rsidRPr="009D423B">
        <w:rPr>
          <w:rFonts w:ascii="微软雅黑" w:eastAsia="微软雅黑" w:hAnsi="微软雅黑" w:hint="eastAsia"/>
          <w:szCs w:val="21"/>
        </w:rPr>
        <w:t>苏宁易购经过数年</w:t>
      </w:r>
      <w:r w:rsidR="002E3F07">
        <w:rPr>
          <w:rFonts w:ascii="微软雅黑" w:eastAsia="微软雅黑" w:hAnsi="微软雅黑" w:hint="eastAsia"/>
          <w:szCs w:val="21"/>
        </w:rPr>
        <w:t>积累，已经成为仅次于京东商城的知名</w:t>
      </w:r>
      <w:r w:rsidR="007E27CF">
        <w:rPr>
          <w:rFonts w:ascii="微软雅黑" w:eastAsia="微软雅黑" w:hAnsi="微软雅黑" w:hint="eastAsia"/>
          <w:szCs w:val="21"/>
        </w:rPr>
        <w:t>电子商务</w:t>
      </w:r>
      <w:r w:rsidR="002E3F07">
        <w:rPr>
          <w:rFonts w:ascii="微软雅黑" w:eastAsia="微软雅黑" w:hAnsi="微软雅黑" w:hint="eastAsia"/>
          <w:szCs w:val="21"/>
        </w:rPr>
        <w:t>平台，处于</w:t>
      </w:r>
      <w:r w:rsidR="006507C8" w:rsidRPr="009D423B">
        <w:rPr>
          <w:rFonts w:ascii="微软雅黑" w:eastAsia="微软雅黑" w:hAnsi="微软雅黑" w:hint="eastAsia"/>
          <w:szCs w:val="21"/>
        </w:rPr>
        <w:t>第三</w:t>
      </w:r>
      <w:r w:rsidR="00057BEA">
        <w:rPr>
          <w:rFonts w:ascii="微软雅黑" w:eastAsia="微软雅黑" w:hAnsi="微软雅黑" w:hint="eastAsia"/>
          <w:szCs w:val="21"/>
        </w:rPr>
        <w:t>梯队</w:t>
      </w:r>
      <w:r w:rsidR="006507C8" w:rsidRPr="009D423B">
        <w:rPr>
          <w:rFonts w:ascii="微软雅黑" w:eastAsia="微软雅黑" w:hAnsi="微软雅黑" w:hint="eastAsia"/>
          <w:szCs w:val="21"/>
        </w:rPr>
        <w:t>前列。</w:t>
      </w:r>
    </w:p>
    <w:p w:rsidR="00452312" w:rsidRPr="00A647C4" w:rsidRDefault="00452312" w:rsidP="00A647C4">
      <w:pPr>
        <w:snapToGrid w:val="0"/>
        <w:ind w:firstLine="202"/>
        <w:jc w:val="left"/>
        <w:rPr>
          <w:rFonts w:asciiTheme="minorEastAsia" w:eastAsiaTheme="minorEastAsia" w:hAnsiTheme="minorEastAsia"/>
          <w:sz w:val="10"/>
          <w:szCs w:val="10"/>
        </w:rPr>
      </w:pPr>
    </w:p>
    <w:p w:rsidR="008B05CF" w:rsidRPr="00452312" w:rsidRDefault="008B05CF" w:rsidP="006507C8">
      <w:pPr>
        <w:snapToGrid w:val="0"/>
        <w:jc w:val="center"/>
        <w:rPr>
          <w:rFonts w:asciiTheme="minorEastAsia" w:eastAsiaTheme="minorEastAsia" w:hAnsiTheme="minorEastAsia"/>
          <w:b/>
          <w:szCs w:val="21"/>
        </w:rPr>
      </w:pPr>
      <w:r w:rsidRPr="00452312">
        <w:rPr>
          <w:rFonts w:asciiTheme="minorEastAsia" w:eastAsiaTheme="minorEastAsia" w:hAnsiTheme="minorEastAsia"/>
          <w:noProof/>
        </w:rPr>
        <w:drawing>
          <wp:inline distT="0" distB="0" distL="0" distR="0">
            <wp:extent cx="4798800" cy="2880000"/>
            <wp:effectExtent l="0" t="0" r="20955" b="15875"/>
            <wp:docPr id="97515" name="图表 97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507C8" w:rsidRDefault="00C564F4" w:rsidP="006507C8">
      <w:pPr>
        <w:pStyle w:val="ab"/>
      </w:pPr>
      <w:bookmarkStart w:id="113" w:name="_Toc524418145"/>
      <w:r>
        <w:rPr>
          <w:rFonts w:hint="eastAsia"/>
        </w:rPr>
        <w:t>图3-</w:t>
      </w:r>
      <w:r w:rsidR="001C3D3F">
        <w:rPr>
          <w:rFonts w:hint="eastAsia"/>
        </w:rPr>
        <w:t>40</w:t>
      </w:r>
      <w:r w:rsidR="001C3D3F" w:rsidRPr="009D423B">
        <w:t xml:space="preserve">  </w:t>
      </w:r>
      <w:r w:rsidR="0050355B">
        <w:t>2017年</w:t>
      </w:r>
      <w:r w:rsidR="006507C8" w:rsidRPr="009D423B">
        <w:rPr>
          <w:rFonts w:hint="eastAsia"/>
        </w:rPr>
        <w:t>12</w:t>
      </w:r>
      <w:r w:rsidR="00497828">
        <w:rPr>
          <w:rFonts w:hint="eastAsia"/>
        </w:rPr>
        <w:t>月</w:t>
      </w:r>
      <w:r w:rsidR="006507C8" w:rsidRPr="009D423B">
        <w:t>陕西省网民使用的主要</w:t>
      </w:r>
      <w:r w:rsidR="006507C8" w:rsidRPr="009D423B">
        <w:rPr>
          <w:rFonts w:hint="eastAsia"/>
        </w:rPr>
        <w:t>电子商务</w:t>
      </w:r>
      <w:r w:rsidR="006507C8" w:rsidRPr="009D423B">
        <w:t>网站</w:t>
      </w:r>
      <w:bookmarkEnd w:id="113"/>
    </w:p>
    <w:p w:rsidR="00C16CE4" w:rsidRPr="00C16CE4" w:rsidRDefault="00C16CE4" w:rsidP="00C16CE4"/>
    <w:p w:rsidR="001C3D3F" w:rsidRDefault="001C3D3F" w:rsidP="001C3D3F">
      <w:r>
        <w:br w:type="page"/>
      </w:r>
    </w:p>
    <w:p w:rsidR="00786257" w:rsidRPr="009D423B" w:rsidRDefault="00C564F4" w:rsidP="00786257">
      <w:pPr>
        <w:spacing w:line="360" w:lineRule="auto"/>
        <w:outlineLvl w:val="1"/>
        <w:rPr>
          <w:rFonts w:ascii="微软雅黑" w:eastAsia="微软雅黑" w:hAnsi="微软雅黑"/>
          <w:b/>
        </w:rPr>
      </w:pPr>
      <w:bookmarkStart w:id="114" w:name="_Toc519837690"/>
      <w:bookmarkStart w:id="115" w:name="_Toc524417989"/>
      <w:r>
        <w:rPr>
          <w:rFonts w:ascii="微软雅黑" w:eastAsia="微软雅黑" w:hAnsi="微软雅黑" w:hint="eastAsia"/>
          <w:b/>
        </w:rPr>
        <w:t>四</w:t>
      </w:r>
      <w:r w:rsidR="00786257" w:rsidRPr="009D423B">
        <w:rPr>
          <w:rFonts w:ascii="微软雅黑" w:eastAsia="微软雅黑" w:hAnsi="微软雅黑"/>
          <w:b/>
        </w:rPr>
        <w:t>、陕西省</w:t>
      </w:r>
      <w:r w:rsidR="00786257" w:rsidRPr="009D423B">
        <w:rPr>
          <w:rFonts w:ascii="微软雅黑" w:eastAsia="微软雅黑" w:hAnsi="微软雅黑" w:hint="eastAsia"/>
          <w:b/>
        </w:rPr>
        <w:t>网民</w:t>
      </w:r>
      <w:r w:rsidR="00714508">
        <w:rPr>
          <w:rFonts w:ascii="微软雅黑" w:eastAsia="微软雅黑" w:hAnsi="微软雅黑" w:hint="eastAsia"/>
          <w:b/>
        </w:rPr>
        <w:t>在</w:t>
      </w:r>
      <w:r w:rsidR="00786257" w:rsidRPr="009D423B">
        <w:rPr>
          <w:rFonts w:ascii="微软雅黑" w:eastAsia="微软雅黑" w:hAnsi="微软雅黑"/>
          <w:b/>
        </w:rPr>
        <w:t>移动端网络应用情况</w:t>
      </w:r>
      <w:bookmarkEnd w:id="114"/>
      <w:bookmarkEnd w:id="115"/>
    </w:p>
    <w:p w:rsidR="00786257" w:rsidRDefault="00786257" w:rsidP="00786257">
      <w:pPr>
        <w:spacing w:line="360" w:lineRule="auto"/>
        <w:outlineLvl w:val="2"/>
        <w:rPr>
          <w:rFonts w:ascii="微软雅黑" w:eastAsia="微软雅黑" w:hAnsi="微软雅黑"/>
          <w:b/>
        </w:rPr>
      </w:pPr>
      <w:bookmarkStart w:id="116" w:name="_Toc519837691"/>
      <w:bookmarkStart w:id="117" w:name="_Toc524417990"/>
      <w:r w:rsidRPr="009D423B">
        <w:rPr>
          <w:rFonts w:ascii="微软雅黑" w:eastAsia="微软雅黑" w:hAnsi="微软雅黑"/>
          <w:b/>
        </w:rPr>
        <w:t>（</w:t>
      </w:r>
      <w:r w:rsidRPr="009D423B">
        <w:rPr>
          <w:rFonts w:ascii="微软雅黑" w:eastAsia="微软雅黑" w:hAnsi="微软雅黑" w:hint="eastAsia"/>
          <w:b/>
        </w:rPr>
        <w:t>一</w:t>
      </w:r>
      <w:r w:rsidRPr="009D423B">
        <w:rPr>
          <w:rFonts w:ascii="微软雅黑" w:eastAsia="微软雅黑" w:hAnsi="微软雅黑"/>
          <w:b/>
        </w:rPr>
        <w:t>）网民</w:t>
      </w:r>
      <w:r>
        <w:rPr>
          <w:rFonts w:ascii="微软雅黑" w:eastAsia="微软雅黑" w:hAnsi="微软雅黑"/>
          <w:b/>
        </w:rPr>
        <w:t>在</w:t>
      </w:r>
      <w:r w:rsidRPr="009D423B">
        <w:rPr>
          <w:rFonts w:ascii="微软雅黑" w:eastAsia="微软雅黑" w:hAnsi="微软雅黑"/>
          <w:b/>
        </w:rPr>
        <w:t>移动端网络</w:t>
      </w:r>
      <w:r>
        <w:rPr>
          <w:rFonts w:ascii="微软雅黑" w:eastAsia="微软雅黑" w:hAnsi="微软雅黑"/>
          <w:b/>
        </w:rPr>
        <w:t>行为特征</w:t>
      </w:r>
      <w:bookmarkEnd w:id="116"/>
      <w:bookmarkEnd w:id="117"/>
    </w:p>
    <w:p w:rsidR="00786257" w:rsidRDefault="00786257" w:rsidP="00786257">
      <w:pPr>
        <w:spacing w:line="360" w:lineRule="auto"/>
        <w:outlineLvl w:val="3"/>
        <w:rPr>
          <w:rFonts w:ascii="微软雅黑" w:eastAsia="微软雅黑" w:hAnsi="微软雅黑"/>
          <w:b/>
          <w:bCs/>
        </w:rPr>
      </w:pPr>
      <w:bookmarkStart w:id="118" w:name="_Toc519837692"/>
      <w:bookmarkStart w:id="119" w:name="_Toc524417991"/>
      <w:r>
        <w:rPr>
          <w:rFonts w:ascii="微软雅黑" w:eastAsia="微软雅黑" w:hAnsi="微软雅黑" w:hint="eastAsia"/>
          <w:b/>
          <w:bCs/>
        </w:rPr>
        <w:t>1.</w:t>
      </w:r>
      <w:r w:rsidR="00714508">
        <w:rPr>
          <w:rFonts w:ascii="微软雅黑" w:eastAsia="微软雅黑" w:hAnsi="微软雅黑" w:hint="eastAsia"/>
          <w:b/>
          <w:bCs/>
        </w:rPr>
        <w:t>移动端</w:t>
      </w:r>
      <w:r>
        <w:rPr>
          <w:rFonts w:ascii="微软雅黑" w:eastAsia="微软雅黑" w:hAnsi="微软雅黑" w:hint="eastAsia"/>
          <w:b/>
          <w:bCs/>
        </w:rPr>
        <w:t>网民网络使用粘性</w:t>
      </w:r>
      <w:bookmarkEnd w:id="118"/>
      <w:bookmarkEnd w:id="119"/>
    </w:p>
    <w:p w:rsidR="00786257" w:rsidRPr="00942076" w:rsidRDefault="00661255"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近年来，在互联网人口红利逐渐消失的背景下，传统的PC端用户正不可逆的在流失。</w:t>
      </w:r>
      <w:r w:rsidR="00786257">
        <w:rPr>
          <w:rFonts w:ascii="微软雅黑" w:eastAsia="微软雅黑" w:hAnsi="微软雅黑" w:hint="eastAsia"/>
          <w:szCs w:val="21"/>
        </w:rPr>
        <w:t>但对于移动互联网而言，因移动端使用的便捷性，正聚集了越来越多的用户。一方面，过去不太会使用PC互联网的人群（如中年群体），通过移动设备能很好的接触和使用网络服务，这成为近年网民增长的主要生力军；另一方面，随着宽带、流量资费的不断下调，也进一步推动了移动互联网的普及应用，越来越多的网民已经非常习惯通过手机、Pad等移动终端设备使用各类互联网服务。根据艾瑞监测数据，2016-</w:t>
      </w:r>
      <w:r w:rsidR="00786257" w:rsidRPr="003E0CE0">
        <w:rPr>
          <w:rFonts w:ascii="微软雅黑" w:eastAsia="微软雅黑" w:hAnsi="微软雅黑"/>
          <w:szCs w:val="21"/>
        </w:rPr>
        <w:t>2017年</w:t>
      </w:r>
      <w:r w:rsidR="00786257">
        <w:rPr>
          <w:rFonts w:ascii="微软雅黑" w:eastAsia="微软雅黑" w:hAnsi="微软雅黑" w:hint="eastAsia"/>
          <w:szCs w:val="21"/>
        </w:rPr>
        <w:t>，陕西省</w:t>
      </w:r>
      <w:r w:rsidR="00786257" w:rsidRPr="009D423B">
        <w:rPr>
          <w:rFonts w:ascii="微软雅黑" w:eastAsia="微软雅黑" w:hAnsi="微软雅黑" w:hint="eastAsia"/>
          <w:szCs w:val="21"/>
        </w:rPr>
        <w:t>网民</w:t>
      </w:r>
      <w:r w:rsidR="00786257">
        <w:rPr>
          <w:rFonts w:ascii="微软雅黑" w:eastAsia="微软雅黑" w:hAnsi="微软雅黑" w:hint="eastAsia"/>
          <w:szCs w:val="21"/>
        </w:rPr>
        <w:t>在移动端使用</w:t>
      </w:r>
      <w:r w:rsidR="00786257" w:rsidRPr="009D423B">
        <w:rPr>
          <w:rFonts w:ascii="微软雅黑" w:eastAsia="微软雅黑" w:hAnsi="微软雅黑" w:hint="eastAsia"/>
          <w:szCs w:val="21"/>
        </w:rPr>
        <w:t>的月独立设备数量</w:t>
      </w:r>
      <w:r w:rsidR="00786257">
        <w:rPr>
          <w:rFonts w:ascii="微软雅黑" w:eastAsia="微软雅黑" w:hAnsi="微软雅黑" w:hint="eastAsia"/>
          <w:szCs w:val="21"/>
        </w:rPr>
        <w:t>持续增长，截至2017年12月，全省网民在移动端使用的月独立设备数量达到3717.8万台，较2016年12月增长13.5%。在用户基数的不断扩大情况下，陕西省移动端各类应用的用户绝对数量也持续增长，在人均指标保持稳定或小幅度增长情况下，移动端各类总量指标均呈现出较好的增长态势。</w:t>
      </w:r>
    </w:p>
    <w:p w:rsidR="00786257" w:rsidRPr="00FC3F60" w:rsidRDefault="00786257" w:rsidP="00786257">
      <w:pPr>
        <w:spacing w:line="400" w:lineRule="exact"/>
        <w:ind w:firstLineChars="200" w:firstLine="420"/>
        <w:outlineLvl w:val="4"/>
        <w:rPr>
          <w:rFonts w:ascii="微软雅黑" w:eastAsia="微软雅黑" w:hAnsi="微软雅黑" w:cs="宋体"/>
          <w:b/>
          <w:bCs/>
          <w:szCs w:val="21"/>
        </w:rPr>
      </w:pPr>
      <w:r w:rsidRPr="00FC3F60">
        <w:rPr>
          <w:rFonts w:ascii="微软雅黑" w:eastAsia="微软雅黑" w:hAnsi="微软雅黑" w:cs="宋体" w:hint="eastAsia"/>
          <w:b/>
          <w:bCs/>
          <w:szCs w:val="21"/>
        </w:rPr>
        <w:t>（</w:t>
      </w:r>
      <w:r>
        <w:rPr>
          <w:rFonts w:ascii="微软雅黑" w:eastAsia="微软雅黑" w:hAnsi="微软雅黑" w:cs="宋体" w:hint="eastAsia"/>
          <w:b/>
          <w:bCs/>
          <w:szCs w:val="21"/>
        </w:rPr>
        <w:t>1</w:t>
      </w:r>
      <w:r w:rsidRPr="00FC3F60">
        <w:rPr>
          <w:rFonts w:ascii="微软雅黑" w:eastAsia="微软雅黑" w:hAnsi="微软雅黑" w:cs="宋体" w:hint="eastAsia"/>
          <w:b/>
          <w:bCs/>
          <w:szCs w:val="21"/>
        </w:rPr>
        <w:t>）单机使用天数</w:t>
      </w:r>
    </w:p>
    <w:p w:rsidR="00786257" w:rsidRDefault="00786257" w:rsidP="00786257">
      <w:pPr>
        <w:snapToGrid w:val="0"/>
        <w:ind w:firstLineChars="202" w:firstLine="424"/>
        <w:rPr>
          <w:rFonts w:ascii="微软雅黑" w:eastAsia="微软雅黑" w:hAnsi="微软雅黑"/>
          <w:szCs w:val="21"/>
        </w:rPr>
      </w:pPr>
      <w:r>
        <w:rPr>
          <w:rFonts w:ascii="微软雅黑" w:eastAsia="微软雅黑" w:hAnsi="微软雅黑" w:hint="eastAsia"/>
          <w:szCs w:val="21"/>
        </w:rPr>
        <w:t>2017年，陕西省网民单机使用天数整体呈现较大幅度的波动，但单机使用天数的月平均值</w:t>
      </w:r>
      <w:r w:rsidR="00F0519C">
        <w:rPr>
          <w:rFonts w:ascii="微软雅黑" w:eastAsia="微软雅黑" w:hAnsi="微软雅黑" w:hint="eastAsia"/>
          <w:szCs w:val="21"/>
        </w:rPr>
        <w:t>仍有</w:t>
      </w:r>
      <w:r>
        <w:rPr>
          <w:rFonts w:ascii="微软雅黑" w:eastAsia="微软雅黑" w:hAnsi="微软雅黑" w:hint="eastAsia"/>
          <w:szCs w:val="21"/>
        </w:rPr>
        <w:t>25.9天，与2016年持平。全年来看，以12月份最高，达到27.1天，2月份最低，仅23.6天。</w:t>
      </w:r>
      <w:r w:rsidR="00F0519C">
        <w:rPr>
          <w:rFonts w:ascii="微软雅黑" w:eastAsia="微软雅黑" w:hAnsi="微软雅黑" w:hint="eastAsia"/>
          <w:szCs w:val="21"/>
        </w:rPr>
        <w:t>与全国平均水平比较，陕西省</w:t>
      </w:r>
      <w:r w:rsidR="00E5285C">
        <w:rPr>
          <w:rFonts w:ascii="微软雅黑" w:eastAsia="微软雅黑" w:hAnsi="微软雅黑" w:hint="eastAsia"/>
          <w:szCs w:val="21"/>
        </w:rPr>
        <w:t>网民单机使用天数的</w:t>
      </w:r>
      <w:r w:rsidR="00F0519C">
        <w:rPr>
          <w:rFonts w:ascii="微软雅黑" w:eastAsia="微软雅黑" w:hAnsi="微软雅黑" w:hint="eastAsia"/>
          <w:szCs w:val="21"/>
        </w:rPr>
        <w:t>月度趋势与全国均值基本重合，保持着高度的一致性。</w:t>
      </w:r>
    </w:p>
    <w:p w:rsidR="00786257" w:rsidRDefault="00786257" w:rsidP="00786257">
      <w:pPr>
        <w:snapToGrid w:val="0"/>
        <w:ind w:firstLineChars="202" w:firstLine="424"/>
        <w:rPr>
          <w:rFonts w:ascii="微软雅黑" w:eastAsia="微软雅黑" w:hAnsi="微软雅黑"/>
          <w:szCs w:val="21"/>
        </w:rPr>
      </w:pPr>
      <w:r>
        <w:rPr>
          <w:noProof/>
        </w:rPr>
        <w:drawing>
          <wp:inline distT="0" distB="0" distL="0" distR="0">
            <wp:extent cx="4809600" cy="2880000"/>
            <wp:effectExtent l="0" t="0" r="10160" b="1587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86257" w:rsidRDefault="00C564F4" w:rsidP="00786257">
      <w:pPr>
        <w:pStyle w:val="ab"/>
      </w:pPr>
      <w:bookmarkStart w:id="120" w:name="_Toc491880373"/>
      <w:bookmarkStart w:id="121" w:name="_Toc524418146"/>
      <w:r>
        <w:rPr>
          <w:rFonts w:hint="eastAsia"/>
        </w:rPr>
        <w:t>图4-</w:t>
      </w:r>
      <w:r w:rsidR="00786257">
        <w:rPr>
          <w:rFonts w:hint="eastAsia"/>
        </w:rPr>
        <w:t>1</w:t>
      </w:r>
      <w:r w:rsidR="00786257" w:rsidRPr="009D423B">
        <w:t xml:space="preserve">  </w:t>
      </w:r>
      <w:r w:rsidR="00786257">
        <w:t>2017年陕西省网民</w:t>
      </w:r>
      <w:r w:rsidR="00786257">
        <w:rPr>
          <w:rFonts w:hint="eastAsia"/>
        </w:rPr>
        <w:t>单机使用天数</w:t>
      </w:r>
      <w:bookmarkEnd w:id="120"/>
      <w:bookmarkEnd w:id="121"/>
    </w:p>
    <w:p w:rsidR="003E2C46" w:rsidRDefault="003E2C46" w:rsidP="003E2C46">
      <w:pPr>
        <w:jc w:val="center"/>
      </w:pPr>
      <w:r>
        <w:rPr>
          <w:noProof/>
        </w:rPr>
        <w:drawing>
          <wp:inline distT="0" distB="0" distL="0" distR="0">
            <wp:extent cx="4809490" cy="2879725"/>
            <wp:effectExtent l="0" t="0" r="10160" b="15875"/>
            <wp:docPr id="1120" name="图表 1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3E2C46" w:rsidRPr="003E2C46" w:rsidRDefault="00C564F4" w:rsidP="003E2C46">
      <w:pPr>
        <w:pStyle w:val="ab"/>
      </w:pPr>
      <w:bookmarkStart w:id="122" w:name="_Toc524418147"/>
      <w:r>
        <w:rPr>
          <w:rFonts w:hint="eastAsia"/>
        </w:rPr>
        <w:t>图4-</w:t>
      </w:r>
      <w:r w:rsidR="003E2C46">
        <w:rPr>
          <w:rFonts w:hint="eastAsia"/>
        </w:rPr>
        <w:t>2</w:t>
      </w:r>
      <w:r w:rsidR="003E2C46" w:rsidRPr="009D423B">
        <w:t xml:space="preserve">  </w:t>
      </w:r>
      <w:r w:rsidR="003E2C46">
        <w:t>2017年陕西省网民与全国网民</w:t>
      </w:r>
      <w:r w:rsidR="003E2C46">
        <w:rPr>
          <w:rFonts w:hint="eastAsia"/>
        </w:rPr>
        <w:t>单机使用天数</w:t>
      </w:r>
      <w:r w:rsidR="00F0519C">
        <w:rPr>
          <w:rFonts w:hint="eastAsia"/>
        </w:rPr>
        <w:t>对比</w:t>
      </w:r>
      <w:bookmarkEnd w:id="122"/>
    </w:p>
    <w:p w:rsidR="00786257" w:rsidRPr="00FC3F60" w:rsidRDefault="00786257" w:rsidP="00786257">
      <w:pPr>
        <w:spacing w:line="400" w:lineRule="exact"/>
        <w:ind w:firstLineChars="200" w:firstLine="420"/>
        <w:outlineLvl w:val="4"/>
        <w:rPr>
          <w:rFonts w:ascii="微软雅黑" w:eastAsia="微软雅黑" w:hAnsi="微软雅黑" w:cs="宋体"/>
          <w:b/>
          <w:bCs/>
          <w:szCs w:val="21"/>
        </w:rPr>
      </w:pPr>
      <w:r w:rsidRPr="00FC3F60">
        <w:rPr>
          <w:rFonts w:ascii="微软雅黑" w:eastAsia="微软雅黑" w:hAnsi="微软雅黑" w:cs="宋体" w:hint="eastAsia"/>
          <w:b/>
          <w:bCs/>
          <w:szCs w:val="21"/>
        </w:rPr>
        <w:t>（</w:t>
      </w:r>
      <w:r>
        <w:rPr>
          <w:rFonts w:ascii="微软雅黑" w:eastAsia="微软雅黑" w:hAnsi="微软雅黑" w:cs="宋体" w:hint="eastAsia"/>
          <w:b/>
          <w:bCs/>
          <w:szCs w:val="21"/>
        </w:rPr>
        <w:t>2</w:t>
      </w:r>
      <w:r w:rsidRPr="00FC3F60">
        <w:rPr>
          <w:rFonts w:ascii="微软雅黑" w:eastAsia="微软雅黑" w:hAnsi="微软雅黑" w:cs="宋体" w:hint="eastAsia"/>
          <w:b/>
          <w:bCs/>
          <w:szCs w:val="21"/>
        </w:rPr>
        <w:t>）单机单日使用次数</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4A1DC4">
        <w:rPr>
          <w:rFonts w:ascii="微软雅黑" w:eastAsia="微软雅黑" w:hAnsi="微软雅黑" w:hint="eastAsia"/>
          <w:szCs w:val="21"/>
        </w:rPr>
        <w:t>，</w:t>
      </w:r>
      <w:r>
        <w:rPr>
          <w:rFonts w:ascii="微软雅黑" w:eastAsia="微软雅黑" w:hAnsi="微软雅黑" w:hint="eastAsia"/>
          <w:szCs w:val="21"/>
        </w:rPr>
        <w:t>陕西省网民</w:t>
      </w:r>
      <w:r w:rsidRPr="004A1DC4">
        <w:rPr>
          <w:rFonts w:ascii="微软雅黑" w:eastAsia="微软雅黑" w:hAnsi="微软雅黑" w:hint="eastAsia"/>
          <w:szCs w:val="21"/>
        </w:rPr>
        <w:t>单机单日使用次</w:t>
      </w:r>
      <w:r>
        <w:rPr>
          <w:rFonts w:ascii="微软雅黑" w:eastAsia="微软雅黑" w:hAnsi="微软雅黑" w:hint="eastAsia"/>
          <w:szCs w:val="21"/>
        </w:rPr>
        <w:t>数整体呈现增长趋势，1-12月份的均值为22.4次，较2016年提升了2次。全年来看，网民</w:t>
      </w:r>
      <w:r w:rsidRPr="004A1DC4">
        <w:rPr>
          <w:rFonts w:ascii="微软雅黑" w:eastAsia="微软雅黑" w:hAnsi="微软雅黑" w:hint="eastAsia"/>
          <w:szCs w:val="21"/>
        </w:rPr>
        <w:t>单机单日使用次</w:t>
      </w:r>
      <w:r>
        <w:rPr>
          <w:rFonts w:ascii="微软雅黑" w:eastAsia="微软雅黑" w:hAnsi="微软雅黑" w:hint="eastAsia"/>
          <w:szCs w:val="21"/>
        </w:rPr>
        <w:t>数由1月份的20.1次上升至12月份的25.2次，增长幅度为25.4%。</w:t>
      </w:r>
      <w:r w:rsidR="00661255">
        <w:rPr>
          <w:rFonts w:ascii="微软雅黑" w:eastAsia="微软雅黑" w:hAnsi="微软雅黑" w:hint="eastAsia"/>
          <w:szCs w:val="21"/>
        </w:rPr>
        <w:t>与全国平均水平比较，陕西省网民</w:t>
      </w:r>
      <w:r w:rsidR="00661255" w:rsidRPr="004A1DC4">
        <w:rPr>
          <w:rFonts w:ascii="微软雅黑" w:eastAsia="微软雅黑" w:hAnsi="微软雅黑" w:hint="eastAsia"/>
          <w:szCs w:val="21"/>
        </w:rPr>
        <w:t>单机单日使用次</w:t>
      </w:r>
      <w:r w:rsidR="00661255">
        <w:rPr>
          <w:rFonts w:ascii="微软雅黑" w:eastAsia="微软雅黑" w:hAnsi="微软雅黑" w:hint="eastAsia"/>
          <w:szCs w:val="21"/>
        </w:rPr>
        <w:t>数略高，表明陕西省网民在移动端更加活跃。</w:t>
      </w:r>
    </w:p>
    <w:p w:rsidR="00714508" w:rsidRDefault="00714508" w:rsidP="00786257">
      <w:pPr>
        <w:snapToGrid w:val="0"/>
        <w:spacing w:line="400" w:lineRule="exact"/>
        <w:ind w:firstLineChars="202" w:firstLine="424"/>
        <w:rPr>
          <w:rFonts w:ascii="微软雅黑" w:eastAsia="微软雅黑" w:hAnsi="微软雅黑"/>
          <w:szCs w:val="21"/>
        </w:rPr>
      </w:pPr>
    </w:p>
    <w:p w:rsidR="00786257" w:rsidRDefault="00786257" w:rsidP="00EF56C6">
      <w:pPr>
        <w:snapToGrid w:val="0"/>
        <w:jc w:val="center"/>
        <w:rPr>
          <w:rFonts w:ascii="微软雅黑" w:eastAsia="微软雅黑" w:hAnsi="微软雅黑"/>
          <w:szCs w:val="21"/>
        </w:rPr>
      </w:pPr>
      <w:r>
        <w:rPr>
          <w:noProof/>
        </w:rPr>
        <w:drawing>
          <wp:inline distT="0" distB="0" distL="0" distR="0">
            <wp:extent cx="4809600" cy="2880000"/>
            <wp:effectExtent l="0" t="0" r="10160" b="1587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86257" w:rsidRDefault="00C564F4" w:rsidP="00786257">
      <w:pPr>
        <w:pStyle w:val="ab"/>
      </w:pPr>
      <w:bookmarkStart w:id="123" w:name="_Toc491880374"/>
      <w:bookmarkStart w:id="124" w:name="_Toc524418148"/>
      <w:r>
        <w:rPr>
          <w:rFonts w:hint="eastAsia"/>
        </w:rPr>
        <w:t>图4-</w:t>
      </w:r>
      <w:r w:rsidR="00F0519C">
        <w:rPr>
          <w:rFonts w:hint="eastAsia"/>
        </w:rPr>
        <w:t>3</w:t>
      </w:r>
      <w:r w:rsidR="00786257" w:rsidRPr="009D423B">
        <w:t xml:space="preserve">  </w:t>
      </w:r>
      <w:r w:rsidR="00786257">
        <w:t>2017年陕西省网民</w:t>
      </w:r>
      <w:r w:rsidR="00786257">
        <w:rPr>
          <w:rFonts w:hint="eastAsia"/>
        </w:rPr>
        <w:t>单机单日</w:t>
      </w:r>
      <w:r w:rsidR="00786257">
        <w:t>使用次数</w:t>
      </w:r>
      <w:bookmarkEnd w:id="123"/>
      <w:bookmarkEnd w:id="124"/>
    </w:p>
    <w:p w:rsidR="00714508" w:rsidRPr="00714508" w:rsidRDefault="00714508" w:rsidP="00EF56C6"/>
    <w:p w:rsidR="00F0519C" w:rsidRDefault="00F0519C" w:rsidP="00F0519C">
      <w:pPr>
        <w:jc w:val="center"/>
      </w:pPr>
      <w:r>
        <w:rPr>
          <w:noProof/>
        </w:rPr>
        <w:drawing>
          <wp:inline distT="0" distB="0" distL="0" distR="0">
            <wp:extent cx="4809490" cy="2879725"/>
            <wp:effectExtent l="0" t="0" r="10160" b="15875"/>
            <wp:docPr id="1125" name="图表 1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0519C" w:rsidRDefault="00C564F4" w:rsidP="00F0519C">
      <w:pPr>
        <w:pStyle w:val="ab"/>
      </w:pPr>
      <w:bookmarkStart w:id="125" w:name="_Toc524418149"/>
      <w:r>
        <w:rPr>
          <w:rFonts w:hint="eastAsia"/>
        </w:rPr>
        <w:t>图4-</w:t>
      </w:r>
      <w:r w:rsidR="00F0519C">
        <w:rPr>
          <w:rFonts w:hint="eastAsia"/>
        </w:rPr>
        <w:t>4</w:t>
      </w:r>
      <w:r w:rsidR="00F0519C" w:rsidRPr="009D423B">
        <w:t xml:space="preserve">  </w:t>
      </w:r>
      <w:r w:rsidR="00F0519C">
        <w:t>2017年陕西省网民与全国网民</w:t>
      </w:r>
      <w:r w:rsidR="00F0519C">
        <w:rPr>
          <w:rFonts w:hint="eastAsia"/>
        </w:rPr>
        <w:t>单机单日</w:t>
      </w:r>
      <w:r w:rsidR="00F0519C">
        <w:t>使用次数对比</w:t>
      </w:r>
      <w:bookmarkEnd w:id="125"/>
    </w:p>
    <w:p w:rsidR="00786257" w:rsidRPr="00FC3F60" w:rsidRDefault="00786257" w:rsidP="00786257">
      <w:pPr>
        <w:spacing w:line="400" w:lineRule="exact"/>
        <w:ind w:firstLineChars="200" w:firstLine="420"/>
        <w:outlineLvl w:val="4"/>
        <w:rPr>
          <w:rFonts w:ascii="微软雅黑" w:eastAsia="微软雅黑" w:hAnsi="微软雅黑" w:cs="宋体"/>
          <w:b/>
          <w:bCs/>
          <w:szCs w:val="21"/>
        </w:rPr>
      </w:pPr>
      <w:r w:rsidRPr="00FC3F60">
        <w:rPr>
          <w:rFonts w:ascii="微软雅黑" w:eastAsia="微软雅黑" w:hAnsi="微软雅黑" w:cs="宋体" w:hint="eastAsia"/>
          <w:b/>
          <w:bCs/>
          <w:szCs w:val="21"/>
        </w:rPr>
        <w:t>（</w:t>
      </w:r>
      <w:r>
        <w:rPr>
          <w:rFonts w:ascii="微软雅黑" w:eastAsia="微软雅黑" w:hAnsi="微软雅黑" w:cs="宋体" w:hint="eastAsia"/>
          <w:b/>
          <w:bCs/>
          <w:szCs w:val="21"/>
        </w:rPr>
        <w:t>3</w:t>
      </w:r>
      <w:r w:rsidRPr="00FC3F60">
        <w:rPr>
          <w:rFonts w:ascii="微软雅黑" w:eastAsia="微软雅黑" w:hAnsi="微软雅黑" w:cs="宋体" w:hint="eastAsia"/>
          <w:b/>
          <w:bCs/>
          <w:szCs w:val="21"/>
        </w:rPr>
        <w:t>）单机单次有效时间</w:t>
      </w:r>
    </w:p>
    <w:p w:rsidR="00581A28"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4A1DC4">
        <w:rPr>
          <w:rFonts w:ascii="微软雅黑" w:eastAsia="微软雅黑" w:hAnsi="微软雅黑" w:hint="eastAsia"/>
          <w:szCs w:val="21"/>
        </w:rPr>
        <w:t>，陕西省网民</w:t>
      </w:r>
      <w:r>
        <w:rPr>
          <w:rFonts w:ascii="微软雅黑" w:eastAsia="微软雅黑" w:hAnsi="微软雅黑" w:hint="eastAsia"/>
          <w:szCs w:val="21"/>
        </w:rPr>
        <w:t>在</w:t>
      </w:r>
      <w:r w:rsidRPr="004A1DC4">
        <w:rPr>
          <w:rFonts w:ascii="微软雅黑" w:eastAsia="微软雅黑" w:hAnsi="微软雅黑" w:hint="eastAsia"/>
          <w:szCs w:val="21"/>
        </w:rPr>
        <w:t>移动端</w:t>
      </w:r>
      <w:r>
        <w:rPr>
          <w:rFonts w:ascii="微软雅黑" w:eastAsia="微软雅黑" w:hAnsi="微软雅黑" w:hint="eastAsia"/>
          <w:szCs w:val="21"/>
        </w:rPr>
        <w:t>的</w:t>
      </w:r>
      <w:r w:rsidRPr="00376174">
        <w:rPr>
          <w:rFonts w:ascii="微软雅黑" w:eastAsia="微软雅黑" w:hAnsi="微软雅黑" w:hint="eastAsia"/>
          <w:szCs w:val="21"/>
        </w:rPr>
        <w:t>单机单次有效时间</w:t>
      </w:r>
      <w:r>
        <w:rPr>
          <w:rFonts w:ascii="微软雅黑" w:eastAsia="微软雅黑" w:hAnsi="微软雅黑" w:hint="eastAsia"/>
          <w:szCs w:val="21"/>
        </w:rPr>
        <w:t>略有下降，全年均值为7.3分钟，与2016年相比减少了0.1分钟。</w:t>
      </w:r>
      <w:r w:rsidR="00494A97">
        <w:rPr>
          <w:rFonts w:ascii="微软雅黑" w:eastAsia="微软雅黑" w:hAnsi="微软雅黑" w:hint="eastAsia"/>
          <w:szCs w:val="21"/>
        </w:rPr>
        <w:t>从月度趋势来看</w:t>
      </w:r>
      <w:r>
        <w:rPr>
          <w:rFonts w:ascii="微软雅黑" w:eastAsia="微软雅黑" w:hAnsi="微软雅黑" w:hint="eastAsia"/>
          <w:szCs w:val="21"/>
        </w:rPr>
        <w:t>，2017年上半年</w:t>
      </w:r>
      <w:r w:rsidRPr="00376174">
        <w:rPr>
          <w:rFonts w:ascii="微软雅黑" w:eastAsia="微软雅黑" w:hAnsi="微软雅黑" w:hint="eastAsia"/>
          <w:szCs w:val="21"/>
        </w:rPr>
        <w:t>单机单次有效时间</w:t>
      </w:r>
      <w:r>
        <w:rPr>
          <w:rFonts w:ascii="微软雅黑" w:eastAsia="微软雅黑" w:hAnsi="微软雅黑" w:hint="eastAsia"/>
          <w:szCs w:val="21"/>
        </w:rPr>
        <w:t>相对较高，下半年则较低。</w:t>
      </w:r>
      <w:r w:rsidR="00494A97">
        <w:rPr>
          <w:rFonts w:ascii="微软雅黑" w:eastAsia="微软雅黑" w:hAnsi="微软雅黑" w:hint="eastAsia"/>
          <w:szCs w:val="21"/>
        </w:rPr>
        <w:t>与全国平均水平比较，陕西省网民</w:t>
      </w:r>
      <w:r w:rsidR="00494A97" w:rsidRPr="00376174">
        <w:rPr>
          <w:rFonts w:ascii="微软雅黑" w:eastAsia="微软雅黑" w:hAnsi="微软雅黑" w:hint="eastAsia"/>
          <w:szCs w:val="21"/>
        </w:rPr>
        <w:t>单机单次有效时间</w:t>
      </w:r>
      <w:r w:rsidR="00494A97">
        <w:rPr>
          <w:rFonts w:ascii="微软雅黑" w:eastAsia="微软雅黑" w:hAnsi="微软雅黑" w:hint="eastAsia"/>
          <w:szCs w:val="21"/>
        </w:rPr>
        <w:t>整体偏低，但差距不大。整体来看，2017年</w:t>
      </w:r>
      <w:r w:rsidR="00494A97" w:rsidRPr="004A1DC4">
        <w:rPr>
          <w:rFonts w:ascii="微软雅黑" w:eastAsia="微软雅黑" w:hAnsi="微软雅黑" w:hint="eastAsia"/>
          <w:szCs w:val="21"/>
        </w:rPr>
        <w:t>陕西省网民</w:t>
      </w:r>
      <w:r w:rsidR="00494A97">
        <w:rPr>
          <w:rFonts w:ascii="微软雅黑" w:eastAsia="微软雅黑" w:hAnsi="微软雅黑" w:hint="eastAsia"/>
          <w:szCs w:val="21"/>
        </w:rPr>
        <w:t>与全国网民的单机单日</w:t>
      </w:r>
      <w:r w:rsidR="00D9379D">
        <w:rPr>
          <w:rFonts w:ascii="微软雅黑" w:eastAsia="微软雅黑" w:hAnsi="微软雅黑" w:hint="eastAsia"/>
          <w:szCs w:val="21"/>
        </w:rPr>
        <w:t>平均有效</w:t>
      </w:r>
      <w:r w:rsidR="00494A97">
        <w:rPr>
          <w:rFonts w:ascii="微软雅黑" w:eastAsia="微软雅黑" w:hAnsi="微软雅黑" w:hint="eastAsia"/>
          <w:szCs w:val="21"/>
        </w:rPr>
        <w:t>使用时间非常接近，</w:t>
      </w:r>
      <w:r w:rsidR="00D9379D">
        <w:rPr>
          <w:rFonts w:ascii="微软雅黑" w:eastAsia="微软雅黑" w:hAnsi="微软雅黑" w:hint="eastAsia"/>
          <w:szCs w:val="21"/>
        </w:rPr>
        <w:t>分别为161.1分钟和163分钟。</w:t>
      </w:r>
    </w:p>
    <w:p w:rsidR="00714508" w:rsidRPr="00581A28" w:rsidRDefault="00714508" w:rsidP="00786257">
      <w:pPr>
        <w:snapToGrid w:val="0"/>
        <w:spacing w:line="400" w:lineRule="exact"/>
        <w:ind w:firstLineChars="202" w:firstLine="424"/>
        <w:rPr>
          <w:rFonts w:ascii="微软雅黑" w:eastAsia="微软雅黑" w:hAnsi="微软雅黑"/>
          <w:szCs w:val="21"/>
        </w:rPr>
      </w:pPr>
    </w:p>
    <w:p w:rsidR="00786257" w:rsidRDefault="00786257" w:rsidP="00786257">
      <w:pPr>
        <w:snapToGrid w:val="0"/>
        <w:ind w:firstLineChars="202" w:firstLine="424"/>
        <w:rPr>
          <w:rFonts w:ascii="微软雅黑" w:eastAsia="微软雅黑" w:hAnsi="微软雅黑"/>
          <w:szCs w:val="21"/>
        </w:rPr>
      </w:pPr>
      <w:r>
        <w:rPr>
          <w:noProof/>
        </w:rPr>
        <w:drawing>
          <wp:inline distT="0" distB="0" distL="0" distR="0">
            <wp:extent cx="4809600" cy="2880000"/>
            <wp:effectExtent l="0" t="0" r="10160" b="1587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86257" w:rsidRDefault="00C564F4" w:rsidP="00786257">
      <w:pPr>
        <w:pStyle w:val="ab"/>
      </w:pPr>
      <w:bookmarkStart w:id="126" w:name="_Toc491880375"/>
      <w:bookmarkStart w:id="127" w:name="_Toc524418150"/>
      <w:r>
        <w:rPr>
          <w:rFonts w:hint="eastAsia"/>
        </w:rPr>
        <w:t>图4-</w:t>
      </w:r>
      <w:r w:rsidR="00F0519C">
        <w:rPr>
          <w:rFonts w:hint="eastAsia"/>
        </w:rPr>
        <w:t>5</w:t>
      </w:r>
      <w:r w:rsidR="00786257" w:rsidRPr="009D423B">
        <w:t xml:space="preserve">  </w:t>
      </w:r>
      <w:r w:rsidR="00786257">
        <w:t>2017年</w:t>
      </w:r>
      <w:r w:rsidR="00786257" w:rsidRPr="009D423B">
        <w:t>陕西省网民</w:t>
      </w:r>
      <w:r w:rsidR="00786257">
        <w:rPr>
          <w:rFonts w:hint="eastAsia"/>
        </w:rPr>
        <w:t>单机单次</w:t>
      </w:r>
      <w:r w:rsidR="00786257">
        <w:t>有效时间</w:t>
      </w:r>
      <w:bookmarkEnd w:id="126"/>
      <w:bookmarkEnd w:id="127"/>
    </w:p>
    <w:p w:rsidR="00F0519C" w:rsidRDefault="00F0519C" w:rsidP="00F0519C">
      <w:pPr>
        <w:jc w:val="center"/>
      </w:pPr>
      <w:r>
        <w:rPr>
          <w:noProof/>
        </w:rPr>
        <w:drawing>
          <wp:inline distT="0" distB="0" distL="0" distR="0">
            <wp:extent cx="4809490" cy="2879725"/>
            <wp:effectExtent l="0" t="0" r="10160" b="15875"/>
            <wp:docPr id="1124" name="图表 1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0519C" w:rsidRPr="00F0519C" w:rsidRDefault="00C564F4" w:rsidP="00F0519C">
      <w:pPr>
        <w:pStyle w:val="ab"/>
      </w:pPr>
      <w:bookmarkStart w:id="128" w:name="_Toc524418151"/>
      <w:r>
        <w:rPr>
          <w:rFonts w:hint="eastAsia"/>
        </w:rPr>
        <w:t>图4-</w:t>
      </w:r>
      <w:r w:rsidR="00F0519C">
        <w:rPr>
          <w:rFonts w:hint="eastAsia"/>
        </w:rPr>
        <w:t>6</w:t>
      </w:r>
      <w:r w:rsidR="00F0519C" w:rsidRPr="009D423B">
        <w:t xml:space="preserve">  </w:t>
      </w:r>
      <w:r w:rsidR="00F0519C">
        <w:t>2017年</w:t>
      </w:r>
      <w:r w:rsidR="00F0519C" w:rsidRPr="009D423B">
        <w:t>陕西</w:t>
      </w:r>
      <w:r w:rsidR="00F0519C">
        <w:t>及全国网民单机</w:t>
      </w:r>
      <w:r w:rsidR="00F0519C">
        <w:rPr>
          <w:rFonts w:hint="eastAsia"/>
        </w:rPr>
        <w:t>单次</w:t>
      </w:r>
      <w:r w:rsidR="00F0519C">
        <w:t>有效使用时间对比</w:t>
      </w:r>
      <w:bookmarkEnd w:id="128"/>
    </w:p>
    <w:p w:rsidR="00786257" w:rsidRPr="00B04EC9" w:rsidRDefault="00786257" w:rsidP="00786257">
      <w:pPr>
        <w:spacing w:line="360" w:lineRule="auto"/>
        <w:outlineLvl w:val="3"/>
        <w:rPr>
          <w:rFonts w:ascii="微软雅黑" w:eastAsia="微软雅黑" w:hAnsi="微软雅黑"/>
          <w:b/>
          <w:bCs/>
        </w:rPr>
      </w:pPr>
      <w:bookmarkStart w:id="129" w:name="_Toc519837693"/>
      <w:bookmarkStart w:id="130" w:name="_Toc524417992"/>
      <w:r>
        <w:rPr>
          <w:rFonts w:ascii="微软雅黑" w:eastAsia="微软雅黑" w:hAnsi="微软雅黑" w:hint="eastAsia"/>
          <w:b/>
          <w:bCs/>
        </w:rPr>
        <w:t>2</w:t>
      </w:r>
      <w:r w:rsidRPr="00B04EC9">
        <w:rPr>
          <w:rFonts w:ascii="微软雅黑" w:eastAsia="微软雅黑" w:hAnsi="微软雅黑" w:hint="eastAsia"/>
          <w:b/>
          <w:bCs/>
        </w:rPr>
        <w:t>.移动端</w:t>
      </w:r>
      <w:r w:rsidR="00714508" w:rsidRPr="00B04EC9">
        <w:rPr>
          <w:rFonts w:ascii="微软雅黑" w:eastAsia="微软雅黑" w:hAnsi="微软雅黑" w:hint="eastAsia"/>
          <w:b/>
          <w:bCs/>
        </w:rPr>
        <w:t>网民</w:t>
      </w:r>
      <w:r>
        <w:rPr>
          <w:rFonts w:ascii="微软雅黑" w:eastAsia="微软雅黑" w:hAnsi="微软雅黑" w:hint="eastAsia"/>
          <w:b/>
          <w:bCs/>
        </w:rPr>
        <w:t>使用的主要</w:t>
      </w:r>
      <w:r w:rsidRPr="00B04EC9">
        <w:rPr>
          <w:rFonts w:ascii="微软雅黑" w:eastAsia="微软雅黑" w:hAnsi="微软雅黑" w:hint="eastAsia"/>
          <w:b/>
          <w:bCs/>
        </w:rPr>
        <w:t>网络服务</w:t>
      </w:r>
      <w:bookmarkEnd w:id="129"/>
      <w:bookmarkEnd w:id="130"/>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Pr="009D423B">
        <w:rPr>
          <w:rFonts w:ascii="微软雅黑" w:eastAsia="微软雅黑" w:hAnsi="微软雅黑" w:hint="eastAsia"/>
          <w:szCs w:val="21"/>
        </w:rPr>
        <w:t>，</w:t>
      </w:r>
      <w:r>
        <w:rPr>
          <w:rFonts w:ascii="微软雅黑" w:eastAsia="微软雅黑" w:hAnsi="微软雅黑"/>
          <w:szCs w:val="21"/>
        </w:rPr>
        <w:t>陕西省网民</w:t>
      </w:r>
      <w:r w:rsidRPr="009D423B">
        <w:rPr>
          <w:rFonts w:ascii="微软雅黑" w:eastAsia="微软雅黑" w:hAnsi="微软雅黑"/>
          <w:szCs w:val="21"/>
        </w:rPr>
        <w:t>最常使用的APP</w:t>
      </w:r>
      <w:r w:rsidRPr="009D423B">
        <w:rPr>
          <w:rFonts w:ascii="微软雅黑" w:eastAsia="微软雅黑" w:hAnsi="微软雅黑" w:hint="eastAsia"/>
          <w:szCs w:val="21"/>
        </w:rPr>
        <w:t>类</w:t>
      </w:r>
      <w:r w:rsidRPr="009D423B">
        <w:rPr>
          <w:rFonts w:ascii="微软雅黑" w:eastAsia="微软雅黑" w:hAnsi="微软雅黑"/>
          <w:szCs w:val="21"/>
        </w:rPr>
        <w:t>型为通讯聊天</w:t>
      </w:r>
      <w:r>
        <w:rPr>
          <w:rFonts w:ascii="微软雅黑" w:eastAsia="微软雅黑" w:hAnsi="微软雅黑" w:hint="eastAsia"/>
          <w:szCs w:val="21"/>
        </w:rPr>
        <w:t>、</w:t>
      </w:r>
      <w:r>
        <w:rPr>
          <w:rFonts w:ascii="微软雅黑" w:eastAsia="微软雅黑" w:hAnsi="微软雅黑"/>
          <w:szCs w:val="21"/>
        </w:rPr>
        <w:t>实用工具</w:t>
      </w:r>
      <w:r w:rsidRPr="009D423B">
        <w:rPr>
          <w:rFonts w:ascii="微软雅黑" w:eastAsia="微软雅黑" w:hAnsi="微软雅黑"/>
          <w:szCs w:val="21"/>
        </w:rPr>
        <w:t>和</w:t>
      </w:r>
      <w:r w:rsidRPr="009D423B">
        <w:rPr>
          <w:rFonts w:ascii="微软雅黑" w:eastAsia="微软雅黑" w:hAnsi="微软雅黑" w:hint="eastAsia"/>
          <w:szCs w:val="21"/>
        </w:rPr>
        <w:t>视频服务</w:t>
      </w:r>
      <w:r w:rsidRPr="009D423B">
        <w:rPr>
          <w:rFonts w:ascii="微软雅黑" w:eastAsia="微软雅黑" w:hAnsi="微软雅黑"/>
          <w:szCs w:val="21"/>
        </w:rPr>
        <w:t>三大类，</w:t>
      </w:r>
      <w:r>
        <w:rPr>
          <w:rFonts w:ascii="微软雅黑" w:eastAsia="微软雅黑" w:hAnsi="微软雅黑"/>
          <w:szCs w:val="21"/>
        </w:rPr>
        <w:t>月独立设备数比例</w:t>
      </w:r>
      <w:r w:rsidRPr="009D423B">
        <w:rPr>
          <w:rFonts w:ascii="微软雅黑" w:eastAsia="微软雅黑" w:hAnsi="微软雅黑"/>
          <w:szCs w:val="21"/>
        </w:rPr>
        <w:t>均超过</w:t>
      </w:r>
      <w:r>
        <w:rPr>
          <w:rFonts w:ascii="微软雅黑" w:eastAsia="微软雅黑" w:hAnsi="微软雅黑" w:hint="eastAsia"/>
          <w:szCs w:val="21"/>
        </w:rPr>
        <w:t>90%</w:t>
      </w:r>
      <w:r w:rsidRPr="009D423B">
        <w:rPr>
          <w:rFonts w:ascii="微软雅黑" w:eastAsia="微软雅黑" w:hAnsi="微软雅黑" w:hint="eastAsia"/>
          <w:szCs w:val="21"/>
        </w:rPr>
        <w:t>，处于第一梯队。</w:t>
      </w:r>
      <w:r>
        <w:rPr>
          <w:rFonts w:ascii="微软雅黑" w:eastAsia="微软雅黑" w:hAnsi="微软雅黑" w:hint="eastAsia"/>
          <w:szCs w:val="21"/>
        </w:rPr>
        <w:t>应用分发和</w:t>
      </w:r>
      <w:r w:rsidRPr="009D423B">
        <w:rPr>
          <w:rFonts w:ascii="微软雅黑" w:eastAsia="微软雅黑" w:hAnsi="微软雅黑"/>
          <w:szCs w:val="21"/>
        </w:rPr>
        <w:t>便捷生活</w:t>
      </w:r>
      <w:r>
        <w:rPr>
          <w:rFonts w:ascii="微软雅黑" w:eastAsia="微软雅黑" w:hAnsi="微软雅黑" w:hint="eastAsia"/>
          <w:szCs w:val="21"/>
        </w:rPr>
        <w:t>类服务的</w:t>
      </w:r>
      <w:r>
        <w:rPr>
          <w:rFonts w:ascii="微软雅黑" w:eastAsia="微软雅黑" w:hAnsi="微软雅黑"/>
          <w:szCs w:val="21"/>
        </w:rPr>
        <w:t>月独立设备数比例紧随其后</w:t>
      </w:r>
      <w:r>
        <w:rPr>
          <w:rFonts w:ascii="微软雅黑" w:eastAsia="微软雅黑" w:hAnsi="微软雅黑" w:hint="eastAsia"/>
          <w:szCs w:val="21"/>
        </w:rPr>
        <w:t>，</w:t>
      </w:r>
      <w:r>
        <w:rPr>
          <w:rFonts w:ascii="微软雅黑" w:eastAsia="微软雅黑" w:hAnsi="微软雅黑"/>
          <w:szCs w:val="21"/>
        </w:rPr>
        <w:t>也超过了</w:t>
      </w:r>
      <w:r>
        <w:rPr>
          <w:rFonts w:ascii="微软雅黑" w:eastAsia="微软雅黑" w:hAnsi="微软雅黑" w:hint="eastAsia"/>
          <w:szCs w:val="21"/>
        </w:rPr>
        <w:t>80%。</w:t>
      </w:r>
    </w:p>
    <w:p w:rsidR="00786257" w:rsidRPr="009D423B" w:rsidRDefault="00786257" w:rsidP="00786257">
      <w:pPr>
        <w:jc w:val="center"/>
        <w:rPr>
          <w:szCs w:val="21"/>
        </w:rPr>
      </w:pPr>
      <w:r>
        <w:rPr>
          <w:noProof/>
        </w:rPr>
        <w:drawing>
          <wp:inline distT="0" distB="0" distL="0" distR="0">
            <wp:extent cx="4810125" cy="2880000"/>
            <wp:effectExtent l="0" t="0" r="9525" b="1587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86257" w:rsidRPr="009D423B" w:rsidRDefault="00C564F4" w:rsidP="00786257">
      <w:pPr>
        <w:pStyle w:val="ab"/>
        <w:rPr>
          <w:rFonts w:cs="宋体"/>
        </w:rPr>
      </w:pPr>
      <w:bookmarkStart w:id="131" w:name="_Toc483275469"/>
      <w:bookmarkStart w:id="132" w:name="_Toc491880376"/>
      <w:bookmarkStart w:id="133" w:name="_Toc524418152"/>
      <w:r>
        <w:rPr>
          <w:rFonts w:hint="eastAsia"/>
        </w:rPr>
        <w:t>图4-</w:t>
      </w:r>
      <w:r w:rsidR="00014228">
        <w:rPr>
          <w:rFonts w:hint="eastAsia"/>
        </w:rPr>
        <w:t>7</w:t>
      </w:r>
      <w:r w:rsidR="00786257" w:rsidRPr="009D423B">
        <w:t xml:space="preserve">  </w:t>
      </w:r>
      <w:r w:rsidR="00786257">
        <w:t>2017年</w:t>
      </w:r>
      <w:r w:rsidR="00786257">
        <w:rPr>
          <w:rFonts w:hint="eastAsia"/>
        </w:rPr>
        <w:t>12月</w:t>
      </w:r>
      <w:r w:rsidR="00786257">
        <w:t>陕西省网民</w:t>
      </w:r>
      <w:r w:rsidR="00786257" w:rsidRPr="009D423B">
        <w:t>使用</w:t>
      </w:r>
      <w:r w:rsidR="00786257" w:rsidRPr="009D423B">
        <w:rPr>
          <w:rFonts w:hint="eastAsia"/>
        </w:rPr>
        <w:t>主要</w:t>
      </w:r>
      <w:r w:rsidR="00786257" w:rsidRPr="009D423B">
        <w:t>APP服务类型</w:t>
      </w:r>
      <w:bookmarkEnd w:id="131"/>
      <w:bookmarkEnd w:id="132"/>
      <w:bookmarkEnd w:id="133"/>
    </w:p>
    <w:p w:rsidR="00786257" w:rsidRPr="00FF13EA" w:rsidRDefault="00786257" w:rsidP="00786257">
      <w:pPr>
        <w:spacing w:line="360" w:lineRule="auto"/>
        <w:outlineLvl w:val="3"/>
        <w:rPr>
          <w:rFonts w:ascii="微软雅黑" w:eastAsia="微软雅黑" w:hAnsi="微软雅黑"/>
          <w:b/>
          <w:bCs/>
        </w:rPr>
      </w:pPr>
      <w:bookmarkStart w:id="134" w:name="_Toc519837694"/>
      <w:bookmarkStart w:id="135" w:name="_Toc524417993"/>
      <w:r w:rsidRPr="00FF13EA">
        <w:rPr>
          <w:rFonts w:ascii="微软雅黑" w:eastAsia="微软雅黑" w:hAnsi="微软雅黑" w:hint="eastAsia"/>
          <w:b/>
          <w:bCs/>
        </w:rPr>
        <w:t>3.</w:t>
      </w:r>
      <w:r w:rsidR="00661255" w:rsidRPr="00FF13EA">
        <w:rPr>
          <w:rFonts w:ascii="微软雅黑" w:eastAsia="微软雅黑" w:hAnsi="微软雅黑" w:hint="eastAsia"/>
          <w:b/>
          <w:bCs/>
        </w:rPr>
        <w:t>移动端</w:t>
      </w:r>
      <w:r w:rsidR="00714508" w:rsidRPr="00FF13EA">
        <w:rPr>
          <w:rFonts w:ascii="微软雅黑" w:eastAsia="微软雅黑" w:hAnsi="微软雅黑" w:hint="eastAsia"/>
          <w:b/>
          <w:bCs/>
        </w:rPr>
        <w:t>网民</w:t>
      </w:r>
      <w:r w:rsidR="00661255" w:rsidRPr="00FF13EA">
        <w:rPr>
          <w:rFonts w:ascii="微软雅黑" w:eastAsia="微软雅黑" w:hAnsi="微软雅黑" w:hint="eastAsia"/>
          <w:b/>
          <w:bCs/>
        </w:rPr>
        <w:t>最常用</w:t>
      </w:r>
      <w:bookmarkEnd w:id="134"/>
      <w:r w:rsidR="00714508">
        <w:rPr>
          <w:rFonts w:ascii="微软雅黑" w:eastAsia="微软雅黑" w:hAnsi="微软雅黑" w:hint="eastAsia"/>
          <w:b/>
          <w:bCs/>
        </w:rPr>
        <w:t>APP</w:t>
      </w:r>
      <w:bookmarkEnd w:id="135"/>
    </w:p>
    <w:p w:rsidR="00786257" w:rsidRPr="00F03C1A" w:rsidRDefault="00661255"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szCs w:val="21"/>
        </w:rPr>
        <w:t>2017年</w:t>
      </w:r>
      <w:r w:rsidRPr="00FF13EA">
        <w:rPr>
          <w:rFonts w:ascii="微软雅黑" w:eastAsia="微软雅黑" w:hAnsi="微软雅黑" w:hint="eastAsia"/>
          <w:szCs w:val="21"/>
        </w:rPr>
        <w:t>，</w:t>
      </w:r>
      <w:r w:rsidRPr="00FF13EA">
        <w:rPr>
          <w:rFonts w:ascii="微软雅黑" w:eastAsia="微软雅黑" w:hAnsi="微软雅黑"/>
          <w:szCs w:val="21"/>
        </w:rPr>
        <w:t>陕西省网民</w:t>
      </w:r>
      <w:r>
        <w:rPr>
          <w:rFonts w:ascii="微软雅黑" w:eastAsia="微软雅黑" w:hAnsi="微软雅黑"/>
          <w:szCs w:val="21"/>
        </w:rPr>
        <w:t>在移动端</w:t>
      </w:r>
      <w:r w:rsidRPr="00FF13EA">
        <w:rPr>
          <w:rFonts w:ascii="微软雅黑" w:eastAsia="微软雅黑" w:hAnsi="微软雅黑"/>
          <w:szCs w:val="21"/>
        </w:rPr>
        <w:t>最常使用的</w:t>
      </w:r>
      <w:r>
        <w:rPr>
          <w:rFonts w:ascii="微软雅黑" w:eastAsia="微软雅黑" w:hAnsi="微软雅黑"/>
          <w:szCs w:val="21"/>
        </w:rPr>
        <w:t>全网</w:t>
      </w:r>
      <w:r w:rsidRPr="00FF13EA">
        <w:rPr>
          <w:rFonts w:ascii="微软雅黑" w:eastAsia="微软雅黑" w:hAnsi="微软雅黑"/>
          <w:szCs w:val="21"/>
        </w:rPr>
        <w:t>前</w:t>
      </w:r>
      <w:r w:rsidRPr="00FF13EA">
        <w:rPr>
          <w:rFonts w:ascii="微软雅黑" w:eastAsia="微软雅黑" w:hAnsi="微软雅黑" w:hint="eastAsia"/>
          <w:szCs w:val="21"/>
        </w:rPr>
        <w:t>10</w:t>
      </w:r>
      <w:r w:rsidRPr="00FF13EA">
        <w:rPr>
          <w:rFonts w:ascii="微软雅黑" w:eastAsia="微软雅黑" w:hAnsi="微软雅黑"/>
          <w:szCs w:val="21"/>
        </w:rPr>
        <w:t>大APP中</w:t>
      </w:r>
      <w:r w:rsidRPr="00FF13EA">
        <w:rPr>
          <w:rFonts w:ascii="微软雅黑" w:eastAsia="微软雅黑" w:hAnsi="微软雅黑" w:hint="eastAsia"/>
          <w:szCs w:val="21"/>
        </w:rPr>
        <w:t>，</w:t>
      </w:r>
      <w:r w:rsidRPr="00FF13EA">
        <w:rPr>
          <w:rFonts w:ascii="微软雅黑" w:eastAsia="微软雅黑" w:hAnsi="微软雅黑"/>
          <w:szCs w:val="21"/>
        </w:rPr>
        <w:t>微信</w:t>
      </w:r>
      <w:r>
        <w:rPr>
          <w:rFonts w:ascii="微软雅黑" w:eastAsia="微软雅黑" w:hAnsi="微软雅黑" w:hint="eastAsia"/>
          <w:szCs w:val="21"/>
        </w:rPr>
        <w:t>以</w:t>
      </w:r>
      <w:r>
        <w:rPr>
          <w:rFonts w:ascii="微软雅黑" w:eastAsia="微软雅黑" w:hAnsi="微软雅黑"/>
          <w:szCs w:val="21"/>
        </w:rPr>
        <w:t>绝对优势位列所有APP的第一位</w:t>
      </w:r>
      <w:r>
        <w:rPr>
          <w:rFonts w:ascii="微软雅黑" w:eastAsia="微软雅黑" w:hAnsi="微软雅黑" w:hint="eastAsia"/>
          <w:szCs w:val="21"/>
        </w:rPr>
        <w:t>，</w:t>
      </w:r>
      <w:r>
        <w:rPr>
          <w:rFonts w:ascii="微软雅黑" w:eastAsia="微软雅黑" w:hAnsi="微软雅黑"/>
          <w:szCs w:val="21"/>
        </w:rPr>
        <w:t>其月独立设备数比例达到</w:t>
      </w:r>
      <w:r>
        <w:rPr>
          <w:rFonts w:ascii="微软雅黑" w:eastAsia="微软雅黑" w:hAnsi="微软雅黑" w:hint="eastAsia"/>
          <w:szCs w:val="21"/>
        </w:rPr>
        <w:t>84.5%，大幅领先其他应用。</w:t>
      </w:r>
      <w:r w:rsidRPr="00FF13EA">
        <w:rPr>
          <w:rFonts w:ascii="微软雅黑" w:eastAsia="微软雅黑" w:hAnsi="微软雅黑" w:hint="eastAsia"/>
          <w:szCs w:val="21"/>
        </w:rPr>
        <w:t>爱奇艺</w:t>
      </w:r>
      <w:r w:rsidRPr="00FF13EA">
        <w:rPr>
          <w:rFonts w:ascii="微软雅黑" w:eastAsia="微软雅黑" w:hAnsi="微软雅黑"/>
          <w:szCs w:val="21"/>
        </w:rPr>
        <w:t>、</w:t>
      </w:r>
      <w:r w:rsidRPr="00FF13EA">
        <w:rPr>
          <w:rFonts w:ascii="微软雅黑" w:eastAsia="微软雅黑" w:hAnsi="微软雅黑" w:hint="eastAsia"/>
          <w:szCs w:val="21"/>
        </w:rPr>
        <w:t>QQ</w:t>
      </w:r>
      <w:r>
        <w:rPr>
          <w:rFonts w:ascii="微软雅黑" w:eastAsia="微软雅黑" w:hAnsi="微软雅黑" w:hint="eastAsia"/>
          <w:szCs w:val="21"/>
        </w:rPr>
        <w:t>、</w:t>
      </w:r>
      <w:r w:rsidRPr="00FF13EA">
        <w:rPr>
          <w:rFonts w:ascii="微软雅黑" w:eastAsia="微软雅黑" w:hAnsi="微软雅黑" w:hint="eastAsia"/>
          <w:szCs w:val="21"/>
        </w:rPr>
        <w:t>手机淘宝、腾讯视频</w:t>
      </w:r>
      <w:r>
        <w:rPr>
          <w:rFonts w:ascii="微软雅黑" w:eastAsia="微软雅黑" w:hAnsi="微软雅黑" w:hint="eastAsia"/>
          <w:szCs w:val="21"/>
        </w:rPr>
        <w:t>、支付宝、搜狗输入法等月独立设备数比例也较高，介于45%~50%之间。新浪微博、高德地图和QQ手机浏览器也位列陕西省网民前十大应用行列，渗透率也都在35%以上。</w:t>
      </w:r>
    </w:p>
    <w:p w:rsidR="00786257" w:rsidRPr="009D423B" w:rsidRDefault="00786257" w:rsidP="00786257">
      <w:pPr>
        <w:jc w:val="center"/>
        <w:rPr>
          <w:szCs w:val="21"/>
        </w:rPr>
      </w:pPr>
      <w:r>
        <w:rPr>
          <w:noProof/>
        </w:rPr>
        <w:drawing>
          <wp:inline distT="0" distB="0" distL="0" distR="0">
            <wp:extent cx="4810125" cy="3240000"/>
            <wp:effectExtent l="0" t="0" r="9525" b="1778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86257" w:rsidRPr="004501EB" w:rsidRDefault="00C564F4" w:rsidP="00F0519C">
      <w:pPr>
        <w:pStyle w:val="ab"/>
      </w:pPr>
      <w:bookmarkStart w:id="136" w:name="_Toc483275470"/>
      <w:bookmarkStart w:id="137" w:name="_Toc491880377"/>
      <w:bookmarkStart w:id="138" w:name="_Toc524418153"/>
      <w:r>
        <w:rPr>
          <w:rFonts w:hint="eastAsia"/>
        </w:rPr>
        <w:t>图4-</w:t>
      </w:r>
      <w:r w:rsidR="00014228">
        <w:rPr>
          <w:rFonts w:hint="eastAsia"/>
        </w:rPr>
        <w:t>8</w:t>
      </w:r>
      <w:r w:rsidR="00786257" w:rsidRPr="009D423B">
        <w:t xml:space="preserve">  </w:t>
      </w:r>
      <w:r w:rsidR="00786257">
        <w:t>2017年</w:t>
      </w:r>
      <w:r w:rsidR="00786257" w:rsidRPr="009D423B">
        <w:rPr>
          <w:rFonts w:hint="eastAsia"/>
        </w:rPr>
        <w:t>度</w:t>
      </w:r>
      <w:r w:rsidR="00786257">
        <w:t>陕西省网民</w:t>
      </w:r>
      <w:r w:rsidR="00786257" w:rsidRPr="009D423B">
        <w:rPr>
          <w:rFonts w:hint="eastAsia"/>
        </w:rPr>
        <w:t>最常用A</w:t>
      </w:r>
      <w:r w:rsidR="00786257" w:rsidRPr="009D423B">
        <w:t>PP</w:t>
      </w:r>
      <w:r w:rsidR="00786257" w:rsidRPr="009D423B" w:rsidDel="005F2980">
        <w:rPr>
          <w:rFonts w:hint="eastAsia"/>
        </w:rPr>
        <w:t xml:space="preserve"> </w:t>
      </w:r>
      <w:r w:rsidR="00786257" w:rsidRPr="009D423B">
        <w:rPr>
          <w:rFonts w:hint="eastAsia"/>
        </w:rPr>
        <w:t>T</w:t>
      </w:r>
      <w:r w:rsidR="00786257" w:rsidRPr="009D423B">
        <w:t>o</w:t>
      </w:r>
      <w:r w:rsidR="00786257" w:rsidRPr="009D423B">
        <w:rPr>
          <w:rFonts w:hint="eastAsia"/>
        </w:rPr>
        <w:t>p10</w:t>
      </w:r>
      <w:bookmarkStart w:id="139" w:name="_Toc519837695"/>
      <w:bookmarkEnd w:id="136"/>
      <w:bookmarkEnd w:id="137"/>
      <w:bookmarkEnd w:id="138"/>
    </w:p>
    <w:p w:rsidR="00786257" w:rsidRPr="009D423B" w:rsidRDefault="00786257" w:rsidP="00786257">
      <w:pPr>
        <w:spacing w:line="360" w:lineRule="auto"/>
        <w:outlineLvl w:val="2"/>
        <w:rPr>
          <w:rFonts w:ascii="微软雅黑" w:eastAsia="微软雅黑" w:hAnsi="微软雅黑"/>
          <w:b/>
        </w:rPr>
      </w:pPr>
      <w:bookmarkStart w:id="140" w:name="_Toc524417994"/>
      <w:r w:rsidRPr="009D423B">
        <w:rPr>
          <w:rFonts w:ascii="微软雅黑" w:eastAsia="微软雅黑" w:hAnsi="微软雅黑"/>
          <w:b/>
        </w:rPr>
        <w:t>（</w:t>
      </w:r>
      <w:r w:rsidRPr="009D423B">
        <w:rPr>
          <w:rFonts w:ascii="微软雅黑" w:eastAsia="微软雅黑" w:hAnsi="微软雅黑" w:hint="eastAsia"/>
          <w:b/>
        </w:rPr>
        <w:t>二</w:t>
      </w:r>
      <w:r w:rsidRPr="009D423B">
        <w:rPr>
          <w:rFonts w:ascii="微软雅黑" w:eastAsia="微软雅黑" w:hAnsi="微软雅黑"/>
          <w:b/>
        </w:rPr>
        <w:t>）</w:t>
      </w:r>
      <w:r w:rsidRPr="009D423B">
        <w:rPr>
          <w:rFonts w:ascii="微软雅黑" w:eastAsia="微软雅黑" w:hAnsi="微软雅黑" w:hint="eastAsia"/>
          <w:b/>
        </w:rPr>
        <w:t>网民</w:t>
      </w:r>
      <w:r>
        <w:rPr>
          <w:rFonts w:ascii="微软雅黑" w:eastAsia="微软雅黑" w:hAnsi="微软雅黑" w:hint="eastAsia"/>
          <w:b/>
        </w:rPr>
        <w:t>使用</w:t>
      </w:r>
      <w:r w:rsidRPr="009D423B">
        <w:rPr>
          <w:rFonts w:ascii="微软雅黑" w:eastAsia="微软雅黑" w:hAnsi="微软雅黑" w:hint="eastAsia"/>
          <w:b/>
        </w:rPr>
        <w:t>移动端网络</w:t>
      </w:r>
      <w:r>
        <w:rPr>
          <w:rFonts w:ascii="微软雅黑" w:eastAsia="微软雅黑" w:hAnsi="微软雅黑" w:hint="eastAsia"/>
          <w:b/>
        </w:rPr>
        <w:t>服务</w:t>
      </w:r>
      <w:r w:rsidRPr="009D423B">
        <w:rPr>
          <w:rFonts w:ascii="微软雅黑" w:eastAsia="微软雅黑" w:hAnsi="微软雅黑" w:hint="eastAsia"/>
          <w:b/>
        </w:rPr>
        <w:t>情况</w:t>
      </w:r>
      <w:bookmarkEnd w:id="139"/>
      <w:bookmarkEnd w:id="140"/>
    </w:p>
    <w:p w:rsidR="00786257" w:rsidRPr="009D423B" w:rsidRDefault="00786257" w:rsidP="00786257">
      <w:pPr>
        <w:snapToGrid w:val="0"/>
        <w:spacing w:line="400" w:lineRule="exact"/>
        <w:outlineLvl w:val="3"/>
        <w:rPr>
          <w:rFonts w:ascii="微软雅黑" w:eastAsia="微软雅黑" w:hAnsi="微软雅黑"/>
          <w:b/>
          <w:szCs w:val="21"/>
        </w:rPr>
      </w:pPr>
      <w:bookmarkStart w:id="141" w:name="_Toc485132095"/>
      <w:bookmarkStart w:id="142" w:name="_Toc519837696"/>
      <w:bookmarkStart w:id="143" w:name="_Toc524417995"/>
      <w:r w:rsidRPr="009D423B">
        <w:rPr>
          <w:rFonts w:ascii="微软雅黑" w:eastAsia="微软雅黑" w:hAnsi="微软雅黑" w:hint="eastAsia"/>
          <w:b/>
          <w:szCs w:val="21"/>
        </w:rPr>
        <w:t>1.使用通讯聊天App情况</w:t>
      </w:r>
      <w:bookmarkEnd w:id="141"/>
      <w:bookmarkEnd w:id="142"/>
      <w:bookmarkEnd w:id="143"/>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通讯聊天A</w:t>
      </w:r>
      <w:r w:rsidRPr="009D423B">
        <w:rPr>
          <w:rFonts w:ascii="微软雅黑" w:eastAsia="微软雅黑" w:hAnsi="微软雅黑"/>
          <w:szCs w:val="21"/>
        </w:rPr>
        <w:t>PP</w:t>
      </w:r>
      <w:r w:rsidRPr="009D423B">
        <w:rPr>
          <w:rFonts w:ascii="微软雅黑" w:eastAsia="微软雅黑" w:hAnsi="微软雅黑" w:hint="eastAsia"/>
          <w:szCs w:val="21"/>
        </w:rPr>
        <w:t>的</w:t>
      </w:r>
      <w:r>
        <w:rPr>
          <w:rFonts w:ascii="微软雅黑" w:eastAsia="微软雅黑" w:hAnsi="微软雅黑" w:hint="eastAsia"/>
          <w:szCs w:val="21"/>
        </w:rPr>
        <w:t>月独立设备数继续保持稳步增长。截至12月，月独立设备数达3486.7万台，与2016年12月相比增长幅度为16.5%。从陕西省网民使用</w:t>
      </w:r>
      <w:r w:rsidRPr="009D423B">
        <w:rPr>
          <w:rFonts w:ascii="微软雅黑" w:eastAsia="微软雅黑" w:hAnsi="微软雅黑" w:hint="eastAsia"/>
          <w:szCs w:val="21"/>
        </w:rPr>
        <w:t>通讯聊天A</w:t>
      </w:r>
      <w:r w:rsidRPr="009D423B">
        <w:rPr>
          <w:rFonts w:ascii="微软雅黑" w:eastAsia="微软雅黑" w:hAnsi="微软雅黑"/>
          <w:szCs w:val="21"/>
        </w:rPr>
        <w:t>PP</w:t>
      </w:r>
      <w:r>
        <w:rPr>
          <w:rFonts w:ascii="微软雅黑" w:eastAsia="微软雅黑" w:hAnsi="微软雅黑"/>
          <w:szCs w:val="21"/>
        </w:rPr>
        <w:t>的</w:t>
      </w:r>
      <w:r>
        <w:rPr>
          <w:rFonts w:ascii="微软雅黑" w:eastAsia="微软雅黑" w:hAnsi="微软雅黑" w:hint="eastAsia"/>
          <w:szCs w:val="21"/>
        </w:rPr>
        <w:t>月独立设备数的比例来看，2017年全年都维持在90%以上水平，均值为93.4%，其中下半年略高于上半年。</w:t>
      </w:r>
      <w:r w:rsidRPr="009D423B">
        <w:rPr>
          <w:rFonts w:ascii="微软雅黑" w:eastAsia="微软雅黑" w:hAnsi="微软雅黑" w:hint="eastAsia"/>
          <w:szCs w:val="21"/>
        </w:rPr>
        <w:t>通讯聊天A</w:t>
      </w:r>
      <w:r w:rsidRPr="009D423B">
        <w:rPr>
          <w:rFonts w:ascii="微软雅黑" w:eastAsia="微软雅黑" w:hAnsi="微软雅黑"/>
          <w:szCs w:val="21"/>
        </w:rPr>
        <w:t>PP</w:t>
      </w:r>
      <w:r>
        <w:rPr>
          <w:rFonts w:ascii="微软雅黑" w:eastAsia="微软雅黑" w:hAnsi="微软雅黑" w:hint="eastAsia"/>
          <w:szCs w:val="21"/>
        </w:rPr>
        <w:t>是移动端所有应用中月独立设备数比例最高的网络服务类型，这也显示出网民对通讯聊天有较高的使用需求。</w:t>
      </w:r>
    </w:p>
    <w:p w:rsidR="00786257" w:rsidRPr="009D423B" w:rsidRDefault="00786257" w:rsidP="00786257">
      <w:pPr>
        <w:jc w:val="center"/>
        <w:rPr>
          <w:szCs w:val="21"/>
        </w:rPr>
      </w:pPr>
      <w:r>
        <w:rPr>
          <w:noProof/>
        </w:rPr>
        <w:drawing>
          <wp:inline distT="0" distB="0" distL="0" distR="0">
            <wp:extent cx="4809600" cy="2880000"/>
            <wp:effectExtent l="0" t="0" r="10160" b="1587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86257" w:rsidRPr="009D423B" w:rsidRDefault="00C564F4" w:rsidP="00786257">
      <w:pPr>
        <w:pStyle w:val="ab"/>
      </w:pPr>
      <w:bookmarkStart w:id="144" w:name="_Toc483275471"/>
      <w:bookmarkStart w:id="145" w:name="_Toc491880378"/>
      <w:bookmarkStart w:id="146" w:name="_Toc524418154"/>
      <w:r>
        <w:rPr>
          <w:rFonts w:hint="eastAsia"/>
        </w:rPr>
        <w:t>图4-</w:t>
      </w:r>
      <w:r w:rsidR="00014228">
        <w:rPr>
          <w:rFonts w:hint="eastAsia"/>
        </w:rPr>
        <w:t>9</w:t>
      </w:r>
      <w:r w:rsidR="00786257" w:rsidRPr="009D423B">
        <w:t xml:space="preserve">  </w:t>
      </w:r>
      <w:r w:rsidR="00786257">
        <w:rPr>
          <w:rFonts w:hint="eastAsia"/>
        </w:rPr>
        <w:t>2017年陕西省网民</w:t>
      </w:r>
      <w:r w:rsidR="00786257" w:rsidRPr="009D423B">
        <w:rPr>
          <w:rFonts w:hint="eastAsia"/>
        </w:rPr>
        <w:t>使用通讯聊天服务</w:t>
      </w:r>
      <w:bookmarkEnd w:id="144"/>
      <w:bookmarkEnd w:id="145"/>
      <w:r w:rsidR="00786257">
        <w:rPr>
          <w:rFonts w:hint="eastAsia"/>
        </w:rPr>
        <w:t>月独立设备数比例</w:t>
      </w:r>
      <w:bookmarkEnd w:id="146"/>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9D423B"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使用通讯聊天APP的单机使用天数</w:t>
      </w:r>
      <w:r>
        <w:rPr>
          <w:rFonts w:ascii="微软雅黑" w:eastAsia="微软雅黑" w:hAnsi="微软雅黑" w:hint="eastAsia"/>
          <w:szCs w:val="21"/>
        </w:rPr>
        <w:t>基本保持稳定</w:t>
      </w:r>
      <w:r w:rsidRPr="009D423B">
        <w:rPr>
          <w:rFonts w:ascii="微软雅黑" w:eastAsia="微软雅黑" w:hAnsi="微软雅黑" w:hint="eastAsia"/>
          <w:szCs w:val="21"/>
        </w:rPr>
        <w:t>，1-12月平均单机使用天数为</w:t>
      </w:r>
      <w:r>
        <w:rPr>
          <w:rFonts w:ascii="微软雅黑" w:eastAsia="微软雅黑" w:hAnsi="微软雅黑" w:hint="eastAsia"/>
          <w:szCs w:val="21"/>
        </w:rPr>
        <w:t>23.8</w:t>
      </w:r>
      <w:r w:rsidRPr="009D423B">
        <w:rPr>
          <w:rFonts w:ascii="微软雅黑" w:eastAsia="微软雅黑" w:hAnsi="微软雅黑" w:hint="eastAsia"/>
          <w:szCs w:val="21"/>
        </w:rPr>
        <w:t>天</w:t>
      </w:r>
      <w:r>
        <w:rPr>
          <w:rFonts w:ascii="微软雅黑" w:eastAsia="微软雅黑" w:hAnsi="微软雅黑" w:hint="eastAsia"/>
          <w:szCs w:val="21"/>
        </w:rPr>
        <w:t>，与2016年相比减少了0.2天，整体变化的幅度较小</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86257" w:rsidRPr="009D423B" w:rsidRDefault="00C564F4" w:rsidP="00786257">
      <w:pPr>
        <w:pStyle w:val="ab"/>
      </w:pPr>
      <w:bookmarkStart w:id="147" w:name="_Toc483275472"/>
      <w:bookmarkStart w:id="148" w:name="_Toc491880379"/>
      <w:bookmarkStart w:id="149" w:name="_Toc524418155"/>
      <w:r>
        <w:rPr>
          <w:rFonts w:hint="eastAsia"/>
        </w:rPr>
        <w:t>图4-</w:t>
      </w:r>
      <w:r w:rsidR="00014228">
        <w:rPr>
          <w:rFonts w:hint="eastAsia"/>
        </w:rPr>
        <w:t>10</w:t>
      </w:r>
      <w:r w:rsidR="00786257" w:rsidRPr="009D423B">
        <w:t xml:space="preserve">  </w:t>
      </w:r>
      <w:r w:rsidR="00786257">
        <w:rPr>
          <w:rFonts w:hint="eastAsia"/>
        </w:rPr>
        <w:t>2017年陕西省网民</w:t>
      </w:r>
      <w:r w:rsidR="00786257" w:rsidRPr="009D423B">
        <w:rPr>
          <w:rFonts w:hint="eastAsia"/>
        </w:rPr>
        <w:t>使用通讯聊天服务单机使用天数</w:t>
      </w:r>
      <w:bookmarkEnd w:id="147"/>
      <w:bookmarkEnd w:id="148"/>
      <w:bookmarkEnd w:id="149"/>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Pr="00CA25E5"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使用通讯聊天APP的单机单日使用次数为</w:t>
      </w:r>
      <w:r>
        <w:rPr>
          <w:rFonts w:ascii="微软雅黑" w:eastAsia="微软雅黑" w:hAnsi="微软雅黑" w:hint="eastAsia"/>
          <w:szCs w:val="21"/>
        </w:rPr>
        <w:t>10.4</w:t>
      </w:r>
      <w:r w:rsidRPr="009D423B">
        <w:rPr>
          <w:rFonts w:ascii="微软雅黑" w:eastAsia="微软雅黑" w:hAnsi="微软雅黑" w:hint="eastAsia"/>
          <w:szCs w:val="21"/>
        </w:rPr>
        <w:t>次，较201</w:t>
      </w:r>
      <w:r>
        <w:rPr>
          <w:rFonts w:ascii="微软雅黑" w:eastAsia="微软雅黑" w:hAnsi="微软雅黑" w:hint="eastAsia"/>
          <w:szCs w:val="21"/>
        </w:rPr>
        <w:t>6有所下滑</w:t>
      </w:r>
      <w:r w:rsidRPr="009D423B">
        <w:rPr>
          <w:rFonts w:ascii="微软雅黑" w:eastAsia="微软雅黑" w:hAnsi="微软雅黑" w:hint="eastAsia"/>
          <w:szCs w:val="21"/>
        </w:rPr>
        <w:t>。</w:t>
      </w:r>
      <w:r>
        <w:rPr>
          <w:rFonts w:ascii="微软雅黑" w:eastAsia="微软雅黑" w:hAnsi="微软雅黑" w:hint="eastAsia"/>
          <w:szCs w:val="21"/>
        </w:rPr>
        <w:t>但整体来看，</w:t>
      </w:r>
      <w:r w:rsidRPr="009D423B">
        <w:rPr>
          <w:rFonts w:ascii="微软雅黑" w:eastAsia="微软雅黑" w:hAnsi="微软雅黑" w:hint="eastAsia"/>
          <w:szCs w:val="21"/>
        </w:rPr>
        <w:t>通讯聊天APP</w:t>
      </w:r>
      <w:r>
        <w:rPr>
          <w:rFonts w:ascii="微软雅黑" w:eastAsia="微软雅黑" w:hAnsi="微软雅黑" w:hint="eastAsia"/>
          <w:szCs w:val="21"/>
        </w:rPr>
        <w:t>依然</w:t>
      </w:r>
      <w:r w:rsidRPr="009D423B">
        <w:rPr>
          <w:rFonts w:ascii="微软雅黑" w:eastAsia="微软雅黑" w:hAnsi="微软雅黑" w:hint="eastAsia"/>
          <w:szCs w:val="21"/>
        </w:rPr>
        <w:t>是所有APP中使用频次最高的应用类型。</w:t>
      </w:r>
    </w:p>
    <w:p w:rsidR="00786257" w:rsidRPr="009D423B" w:rsidRDefault="00786257" w:rsidP="00786257">
      <w:pPr>
        <w:jc w:val="center"/>
        <w:rPr>
          <w:szCs w:val="21"/>
        </w:rPr>
      </w:pPr>
      <w:r>
        <w:rPr>
          <w:noProof/>
        </w:rPr>
        <w:drawing>
          <wp:inline distT="0" distB="0" distL="0" distR="0">
            <wp:extent cx="4809600" cy="2880000"/>
            <wp:effectExtent l="0" t="0" r="10160" b="1587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86257" w:rsidRPr="009D423B" w:rsidRDefault="00C564F4" w:rsidP="00786257">
      <w:pPr>
        <w:pStyle w:val="ab"/>
      </w:pPr>
      <w:bookmarkStart w:id="150" w:name="_Toc483275473"/>
      <w:bookmarkStart w:id="151" w:name="_Toc491880380"/>
      <w:bookmarkStart w:id="152" w:name="_Toc524418156"/>
      <w:r>
        <w:rPr>
          <w:rFonts w:hint="eastAsia"/>
        </w:rPr>
        <w:t>图4-</w:t>
      </w:r>
      <w:r w:rsidR="00014228">
        <w:rPr>
          <w:rFonts w:hint="eastAsia"/>
        </w:rPr>
        <w:t>11</w:t>
      </w:r>
      <w:r w:rsidR="00786257" w:rsidRPr="009D423B">
        <w:t xml:space="preserve">  </w:t>
      </w:r>
      <w:r w:rsidR="00786257">
        <w:rPr>
          <w:rFonts w:hint="eastAsia"/>
        </w:rPr>
        <w:t>2017年陕西省网民</w:t>
      </w:r>
      <w:r w:rsidR="00786257" w:rsidRPr="009D423B">
        <w:rPr>
          <w:rFonts w:hint="eastAsia"/>
        </w:rPr>
        <w:t>使用通讯聊天服务单机单日使用次数</w:t>
      </w:r>
      <w:bookmarkEnd w:id="150"/>
      <w:bookmarkEnd w:id="151"/>
      <w:bookmarkEnd w:id="152"/>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使用通讯聊天APP的单机单次有效时间</w:t>
      </w:r>
      <w:r>
        <w:rPr>
          <w:rFonts w:ascii="微软雅黑" w:eastAsia="微软雅黑" w:hAnsi="微软雅黑" w:hint="eastAsia"/>
          <w:szCs w:val="21"/>
        </w:rPr>
        <w:t>保持平稳，全年月均</w:t>
      </w:r>
      <w:r w:rsidRPr="009D423B">
        <w:rPr>
          <w:rFonts w:ascii="微软雅黑" w:eastAsia="微软雅黑" w:hAnsi="微软雅黑" w:hint="eastAsia"/>
          <w:szCs w:val="21"/>
        </w:rPr>
        <w:t>单次有效时间为5.</w:t>
      </w:r>
      <w:r>
        <w:rPr>
          <w:rFonts w:ascii="微软雅黑" w:eastAsia="微软雅黑" w:hAnsi="微软雅黑" w:hint="eastAsia"/>
          <w:szCs w:val="21"/>
        </w:rPr>
        <w:t>8</w:t>
      </w:r>
      <w:r w:rsidRPr="009D423B">
        <w:rPr>
          <w:rFonts w:ascii="微软雅黑" w:eastAsia="微软雅黑" w:hAnsi="微软雅黑" w:hint="eastAsia"/>
          <w:szCs w:val="21"/>
        </w:rPr>
        <w:t>分钟</w:t>
      </w:r>
      <w:r>
        <w:rPr>
          <w:rFonts w:ascii="微软雅黑" w:eastAsia="微软雅黑" w:hAnsi="微软雅黑" w:hint="eastAsia"/>
          <w:szCs w:val="21"/>
        </w:rPr>
        <w:t>，较2016年提升了0.2分钟。具体来看，上半年</w:t>
      </w:r>
      <w:r w:rsidRPr="009D423B">
        <w:rPr>
          <w:rFonts w:ascii="微软雅黑" w:eastAsia="微软雅黑" w:hAnsi="微软雅黑" w:hint="eastAsia"/>
          <w:szCs w:val="21"/>
        </w:rPr>
        <w:t>单机单次有效时间</w:t>
      </w:r>
      <w:r>
        <w:rPr>
          <w:rFonts w:ascii="微软雅黑" w:eastAsia="微软雅黑" w:hAnsi="微软雅黑" w:hint="eastAsia"/>
          <w:szCs w:val="21"/>
        </w:rPr>
        <w:t>相对较高，平均达到6.0分钟，而下半年则仅5.5分钟。</w:t>
      </w:r>
    </w:p>
    <w:p w:rsidR="00786257" w:rsidRPr="009D423B" w:rsidRDefault="00786257" w:rsidP="00786257">
      <w:pPr>
        <w:jc w:val="center"/>
        <w:rPr>
          <w:szCs w:val="21"/>
        </w:rPr>
      </w:pPr>
      <w:r>
        <w:rPr>
          <w:noProof/>
        </w:rPr>
        <w:drawing>
          <wp:inline distT="0" distB="0" distL="0" distR="0">
            <wp:extent cx="4809600" cy="2880000"/>
            <wp:effectExtent l="0" t="0" r="10160" b="1587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86257" w:rsidRPr="009D423B" w:rsidRDefault="00C564F4" w:rsidP="00786257">
      <w:pPr>
        <w:pStyle w:val="ab"/>
      </w:pPr>
      <w:bookmarkStart w:id="153" w:name="_Toc483275474"/>
      <w:bookmarkStart w:id="154" w:name="_Toc491880381"/>
      <w:bookmarkStart w:id="155" w:name="_Toc524418157"/>
      <w:r>
        <w:rPr>
          <w:rFonts w:hint="eastAsia"/>
        </w:rPr>
        <w:t>图4-</w:t>
      </w:r>
      <w:r w:rsidR="00014228">
        <w:rPr>
          <w:rFonts w:hint="eastAsia"/>
        </w:rPr>
        <w:t>12</w:t>
      </w:r>
      <w:r w:rsidR="00786257" w:rsidRPr="009D423B">
        <w:t xml:space="preserve">  </w:t>
      </w:r>
      <w:r w:rsidR="00786257">
        <w:rPr>
          <w:rFonts w:hint="eastAsia"/>
        </w:rPr>
        <w:t>2017年陕西省网民</w:t>
      </w:r>
      <w:r w:rsidR="00786257" w:rsidRPr="009D423B">
        <w:rPr>
          <w:rFonts w:hint="eastAsia"/>
        </w:rPr>
        <w:t>使用通讯聊天服务单机单次有效时间</w:t>
      </w:r>
      <w:bookmarkEnd w:id="153"/>
      <w:bookmarkEnd w:id="154"/>
      <w:bookmarkEnd w:id="155"/>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Default="00786257" w:rsidP="00786257">
      <w:pPr>
        <w:snapToGrid w:val="0"/>
        <w:spacing w:line="400" w:lineRule="exact"/>
        <w:ind w:firstLineChars="202" w:firstLine="424"/>
        <w:rPr>
          <w:szCs w:val="21"/>
        </w:rPr>
      </w:pPr>
      <w:r>
        <w:rPr>
          <w:rFonts w:ascii="微软雅黑" w:eastAsia="微软雅黑" w:hAnsi="微软雅黑" w:hint="eastAsia"/>
          <w:szCs w:val="21"/>
        </w:rPr>
        <w:t>2017年</w:t>
      </w:r>
      <w:r w:rsidRPr="009D423B">
        <w:rPr>
          <w:rFonts w:ascii="微软雅黑" w:eastAsia="微软雅黑" w:hAnsi="微软雅黑" w:hint="eastAsia"/>
          <w:szCs w:val="21"/>
        </w:rPr>
        <w:t>12月，</w:t>
      </w:r>
      <w:r>
        <w:rPr>
          <w:rFonts w:ascii="微软雅黑" w:eastAsia="微软雅黑" w:hAnsi="微软雅黑" w:hint="eastAsia"/>
          <w:szCs w:val="21"/>
        </w:rPr>
        <w:t>陕西省网民</w:t>
      </w:r>
      <w:r w:rsidRPr="009D423B">
        <w:rPr>
          <w:rFonts w:ascii="微软雅黑" w:eastAsia="微软雅黑" w:hAnsi="微软雅黑"/>
          <w:szCs w:val="21"/>
        </w:rPr>
        <w:t>最常</w:t>
      </w:r>
      <w:r w:rsidRPr="009D423B">
        <w:rPr>
          <w:rFonts w:ascii="微软雅黑" w:eastAsia="微软雅黑" w:hAnsi="微软雅黑" w:hint="eastAsia"/>
          <w:szCs w:val="21"/>
        </w:rPr>
        <w:t>使用</w:t>
      </w:r>
      <w:r w:rsidRPr="009D423B">
        <w:rPr>
          <w:rFonts w:ascii="微软雅黑" w:eastAsia="微软雅黑" w:hAnsi="微软雅黑"/>
          <w:szCs w:val="21"/>
        </w:rPr>
        <w:t>的通讯聊天</w:t>
      </w:r>
      <w:r w:rsidRPr="009D423B">
        <w:rPr>
          <w:rFonts w:ascii="微软雅黑" w:eastAsia="微软雅黑" w:hAnsi="微软雅黑" w:hint="eastAsia"/>
          <w:szCs w:val="21"/>
        </w:rPr>
        <w:t>类APP中</w:t>
      </w:r>
      <w:r w:rsidRPr="009D423B">
        <w:rPr>
          <w:rFonts w:ascii="微软雅黑" w:eastAsia="微软雅黑" w:hAnsi="微软雅黑"/>
          <w:szCs w:val="21"/>
        </w:rPr>
        <w:t>，微信</w:t>
      </w:r>
      <w:r>
        <w:rPr>
          <w:rFonts w:ascii="微软雅黑" w:eastAsia="微软雅黑" w:hAnsi="微软雅黑" w:hint="eastAsia"/>
          <w:szCs w:val="21"/>
        </w:rPr>
        <w:t>以绝对优势位列第一，其月独立设备数比例达到90.1%；QQ次之，月独立设备数比例为52.9%。而通讯聊天大类别的其他应用月独立设备数比例均不足10%，有着典型的长尾结构。</w:t>
      </w:r>
    </w:p>
    <w:p w:rsidR="00786257" w:rsidRPr="009D423B" w:rsidRDefault="00786257" w:rsidP="00786257">
      <w:pPr>
        <w:jc w:val="center"/>
        <w:rPr>
          <w:szCs w:val="21"/>
        </w:rPr>
      </w:pPr>
      <w:r>
        <w:rPr>
          <w:noProof/>
        </w:rPr>
        <w:drawing>
          <wp:inline distT="0" distB="0" distL="0" distR="0">
            <wp:extent cx="4810125" cy="3705225"/>
            <wp:effectExtent l="0" t="0" r="9525"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86257" w:rsidRPr="009D423B" w:rsidRDefault="00C564F4" w:rsidP="00786257">
      <w:pPr>
        <w:pStyle w:val="ab"/>
      </w:pPr>
      <w:bookmarkStart w:id="156" w:name="_Toc483275475"/>
      <w:bookmarkStart w:id="157" w:name="_Toc491880382"/>
      <w:bookmarkStart w:id="158" w:name="_Toc524418158"/>
      <w:r>
        <w:rPr>
          <w:rFonts w:hint="eastAsia"/>
        </w:rPr>
        <w:t>图4-</w:t>
      </w:r>
      <w:r w:rsidR="00786257">
        <w:rPr>
          <w:rFonts w:hint="eastAsia"/>
        </w:rPr>
        <w:t>1</w:t>
      </w:r>
      <w:r w:rsidR="00014228">
        <w:rPr>
          <w:rFonts w:hint="eastAsia"/>
        </w:rPr>
        <w:t>3</w:t>
      </w:r>
      <w:r w:rsidR="00786257" w:rsidRPr="009D423B">
        <w:t xml:space="preserve">  </w:t>
      </w:r>
      <w:r w:rsidR="00786257">
        <w:rPr>
          <w:rFonts w:hint="eastAsia"/>
        </w:rPr>
        <w:t>2017年</w:t>
      </w:r>
      <w:r w:rsidR="00786257" w:rsidRPr="009D423B">
        <w:rPr>
          <w:rFonts w:hint="eastAsia"/>
        </w:rPr>
        <w:t>1</w:t>
      </w:r>
      <w:r w:rsidR="00786257" w:rsidRPr="009D423B">
        <w:t>2</w:t>
      </w:r>
      <w:r w:rsidR="00786257" w:rsidRPr="009D423B">
        <w:rPr>
          <w:rFonts w:hint="eastAsia"/>
        </w:rPr>
        <w:t>月</w:t>
      </w:r>
      <w:r w:rsidR="00786257">
        <w:rPr>
          <w:rFonts w:hint="eastAsia"/>
        </w:rPr>
        <w:t>陕西省网民</w:t>
      </w:r>
      <w:r w:rsidR="00786257" w:rsidRPr="009D423B">
        <w:rPr>
          <w:rFonts w:hint="eastAsia"/>
        </w:rPr>
        <w:t>常用通讯聊天类APP</w:t>
      </w:r>
      <w:bookmarkEnd w:id="156"/>
      <w:bookmarkEnd w:id="157"/>
      <w:bookmarkEnd w:id="158"/>
    </w:p>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159" w:name="_Toc485132096"/>
      <w:bookmarkStart w:id="160" w:name="_Toc519837697"/>
      <w:bookmarkStart w:id="161" w:name="_Toc524417996"/>
      <w:r w:rsidRPr="009D423B">
        <w:rPr>
          <w:rFonts w:ascii="微软雅黑" w:eastAsia="微软雅黑" w:hAnsi="微软雅黑" w:hint="eastAsia"/>
          <w:b/>
          <w:szCs w:val="21"/>
        </w:rPr>
        <w:t>2.使用实用工具App情况</w:t>
      </w:r>
      <w:bookmarkEnd w:id="159"/>
      <w:bookmarkEnd w:id="160"/>
      <w:bookmarkEnd w:id="161"/>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Pr="00FB3688"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实用工具APP的</w:t>
      </w:r>
      <w:r>
        <w:rPr>
          <w:rFonts w:ascii="微软雅黑" w:eastAsia="微软雅黑" w:hAnsi="微软雅黑" w:hint="eastAsia"/>
          <w:szCs w:val="21"/>
        </w:rPr>
        <w:t>月独立设备数保持增长，截至12月的月独立设备数达到3463.1万台，较2016年12月增长16.7%。全年来看，</w:t>
      </w:r>
      <w:r w:rsidRPr="00F950BE">
        <w:rPr>
          <w:rFonts w:ascii="微软雅黑" w:eastAsia="微软雅黑" w:hAnsi="微软雅黑" w:hint="eastAsia"/>
          <w:szCs w:val="21"/>
        </w:rPr>
        <w:t>月独立设备数比例</w:t>
      </w:r>
      <w:r>
        <w:rPr>
          <w:rFonts w:ascii="微软雅黑" w:eastAsia="微软雅黑" w:hAnsi="微软雅黑" w:hint="eastAsia"/>
          <w:szCs w:val="21"/>
        </w:rPr>
        <w:t>也保持增长，由年初1月的90%左右提升至12月的93%以上，这表明使用</w:t>
      </w:r>
      <w:r w:rsidRPr="00F950BE">
        <w:rPr>
          <w:rFonts w:ascii="微软雅黑" w:eastAsia="微软雅黑" w:hAnsi="微软雅黑" w:hint="eastAsia"/>
          <w:szCs w:val="21"/>
        </w:rPr>
        <w:t>实用工具App</w:t>
      </w:r>
      <w:r>
        <w:rPr>
          <w:rFonts w:ascii="微软雅黑" w:eastAsia="微软雅黑" w:hAnsi="微软雅黑" w:hint="eastAsia"/>
          <w:szCs w:val="21"/>
        </w:rPr>
        <w:t>的用户基础正不断扩大，也显</w:t>
      </w:r>
      <w:r w:rsidRPr="00FB3688">
        <w:rPr>
          <w:rFonts w:ascii="微软雅黑" w:eastAsia="微软雅黑" w:hAnsi="微软雅黑" w:hint="eastAsia"/>
          <w:szCs w:val="21"/>
        </w:rPr>
        <w:t>示出</w:t>
      </w:r>
      <w:r w:rsidRPr="00866053">
        <w:rPr>
          <w:rFonts w:ascii="微软雅黑" w:eastAsia="微软雅黑" w:hAnsi="微软雅黑" w:hint="eastAsia"/>
          <w:szCs w:val="21"/>
        </w:rPr>
        <w:t>实用工具App</w:t>
      </w:r>
      <w:r>
        <w:rPr>
          <w:rFonts w:ascii="微软雅黑" w:eastAsia="微软雅黑" w:hAnsi="微软雅黑" w:hint="eastAsia"/>
          <w:szCs w:val="21"/>
        </w:rPr>
        <w:t>有着</w:t>
      </w:r>
      <w:r w:rsidRPr="00866053">
        <w:rPr>
          <w:rFonts w:ascii="微软雅黑" w:eastAsia="微软雅黑" w:hAnsi="微软雅黑" w:hint="eastAsia"/>
          <w:szCs w:val="21"/>
        </w:rPr>
        <w:t>较</w:t>
      </w:r>
      <w:r>
        <w:rPr>
          <w:rFonts w:ascii="微软雅黑" w:eastAsia="微软雅黑" w:hAnsi="微软雅黑" w:hint="eastAsia"/>
          <w:szCs w:val="21"/>
        </w:rPr>
        <w:t>高</w:t>
      </w:r>
      <w:r w:rsidRPr="00866053">
        <w:rPr>
          <w:rFonts w:ascii="微软雅黑" w:eastAsia="微软雅黑" w:hAnsi="微软雅黑" w:hint="eastAsia"/>
          <w:szCs w:val="21"/>
        </w:rPr>
        <w:t>的</w:t>
      </w:r>
      <w:r>
        <w:rPr>
          <w:rFonts w:ascii="微软雅黑" w:eastAsia="微软雅黑" w:hAnsi="微软雅黑" w:hint="eastAsia"/>
          <w:szCs w:val="21"/>
        </w:rPr>
        <w:t>覆盖率</w:t>
      </w:r>
      <w:r w:rsidRPr="00FB3688">
        <w:rPr>
          <w:rFonts w:ascii="微软雅黑" w:eastAsia="微软雅黑" w:hAnsi="微软雅黑" w:hint="eastAsia"/>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86257" w:rsidRPr="009D423B" w:rsidRDefault="00C564F4" w:rsidP="00786257">
      <w:pPr>
        <w:pStyle w:val="ab"/>
        <w:rPr>
          <w:rFonts w:cs="宋体"/>
        </w:rPr>
      </w:pPr>
      <w:bookmarkStart w:id="162" w:name="_Toc483275476"/>
      <w:bookmarkStart w:id="163" w:name="_Toc491880383"/>
      <w:bookmarkStart w:id="164" w:name="_Toc524418159"/>
      <w:r>
        <w:rPr>
          <w:rFonts w:hint="eastAsia"/>
        </w:rPr>
        <w:t>图4-</w:t>
      </w:r>
      <w:r w:rsidR="00786257">
        <w:rPr>
          <w:rFonts w:hint="eastAsia"/>
        </w:rPr>
        <w:t>1</w:t>
      </w:r>
      <w:r w:rsidR="00014228">
        <w:rPr>
          <w:rFonts w:hint="eastAsia"/>
        </w:rPr>
        <w:t>4</w:t>
      </w:r>
      <w:r w:rsidR="00786257" w:rsidRPr="009D423B">
        <w:t xml:space="preserve">  </w:t>
      </w:r>
      <w:r w:rsidR="00786257">
        <w:rPr>
          <w:rFonts w:hint="eastAsia"/>
        </w:rPr>
        <w:t>2017年陕西省网民</w:t>
      </w:r>
      <w:r w:rsidR="00786257" w:rsidRPr="009D423B">
        <w:rPr>
          <w:rFonts w:hint="eastAsia"/>
        </w:rPr>
        <w:t>使用实用工具服务</w:t>
      </w:r>
      <w:bookmarkEnd w:id="162"/>
      <w:bookmarkEnd w:id="163"/>
      <w:r w:rsidR="00786257">
        <w:rPr>
          <w:rFonts w:hint="eastAsia"/>
        </w:rPr>
        <w:t>月独立设备数比例</w:t>
      </w:r>
      <w:bookmarkEnd w:id="164"/>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866053"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，陕西省网民使用实用工具APP</w:t>
      </w:r>
      <w:r>
        <w:rPr>
          <w:rFonts w:ascii="微软雅黑" w:eastAsia="微软雅黑" w:hAnsi="微软雅黑" w:hint="eastAsia"/>
          <w:szCs w:val="21"/>
        </w:rPr>
        <w:t>的</w:t>
      </w:r>
      <w:r w:rsidRPr="009D423B">
        <w:rPr>
          <w:rFonts w:ascii="微软雅黑" w:eastAsia="微软雅黑" w:hAnsi="微软雅黑" w:hint="eastAsia"/>
          <w:szCs w:val="21"/>
        </w:rPr>
        <w:t>单机使用天数稳中有升，</w:t>
      </w:r>
      <w:r>
        <w:rPr>
          <w:rFonts w:ascii="微软雅黑" w:eastAsia="微软雅黑" w:hAnsi="微软雅黑" w:hint="eastAsia"/>
          <w:szCs w:val="21"/>
        </w:rPr>
        <w:t>全年均值达到18.7天，较2016年提升0.6天。从月度使用情况来看，全年多个月份月度使用天数在19天以上，而2月份最低，仅16.7天，这与二月份的天数相对较少存在一定关系。</w:t>
      </w:r>
    </w:p>
    <w:p w:rsidR="00786257" w:rsidRPr="009D423B" w:rsidRDefault="00786257" w:rsidP="00786257">
      <w:pPr>
        <w:jc w:val="center"/>
        <w:rPr>
          <w:szCs w:val="21"/>
        </w:rPr>
      </w:pPr>
      <w:r>
        <w:rPr>
          <w:noProof/>
        </w:rPr>
        <w:drawing>
          <wp:inline distT="0" distB="0" distL="0" distR="0">
            <wp:extent cx="4809600" cy="2880000"/>
            <wp:effectExtent l="0" t="0" r="10160" b="1587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86257" w:rsidRPr="009D423B" w:rsidRDefault="00C564F4" w:rsidP="00786257">
      <w:pPr>
        <w:pStyle w:val="ab"/>
      </w:pPr>
      <w:bookmarkStart w:id="165" w:name="_Toc483275477"/>
      <w:bookmarkStart w:id="166" w:name="_Toc491880384"/>
      <w:bookmarkStart w:id="167" w:name="_Toc524418160"/>
      <w:r>
        <w:rPr>
          <w:rFonts w:hint="eastAsia"/>
        </w:rPr>
        <w:t>图4-</w:t>
      </w:r>
      <w:r w:rsidR="00786257">
        <w:rPr>
          <w:rFonts w:hint="eastAsia"/>
        </w:rPr>
        <w:t>1</w:t>
      </w:r>
      <w:r w:rsidR="00014228">
        <w:rPr>
          <w:rFonts w:hint="eastAsia"/>
        </w:rPr>
        <w:t>5</w:t>
      </w:r>
      <w:r w:rsidR="00786257" w:rsidRPr="009D423B">
        <w:t xml:space="preserve">  </w:t>
      </w:r>
      <w:r w:rsidR="00786257">
        <w:rPr>
          <w:rFonts w:hint="eastAsia"/>
        </w:rPr>
        <w:t>2017年陕西省网民</w:t>
      </w:r>
      <w:r w:rsidR="00786257" w:rsidRPr="009D423B">
        <w:rPr>
          <w:rFonts w:hint="eastAsia"/>
        </w:rPr>
        <w:t>使用实用工具服务单机使用天数</w:t>
      </w:r>
      <w:bookmarkEnd w:id="165"/>
      <w:bookmarkEnd w:id="166"/>
      <w:bookmarkEnd w:id="167"/>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Pr="009D423B"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使用实用工具APP单机单日使用次数平均值</w:t>
      </w:r>
      <w:r>
        <w:rPr>
          <w:rFonts w:ascii="微软雅黑" w:eastAsia="微软雅黑" w:hAnsi="微软雅黑" w:hint="eastAsia"/>
          <w:szCs w:val="21"/>
        </w:rPr>
        <w:t>提升至4.5</w:t>
      </w:r>
      <w:r w:rsidRPr="009D423B">
        <w:rPr>
          <w:rFonts w:ascii="微软雅黑" w:eastAsia="微软雅黑" w:hAnsi="微软雅黑" w:hint="eastAsia"/>
          <w:szCs w:val="21"/>
        </w:rPr>
        <w:t>次</w:t>
      </w:r>
      <w:r>
        <w:rPr>
          <w:rFonts w:ascii="微软雅黑" w:eastAsia="微软雅黑" w:hAnsi="微软雅黑" w:hint="eastAsia"/>
          <w:szCs w:val="21"/>
        </w:rPr>
        <w:t>，较2016年增加0.5次</w:t>
      </w:r>
      <w:r w:rsidRPr="009D423B">
        <w:rPr>
          <w:rFonts w:ascii="微软雅黑" w:eastAsia="微软雅黑" w:hAnsi="微软雅黑" w:hint="eastAsia"/>
          <w:szCs w:val="21"/>
        </w:rPr>
        <w:t>。全年来看，</w:t>
      </w:r>
      <w:r w:rsidRPr="00866053">
        <w:rPr>
          <w:rFonts w:ascii="微软雅黑" w:eastAsia="微软雅黑" w:hAnsi="微软雅黑" w:hint="eastAsia"/>
          <w:szCs w:val="21"/>
        </w:rPr>
        <w:t>单机单日使用次数</w:t>
      </w:r>
      <w:r w:rsidRPr="009D423B">
        <w:rPr>
          <w:rFonts w:ascii="微软雅黑" w:eastAsia="微软雅黑" w:hAnsi="微软雅黑" w:hint="eastAsia"/>
          <w:szCs w:val="21"/>
        </w:rPr>
        <w:t>保持稳步增长，</w:t>
      </w:r>
      <w:r>
        <w:rPr>
          <w:rFonts w:ascii="微软雅黑" w:eastAsia="微软雅黑" w:hAnsi="微软雅黑" w:hint="eastAsia"/>
          <w:szCs w:val="21"/>
        </w:rPr>
        <w:t>由年初1月的4.0次增加至12月的5.1次，</w:t>
      </w:r>
      <w:r w:rsidRPr="009D423B">
        <w:rPr>
          <w:rFonts w:ascii="微软雅黑" w:eastAsia="微软雅黑" w:hAnsi="微软雅黑" w:hint="eastAsia"/>
          <w:szCs w:val="21"/>
        </w:rPr>
        <w:t>表明陕西省网民使用实用工具APP</w:t>
      </w:r>
      <w:r>
        <w:rPr>
          <w:rFonts w:ascii="微软雅黑" w:eastAsia="微软雅黑" w:hAnsi="微软雅黑" w:hint="eastAsia"/>
          <w:szCs w:val="21"/>
        </w:rPr>
        <w:t>的粘性进一步</w:t>
      </w:r>
      <w:r w:rsidRPr="009D423B">
        <w:rPr>
          <w:rFonts w:ascii="微软雅黑" w:eastAsia="微软雅黑" w:hAnsi="微软雅黑" w:hint="eastAsia"/>
          <w:szCs w:val="21"/>
        </w:rPr>
        <w:t>增强。</w:t>
      </w:r>
    </w:p>
    <w:p w:rsidR="00786257" w:rsidRPr="009D423B" w:rsidRDefault="00786257" w:rsidP="00786257">
      <w:pPr>
        <w:jc w:val="center"/>
        <w:rPr>
          <w:szCs w:val="21"/>
        </w:rPr>
      </w:pPr>
      <w:r>
        <w:rPr>
          <w:noProof/>
        </w:rPr>
        <w:drawing>
          <wp:inline distT="0" distB="0" distL="0" distR="0">
            <wp:extent cx="4809600" cy="2880000"/>
            <wp:effectExtent l="0" t="0" r="10160" b="1587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86257" w:rsidRDefault="00C564F4" w:rsidP="00786257">
      <w:pPr>
        <w:pStyle w:val="ab"/>
      </w:pPr>
      <w:bookmarkStart w:id="168" w:name="_Toc483275478"/>
      <w:bookmarkStart w:id="169" w:name="_Toc491880385"/>
      <w:bookmarkStart w:id="170" w:name="_Toc524418161"/>
      <w:r>
        <w:rPr>
          <w:rFonts w:hint="eastAsia"/>
        </w:rPr>
        <w:t>图4-</w:t>
      </w:r>
      <w:r w:rsidR="00786257" w:rsidRPr="009D423B">
        <w:rPr>
          <w:rFonts w:hint="eastAsia"/>
        </w:rPr>
        <w:t>1</w:t>
      </w:r>
      <w:r w:rsidR="00014228">
        <w:rPr>
          <w:rFonts w:hint="eastAsia"/>
        </w:rPr>
        <w:t>6</w:t>
      </w:r>
      <w:r w:rsidR="00786257" w:rsidRPr="009D423B">
        <w:t xml:space="preserve">  </w:t>
      </w:r>
      <w:r w:rsidR="00786257">
        <w:rPr>
          <w:rFonts w:hint="eastAsia"/>
        </w:rPr>
        <w:t>2017年陕西省网民</w:t>
      </w:r>
      <w:r w:rsidR="00786257" w:rsidRPr="009D423B">
        <w:rPr>
          <w:rFonts w:hint="eastAsia"/>
        </w:rPr>
        <w:t>使用实用工具服务单机单日使用次数</w:t>
      </w:r>
      <w:bookmarkEnd w:id="168"/>
      <w:bookmarkEnd w:id="169"/>
      <w:bookmarkEnd w:id="170"/>
    </w:p>
    <w:p w:rsidR="00714508" w:rsidRDefault="00714508" w:rsidP="00EF56C6"/>
    <w:p w:rsidR="00714508" w:rsidRPr="00714508" w:rsidRDefault="00714508" w:rsidP="00EF56C6"/>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Pr="00866053"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使用实用工具APP</w:t>
      </w:r>
      <w:r>
        <w:rPr>
          <w:rFonts w:ascii="微软雅黑" w:eastAsia="微软雅黑" w:hAnsi="微软雅黑" w:hint="eastAsia"/>
          <w:szCs w:val="21"/>
        </w:rPr>
        <w:t>单机单次有效时间有所下降</w:t>
      </w:r>
      <w:r w:rsidRPr="009D423B">
        <w:rPr>
          <w:rFonts w:ascii="微软雅黑" w:eastAsia="微软雅黑" w:hAnsi="微软雅黑" w:hint="eastAsia"/>
          <w:szCs w:val="21"/>
        </w:rPr>
        <w:t>，全年单机单次有效时间为</w:t>
      </w:r>
      <w:r>
        <w:rPr>
          <w:rFonts w:ascii="微软雅黑" w:eastAsia="微软雅黑" w:hAnsi="微软雅黑" w:hint="eastAsia"/>
          <w:szCs w:val="21"/>
        </w:rPr>
        <w:t>5.6</w:t>
      </w:r>
      <w:r w:rsidRPr="009D423B">
        <w:rPr>
          <w:rFonts w:ascii="微软雅黑" w:eastAsia="微软雅黑" w:hAnsi="微软雅黑" w:hint="eastAsia"/>
          <w:szCs w:val="21"/>
        </w:rPr>
        <w:t>分钟，其中</w:t>
      </w:r>
      <w:r>
        <w:rPr>
          <w:rFonts w:ascii="微软雅黑" w:eastAsia="微软雅黑" w:hAnsi="微软雅黑" w:hint="eastAsia"/>
          <w:szCs w:val="21"/>
        </w:rPr>
        <w:t>5</w:t>
      </w:r>
      <w:r w:rsidRPr="009D423B">
        <w:rPr>
          <w:rFonts w:ascii="微软雅黑" w:eastAsia="微软雅黑" w:hAnsi="微软雅黑" w:hint="eastAsia"/>
          <w:szCs w:val="21"/>
        </w:rPr>
        <w:t>月最高，达到</w:t>
      </w:r>
      <w:r>
        <w:rPr>
          <w:rFonts w:ascii="微软雅黑" w:eastAsia="微软雅黑" w:hAnsi="微软雅黑" w:hint="eastAsia"/>
          <w:szCs w:val="21"/>
        </w:rPr>
        <w:t>6.4</w:t>
      </w:r>
      <w:r w:rsidRPr="009D423B">
        <w:rPr>
          <w:rFonts w:ascii="微软雅黑" w:eastAsia="微软雅黑" w:hAnsi="微软雅黑" w:hint="eastAsia"/>
          <w:szCs w:val="21"/>
        </w:rPr>
        <w:t>分钟</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1132" name="图表 1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86257" w:rsidRPr="009D423B" w:rsidRDefault="00C564F4" w:rsidP="00786257">
      <w:pPr>
        <w:pStyle w:val="ab"/>
      </w:pPr>
      <w:bookmarkStart w:id="171" w:name="_Toc483275479"/>
      <w:bookmarkStart w:id="172" w:name="_Toc491880386"/>
      <w:bookmarkStart w:id="173" w:name="_Toc524418162"/>
      <w:r>
        <w:rPr>
          <w:rFonts w:hint="eastAsia"/>
        </w:rPr>
        <w:t>图4-</w:t>
      </w:r>
      <w:r w:rsidR="00786257" w:rsidRPr="009D423B">
        <w:rPr>
          <w:rFonts w:hint="eastAsia"/>
        </w:rPr>
        <w:t>1</w:t>
      </w:r>
      <w:r w:rsidR="00014228">
        <w:rPr>
          <w:rFonts w:hint="eastAsia"/>
        </w:rPr>
        <w:t>7</w:t>
      </w:r>
      <w:r w:rsidR="00786257" w:rsidRPr="009D423B">
        <w:t xml:space="preserve">  </w:t>
      </w:r>
      <w:r w:rsidR="00786257">
        <w:rPr>
          <w:rFonts w:hint="eastAsia"/>
        </w:rPr>
        <w:t>2017年陕西省网民</w:t>
      </w:r>
      <w:r w:rsidR="00786257" w:rsidRPr="009D423B">
        <w:rPr>
          <w:rFonts w:hint="eastAsia"/>
        </w:rPr>
        <w:t>使用实用工具服务单机单次有效时间</w:t>
      </w:r>
      <w:bookmarkEnd w:id="171"/>
      <w:bookmarkEnd w:id="172"/>
      <w:bookmarkEnd w:id="173"/>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Pr="00E65D8D"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12月，陕西省网民常用</w:t>
      </w:r>
      <w:r w:rsidRPr="009D423B">
        <w:rPr>
          <w:rFonts w:ascii="微软雅黑" w:eastAsia="微软雅黑" w:hAnsi="微软雅黑"/>
          <w:szCs w:val="21"/>
        </w:rPr>
        <w:t>的实用工具类</w:t>
      </w:r>
      <w:r w:rsidRPr="009D423B">
        <w:rPr>
          <w:rFonts w:ascii="微软雅黑" w:eastAsia="微软雅黑" w:hAnsi="微软雅黑" w:hint="eastAsia"/>
          <w:szCs w:val="21"/>
        </w:rPr>
        <w:t>APP</w:t>
      </w:r>
      <w:r>
        <w:rPr>
          <w:rFonts w:ascii="微软雅黑" w:eastAsia="微软雅黑" w:hAnsi="微软雅黑" w:hint="eastAsia"/>
          <w:szCs w:val="21"/>
        </w:rPr>
        <w:t>中，</w:t>
      </w:r>
      <w:r w:rsidRPr="009D423B">
        <w:rPr>
          <w:rFonts w:ascii="微软雅黑" w:eastAsia="微软雅黑" w:hAnsi="微软雅黑" w:hint="eastAsia"/>
          <w:szCs w:val="21"/>
        </w:rPr>
        <w:t>搜狗输入法</w:t>
      </w:r>
      <w:r>
        <w:rPr>
          <w:rFonts w:ascii="微软雅黑" w:eastAsia="微软雅黑" w:hAnsi="微软雅黑" w:hint="eastAsia"/>
          <w:szCs w:val="21"/>
        </w:rPr>
        <w:t>以49.0%的月独立设备数比例跃居第一，QQ浏览器和百度分列第二和第三位。整体来看，排名前十的</w:t>
      </w:r>
      <w:r w:rsidRPr="009D423B">
        <w:rPr>
          <w:rFonts w:ascii="微软雅黑" w:eastAsia="微软雅黑" w:hAnsi="微软雅黑"/>
          <w:szCs w:val="21"/>
        </w:rPr>
        <w:t>实用工具类</w:t>
      </w:r>
      <w:r w:rsidRPr="009D423B">
        <w:rPr>
          <w:rFonts w:ascii="微软雅黑" w:eastAsia="微软雅黑" w:hAnsi="微软雅黑" w:hint="eastAsia"/>
          <w:szCs w:val="21"/>
        </w:rPr>
        <w:t>APP</w:t>
      </w:r>
      <w:r>
        <w:rPr>
          <w:rFonts w:ascii="微软雅黑" w:eastAsia="微软雅黑" w:hAnsi="微软雅黑" w:hint="eastAsia"/>
          <w:szCs w:val="21"/>
        </w:rPr>
        <w:t>差距不大，相邻应用之间的月独立设备数比例大多仅有几个百分点以内的差异。</w:t>
      </w:r>
    </w:p>
    <w:p w:rsidR="00786257" w:rsidRPr="009D423B" w:rsidRDefault="00786257" w:rsidP="00786257">
      <w:pPr>
        <w:jc w:val="center"/>
        <w:rPr>
          <w:szCs w:val="21"/>
        </w:rPr>
      </w:pPr>
      <w:r>
        <w:rPr>
          <w:noProof/>
        </w:rPr>
        <w:drawing>
          <wp:inline distT="0" distB="0" distL="0" distR="0">
            <wp:extent cx="4809600" cy="3240000"/>
            <wp:effectExtent l="0" t="0" r="10160" b="1778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86257" w:rsidRDefault="00C564F4" w:rsidP="00786257">
      <w:pPr>
        <w:pStyle w:val="ab"/>
      </w:pPr>
      <w:bookmarkStart w:id="174" w:name="_Toc483275480"/>
      <w:bookmarkStart w:id="175" w:name="_Toc491880387"/>
      <w:bookmarkStart w:id="176" w:name="_Toc524418163"/>
      <w:r>
        <w:rPr>
          <w:rFonts w:hint="eastAsia"/>
        </w:rPr>
        <w:t>图4-</w:t>
      </w:r>
      <w:r w:rsidR="00786257" w:rsidRPr="009D423B">
        <w:rPr>
          <w:rFonts w:hint="eastAsia"/>
        </w:rPr>
        <w:t>1</w:t>
      </w:r>
      <w:r w:rsidR="00014228">
        <w:rPr>
          <w:rFonts w:hint="eastAsia"/>
        </w:rPr>
        <w:t>8</w:t>
      </w:r>
      <w:r w:rsidR="00786257" w:rsidRPr="009D423B">
        <w:t xml:space="preserve">  </w:t>
      </w:r>
      <w:r w:rsidR="00786257">
        <w:rPr>
          <w:rFonts w:hint="eastAsia"/>
        </w:rPr>
        <w:t>2017年</w:t>
      </w:r>
      <w:r w:rsidR="00786257" w:rsidRPr="009D423B">
        <w:rPr>
          <w:rFonts w:hint="eastAsia"/>
        </w:rPr>
        <w:t>1</w:t>
      </w:r>
      <w:r w:rsidR="00786257" w:rsidRPr="009D423B">
        <w:t>2</w:t>
      </w:r>
      <w:r w:rsidR="00786257" w:rsidRPr="009D423B">
        <w:rPr>
          <w:rFonts w:hint="eastAsia"/>
        </w:rPr>
        <w:t>月</w:t>
      </w:r>
      <w:r w:rsidR="00786257">
        <w:rPr>
          <w:rFonts w:hint="eastAsia"/>
        </w:rPr>
        <w:t>陕西省网民</w:t>
      </w:r>
      <w:r w:rsidR="00786257" w:rsidRPr="009D423B">
        <w:rPr>
          <w:rFonts w:hint="eastAsia"/>
        </w:rPr>
        <w:t>常用实用工具类APP</w:t>
      </w:r>
      <w:bookmarkEnd w:id="174"/>
      <w:bookmarkEnd w:id="175"/>
      <w:bookmarkEnd w:id="176"/>
    </w:p>
    <w:p w:rsidR="00714508" w:rsidRPr="00714508" w:rsidRDefault="00714508" w:rsidP="00EF56C6"/>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177" w:name="_Toc485132097"/>
      <w:bookmarkStart w:id="178" w:name="_Toc519837698"/>
      <w:bookmarkStart w:id="179" w:name="_Toc524417997"/>
      <w:r w:rsidRPr="009D423B">
        <w:rPr>
          <w:rFonts w:ascii="微软雅黑" w:eastAsia="微软雅黑" w:hAnsi="微软雅黑" w:hint="eastAsia"/>
          <w:b/>
          <w:szCs w:val="21"/>
        </w:rPr>
        <w:t>3.使用视频服务App情况</w:t>
      </w:r>
      <w:bookmarkEnd w:id="177"/>
      <w:bookmarkEnd w:id="178"/>
      <w:bookmarkEnd w:id="179"/>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2017年，陕西省网民使用</w:t>
      </w:r>
      <w:r w:rsidRPr="009D423B">
        <w:rPr>
          <w:rFonts w:ascii="微软雅黑" w:eastAsia="微软雅黑" w:hAnsi="微软雅黑" w:hint="eastAsia"/>
          <w:szCs w:val="21"/>
        </w:rPr>
        <w:t>视频服务APP</w:t>
      </w:r>
      <w:r>
        <w:rPr>
          <w:rFonts w:ascii="微软雅黑" w:eastAsia="微软雅黑" w:hAnsi="微软雅黑" w:hint="eastAsia"/>
          <w:szCs w:val="21"/>
        </w:rPr>
        <w:t>的月独立设备数持续增长，截至12月达到3452.7万台，与2016年12月相比提升了9.5%。从使用</w:t>
      </w:r>
      <w:r w:rsidRPr="009D423B">
        <w:rPr>
          <w:rFonts w:ascii="微软雅黑" w:eastAsia="微软雅黑" w:hAnsi="微软雅黑" w:hint="eastAsia"/>
          <w:szCs w:val="21"/>
        </w:rPr>
        <w:t>视频服务APP的</w:t>
      </w:r>
      <w:r>
        <w:rPr>
          <w:rFonts w:ascii="微软雅黑" w:eastAsia="微软雅黑" w:hAnsi="微软雅黑" w:hint="eastAsia"/>
          <w:szCs w:val="21"/>
        </w:rPr>
        <w:t>月独立设备数比例来看，2017年呈现出平稳增长趋势，</w:t>
      </w:r>
      <w:r w:rsidR="00714508">
        <w:rPr>
          <w:rFonts w:ascii="微软雅黑" w:eastAsia="微软雅黑" w:hAnsi="微软雅黑" w:hint="eastAsia"/>
          <w:szCs w:val="21"/>
        </w:rPr>
        <w:t>由</w:t>
      </w:r>
      <w:r>
        <w:rPr>
          <w:rFonts w:ascii="微软雅黑" w:eastAsia="微软雅黑" w:hAnsi="微软雅黑" w:hint="eastAsia"/>
          <w:szCs w:val="21"/>
        </w:rPr>
        <w:t>年初1月的90%附近增加至12月的92.9%</w:t>
      </w:r>
      <w:r w:rsidRPr="009D423B">
        <w:rPr>
          <w:rFonts w:ascii="微软雅黑" w:eastAsia="微软雅黑" w:hAnsi="微软雅黑" w:hint="eastAsia"/>
          <w:szCs w:val="21"/>
        </w:rPr>
        <w:t>，表明</w:t>
      </w:r>
      <w:r>
        <w:rPr>
          <w:rFonts w:ascii="微软雅黑" w:eastAsia="微软雅黑" w:hAnsi="微软雅黑" w:hint="eastAsia"/>
          <w:szCs w:val="21"/>
        </w:rPr>
        <w:t>当前越来越多的</w:t>
      </w:r>
      <w:r w:rsidRPr="009D423B">
        <w:rPr>
          <w:rFonts w:ascii="微软雅黑" w:eastAsia="微软雅黑" w:hAnsi="微软雅黑"/>
          <w:szCs w:val="21"/>
        </w:rPr>
        <w:t>网民会</w:t>
      </w:r>
      <w:r>
        <w:rPr>
          <w:rFonts w:ascii="微软雅黑" w:eastAsia="微软雅黑" w:hAnsi="微软雅黑"/>
          <w:szCs w:val="21"/>
        </w:rPr>
        <w:t>更倾向于通过移动设备观看视频</w:t>
      </w:r>
      <w:r w:rsidRPr="009D423B">
        <w:rPr>
          <w:rFonts w:ascii="微软雅黑" w:eastAsia="微软雅黑" w:hAnsi="微软雅黑"/>
          <w:szCs w:val="21"/>
        </w:rPr>
        <w:t>节目</w:t>
      </w:r>
      <w:r w:rsidRPr="009D423B">
        <w:rPr>
          <w:rFonts w:ascii="微软雅黑" w:eastAsia="微软雅黑" w:hAnsi="微软雅黑" w:hint="eastAsia"/>
          <w:szCs w:val="21"/>
        </w:rPr>
        <w:t>。</w:t>
      </w:r>
    </w:p>
    <w:p w:rsidR="00786257" w:rsidRPr="009D423B" w:rsidRDefault="00786257" w:rsidP="00786257">
      <w:pPr>
        <w:jc w:val="center"/>
        <w:rPr>
          <w:szCs w:val="21"/>
        </w:rPr>
      </w:pPr>
      <w:r>
        <w:rPr>
          <w:noProof/>
        </w:rPr>
        <w:drawing>
          <wp:inline distT="0" distB="0" distL="0" distR="0">
            <wp:extent cx="4809600" cy="2700000"/>
            <wp:effectExtent l="0" t="0" r="10160" b="2476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86257" w:rsidRPr="009D423B" w:rsidRDefault="00C564F4" w:rsidP="00786257">
      <w:pPr>
        <w:pStyle w:val="ab"/>
      </w:pPr>
      <w:bookmarkStart w:id="180" w:name="_Toc483275481"/>
      <w:bookmarkStart w:id="181" w:name="_Toc491880388"/>
      <w:bookmarkStart w:id="182" w:name="_Toc524418164"/>
      <w:r>
        <w:rPr>
          <w:rFonts w:hint="eastAsia"/>
        </w:rPr>
        <w:t>图4-</w:t>
      </w:r>
      <w:r w:rsidR="00786257" w:rsidRPr="009D423B">
        <w:rPr>
          <w:rFonts w:hint="eastAsia"/>
        </w:rPr>
        <w:t>1</w:t>
      </w:r>
      <w:r w:rsidR="00014228">
        <w:rPr>
          <w:rFonts w:hint="eastAsia"/>
        </w:rPr>
        <w:t>9</w:t>
      </w:r>
      <w:r w:rsidR="00786257" w:rsidRPr="009D423B">
        <w:t xml:space="preserve">  </w:t>
      </w:r>
      <w:r w:rsidR="00786257">
        <w:rPr>
          <w:rFonts w:hint="eastAsia"/>
        </w:rPr>
        <w:t>2017年陕西省网民</w:t>
      </w:r>
      <w:r w:rsidR="00786257" w:rsidRPr="009D423B">
        <w:rPr>
          <w:rFonts w:hint="eastAsia"/>
        </w:rPr>
        <w:t>使用视频服务</w:t>
      </w:r>
      <w:bookmarkEnd w:id="180"/>
      <w:bookmarkEnd w:id="181"/>
      <w:r w:rsidR="00786257">
        <w:rPr>
          <w:rFonts w:hint="eastAsia"/>
        </w:rPr>
        <w:t>月独立设备数比例</w:t>
      </w:r>
      <w:bookmarkEnd w:id="182"/>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BB27E4"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2017年，陕西省</w:t>
      </w:r>
      <w:r w:rsidRPr="009D423B">
        <w:rPr>
          <w:rFonts w:ascii="微软雅黑" w:eastAsia="微软雅黑" w:hAnsi="微软雅黑" w:hint="eastAsia"/>
          <w:szCs w:val="21"/>
        </w:rPr>
        <w:t>网民使用视频服务APP</w:t>
      </w:r>
      <w:r>
        <w:rPr>
          <w:rFonts w:ascii="微软雅黑" w:eastAsia="微软雅黑" w:hAnsi="微软雅黑" w:hint="eastAsia"/>
          <w:szCs w:val="21"/>
        </w:rPr>
        <w:t>的单机使用天数</w:t>
      </w:r>
      <w:r w:rsidRPr="009D423B">
        <w:rPr>
          <w:rFonts w:ascii="微软雅黑" w:eastAsia="微软雅黑" w:hAnsi="微软雅黑" w:hint="eastAsia"/>
          <w:szCs w:val="21"/>
        </w:rPr>
        <w:t>保持增长。全年来看，单机使用天数均值为</w:t>
      </w:r>
      <w:r>
        <w:rPr>
          <w:rFonts w:ascii="微软雅黑" w:eastAsia="微软雅黑" w:hAnsi="微软雅黑" w:hint="eastAsia"/>
          <w:szCs w:val="21"/>
        </w:rPr>
        <w:t>达到13.7天，较2016年提升2.6天；</w:t>
      </w:r>
      <w:r w:rsidRPr="009D423B">
        <w:rPr>
          <w:rFonts w:ascii="微软雅黑" w:eastAsia="微软雅黑" w:hAnsi="微软雅黑" w:hint="eastAsia"/>
          <w:szCs w:val="21"/>
        </w:rPr>
        <w:t>其中</w:t>
      </w:r>
      <w:r>
        <w:rPr>
          <w:rFonts w:ascii="微软雅黑" w:eastAsia="微软雅黑" w:hAnsi="微软雅黑" w:hint="eastAsia"/>
          <w:szCs w:val="21"/>
        </w:rPr>
        <w:t>2017年</w:t>
      </w:r>
      <w:r w:rsidRPr="009D423B">
        <w:rPr>
          <w:rFonts w:ascii="微软雅黑" w:eastAsia="微软雅黑" w:hAnsi="微软雅黑" w:hint="eastAsia"/>
          <w:szCs w:val="21"/>
        </w:rPr>
        <w:t>12月份</w:t>
      </w:r>
      <w:r>
        <w:rPr>
          <w:rFonts w:ascii="微软雅黑" w:eastAsia="微软雅黑" w:hAnsi="微软雅黑" w:hint="eastAsia"/>
          <w:szCs w:val="21"/>
        </w:rPr>
        <w:t>达到全年</w:t>
      </w:r>
      <w:r w:rsidRPr="009D423B">
        <w:rPr>
          <w:rFonts w:ascii="微软雅黑" w:eastAsia="微软雅黑" w:hAnsi="微软雅黑" w:hint="eastAsia"/>
          <w:szCs w:val="21"/>
        </w:rPr>
        <w:t>最高</w:t>
      </w:r>
      <w:r>
        <w:rPr>
          <w:rFonts w:ascii="微软雅黑" w:eastAsia="微软雅黑" w:hAnsi="微软雅黑" w:hint="eastAsia"/>
          <w:szCs w:val="21"/>
        </w:rPr>
        <w:t>值15.5</w:t>
      </w:r>
      <w:r w:rsidRPr="009D423B">
        <w:rPr>
          <w:rFonts w:ascii="微软雅黑" w:eastAsia="微软雅黑" w:hAnsi="微软雅黑" w:hint="eastAsia"/>
          <w:szCs w:val="21"/>
        </w:rPr>
        <w:t>天</w:t>
      </w:r>
      <w:r>
        <w:rPr>
          <w:rFonts w:ascii="微软雅黑" w:eastAsia="微软雅黑" w:hAnsi="微软雅黑" w:hint="eastAsia"/>
          <w:szCs w:val="21"/>
        </w:rPr>
        <w:t>，表明陕西省网民使用</w:t>
      </w:r>
      <w:r w:rsidRPr="009D423B">
        <w:rPr>
          <w:rFonts w:ascii="微软雅黑" w:eastAsia="微软雅黑" w:hAnsi="微软雅黑" w:hint="eastAsia"/>
          <w:szCs w:val="21"/>
        </w:rPr>
        <w:t>视频服务APP</w:t>
      </w:r>
      <w:r>
        <w:rPr>
          <w:rFonts w:ascii="微软雅黑" w:eastAsia="微软雅黑" w:hAnsi="微软雅黑" w:hint="eastAsia"/>
          <w:szCs w:val="21"/>
        </w:rPr>
        <w:t>的频次正在不断增加</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86257" w:rsidRPr="009D423B" w:rsidRDefault="00C564F4" w:rsidP="00786257">
      <w:pPr>
        <w:pStyle w:val="ab"/>
      </w:pPr>
      <w:bookmarkStart w:id="183" w:name="_Toc483275482"/>
      <w:bookmarkStart w:id="184" w:name="_Toc491880389"/>
      <w:bookmarkStart w:id="185" w:name="_Toc524418165"/>
      <w:r>
        <w:rPr>
          <w:rFonts w:hint="eastAsia"/>
        </w:rPr>
        <w:t>图4-</w:t>
      </w:r>
      <w:r w:rsidR="00014228">
        <w:rPr>
          <w:rFonts w:hint="eastAsia"/>
        </w:rPr>
        <w:t>20</w:t>
      </w:r>
      <w:r w:rsidR="00786257" w:rsidRPr="009D423B">
        <w:t xml:space="preserve">  </w:t>
      </w:r>
      <w:r w:rsidR="00786257">
        <w:rPr>
          <w:rFonts w:hint="eastAsia"/>
        </w:rPr>
        <w:t>2017年陕西省网民</w:t>
      </w:r>
      <w:r w:rsidR="00786257" w:rsidRPr="009D423B">
        <w:rPr>
          <w:rFonts w:hint="eastAsia"/>
        </w:rPr>
        <w:t>使用视频服务单机使用天数</w:t>
      </w:r>
      <w:bookmarkEnd w:id="183"/>
      <w:bookmarkEnd w:id="184"/>
      <w:bookmarkEnd w:id="185"/>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Default="00786257" w:rsidP="00786257">
      <w:pPr>
        <w:snapToGrid w:val="0"/>
        <w:spacing w:line="400" w:lineRule="exact"/>
        <w:ind w:firstLineChars="202" w:firstLine="424"/>
        <w:rPr>
          <w:noProof/>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使用视频服务APP的单机单日使用次数整体呈</w:t>
      </w:r>
      <w:r>
        <w:rPr>
          <w:rFonts w:ascii="微软雅黑" w:eastAsia="微软雅黑" w:hAnsi="微软雅黑" w:hint="eastAsia"/>
          <w:szCs w:val="21"/>
        </w:rPr>
        <w:t>显著的上升趋势。2017年</w:t>
      </w:r>
      <w:r w:rsidRPr="009D423B">
        <w:rPr>
          <w:rFonts w:ascii="微软雅黑" w:eastAsia="微软雅黑" w:hAnsi="微软雅黑" w:hint="eastAsia"/>
          <w:szCs w:val="21"/>
        </w:rPr>
        <w:t>1</w:t>
      </w:r>
      <w:r w:rsidRPr="009D423B">
        <w:rPr>
          <w:rFonts w:ascii="微软雅黑" w:eastAsia="微软雅黑" w:hAnsi="微软雅黑"/>
          <w:szCs w:val="21"/>
        </w:rPr>
        <w:t>-12</w:t>
      </w:r>
      <w:r w:rsidRPr="009D423B">
        <w:rPr>
          <w:rFonts w:ascii="微软雅黑" w:eastAsia="微软雅黑" w:hAnsi="微软雅黑" w:hint="eastAsia"/>
          <w:szCs w:val="21"/>
        </w:rPr>
        <w:t>月</w:t>
      </w:r>
      <w:r>
        <w:rPr>
          <w:rFonts w:ascii="微软雅黑" w:eastAsia="微软雅黑" w:hAnsi="微软雅黑" w:hint="eastAsia"/>
          <w:szCs w:val="21"/>
        </w:rPr>
        <w:t>，</w:t>
      </w:r>
      <w:r w:rsidRPr="009D423B">
        <w:rPr>
          <w:rFonts w:ascii="微软雅黑" w:eastAsia="微软雅黑" w:hAnsi="微软雅黑" w:hint="eastAsia"/>
          <w:szCs w:val="21"/>
        </w:rPr>
        <w:t>单机单日使用次数均值为4.</w:t>
      </w:r>
      <w:r>
        <w:rPr>
          <w:rFonts w:ascii="微软雅黑" w:eastAsia="微软雅黑" w:hAnsi="微软雅黑" w:hint="eastAsia"/>
          <w:szCs w:val="21"/>
        </w:rPr>
        <w:t>7</w:t>
      </w:r>
      <w:r w:rsidRPr="009D423B">
        <w:rPr>
          <w:rFonts w:ascii="微软雅黑" w:eastAsia="微软雅黑" w:hAnsi="微软雅黑" w:hint="eastAsia"/>
          <w:szCs w:val="21"/>
        </w:rPr>
        <w:t>次</w:t>
      </w:r>
      <w:r>
        <w:rPr>
          <w:rFonts w:ascii="微软雅黑" w:eastAsia="微软雅黑" w:hAnsi="微软雅黑" w:hint="eastAsia"/>
          <w:szCs w:val="21"/>
        </w:rPr>
        <w:t>，较2016年上升0.6次</w:t>
      </w:r>
      <w:r w:rsidRPr="009D423B">
        <w:rPr>
          <w:rFonts w:ascii="微软雅黑" w:eastAsia="微软雅黑" w:hAnsi="微软雅黑" w:hint="eastAsia"/>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86257" w:rsidRPr="009D423B" w:rsidRDefault="00C564F4" w:rsidP="00786257">
      <w:pPr>
        <w:pStyle w:val="ab"/>
      </w:pPr>
      <w:bookmarkStart w:id="186" w:name="_Toc483275483"/>
      <w:bookmarkStart w:id="187" w:name="_Toc491880390"/>
      <w:bookmarkStart w:id="188" w:name="_Toc524418166"/>
      <w:r>
        <w:rPr>
          <w:rFonts w:hint="eastAsia"/>
        </w:rPr>
        <w:t>图4-</w:t>
      </w:r>
      <w:r w:rsidR="00014228">
        <w:rPr>
          <w:rFonts w:hint="eastAsia"/>
        </w:rPr>
        <w:t>21</w:t>
      </w:r>
      <w:r w:rsidR="00786257" w:rsidRPr="009D423B">
        <w:rPr>
          <w:rFonts w:hint="eastAsia"/>
        </w:rPr>
        <w:t xml:space="preserve">  </w:t>
      </w:r>
      <w:r w:rsidR="00786257">
        <w:rPr>
          <w:rFonts w:hint="eastAsia"/>
        </w:rPr>
        <w:t>2017年陕西省网民</w:t>
      </w:r>
      <w:r w:rsidR="00786257" w:rsidRPr="009D423B">
        <w:rPr>
          <w:rFonts w:hint="eastAsia"/>
        </w:rPr>
        <w:t>使用视频服务单机单日使用次数</w:t>
      </w:r>
      <w:bookmarkEnd w:id="186"/>
      <w:bookmarkEnd w:id="187"/>
      <w:bookmarkEnd w:id="188"/>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Default="00786257" w:rsidP="00786257">
      <w:pPr>
        <w:snapToGrid w:val="0"/>
        <w:spacing w:line="400" w:lineRule="exact"/>
        <w:ind w:firstLineChars="202" w:firstLine="424"/>
        <w:rPr>
          <w:rFonts w:ascii="微软雅黑" w:eastAsia="微软雅黑" w:hAnsi="微软雅黑"/>
          <w:szCs w:val="21"/>
        </w:rPr>
      </w:pPr>
      <w:r w:rsidRPr="009D423B">
        <w:rPr>
          <w:rFonts w:ascii="微软雅黑" w:eastAsia="微软雅黑" w:hAnsi="微软雅黑" w:hint="eastAsia"/>
          <w:szCs w:val="21"/>
        </w:rPr>
        <w:t>视频服务APP是单机单次使用时长最长的应用类型</w:t>
      </w:r>
      <w:r>
        <w:rPr>
          <w:rFonts w:ascii="微软雅黑" w:eastAsia="微软雅黑" w:hAnsi="微软雅黑" w:hint="eastAsia"/>
          <w:szCs w:val="21"/>
        </w:rPr>
        <w:t>，这与视频服务自身属性密切相关</w:t>
      </w:r>
      <w:r w:rsidRPr="009D423B">
        <w:rPr>
          <w:rFonts w:ascii="微软雅黑" w:eastAsia="微软雅黑" w:hAnsi="微软雅黑" w:hint="eastAsia"/>
          <w:szCs w:val="21"/>
        </w:rPr>
        <w:t>。</w:t>
      </w: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使用视频服务APP的单机单次有效时间</w:t>
      </w:r>
      <w:r>
        <w:rPr>
          <w:rFonts w:ascii="微软雅黑" w:eastAsia="微软雅黑" w:hAnsi="微软雅黑" w:hint="eastAsia"/>
          <w:szCs w:val="21"/>
        </w:rPr>
        <w:t>依然</w:t>
      </w:r>
      <w:r w:rsidRPr="009D423B">
        <w:rPr>
          <w:rFonts w:ascii="微软雅黑" w:eastAsia="微软雅黑" w:hAnsi="微软雅黑" w:hint="eastAsia"/>
          <w:szCs w:val="21"/>
        </w:rPr>
        <w:t>呈</w:t>
      </w:r>
      <w:r>
        <w:rPr>
          <w:rFonts w:ascii="微软雅黑" w:eastAsia="微软雅黑" w:hAnsi="微软雅黑" w:hint="eastAsia"/>
          <w:szCs w:val="21"/>
        </w:rPr>
        <w:t>现出</w:t>
      </w:r>
      <w:r w:rsidRPr="009D423B">
        <w:rPr>
          <w:rFonts w:ascii="微软雅黑" w:eastAsia="微软雅黑" w:hAnsi="微软雅黑" w:hint="eastAsia"/>
          <w:szCs w:val="21"/>
        </w:rPr>
        <w:t>下降</w:t>
      </w:r>
      <w:r>
        <w:rPr>
          <w:rFonts w:ascii="微软雅黑" w:eastAsia="微软雅黑" w:hAnsi="微软雅黑" w:hint="eastAsia"/>
          <w:szCs w:val="21"/>
        </w:rPr>
        <w:t>趋势</w:t>
      </w:r>
      <w:r w:rsidRPr="009D423B">
        <w:rPr>
          <w:rFonts w:ascii="微软雅黑" w:eastAsia="微软雅黑" w:hAnsi="微软雅黑" w:hint="eastAsia"/>
          <w:szCs w:val="21"/>
        </w:rPr>
        <w:t>，由1月份的</w:t>
      </w:r>
      <w:r>
        <w:rPr>
          <w:rFonts w:ascii="微软雅黑" w:eastAsia="微软雅黑" w:hAnsi="微软雅黑" w:hint="eastAsia"/>
          <w:szCs w:val="21"/>
        </w:rPr>
        <w:t>20.4</w:t>
      </w:r>
      <w:r w:rsidRPr="009D423B">
        <w:rPr>
          <w:rFonts w:ascii="微软雅黑" w:eastAsia="微软雅黑" w:hAnsi="微软雅黑" w:hint="eastAsia"/>
          <w:szCs w:val="21"/>
        </w:rPr>
        <w:t>分钟</w:t>
      </w:r>
      <w:r>
        <w:rPr>
          <w:rFonts w:ascii="微软雅黑" w:eastAsia="微软雅黑" w:hAnsi="微软雅黑" w:hint="eastAsia"/>
          <w:szCs w:val="21"/>
        </w:rPr>
        <w:t>进一步下降至12月的16.3分钟。但由于</w:t>
      </w:r>
      <w:r w:rsidRPr="005F2A7D">
        <w:rPr>
          <w:rFonts w:ascii="微软雅黑" w:eastAsia="微软雅黑" w:hAnsi="微软雅黑" w:hint="eastAsia"/>
          <w:szCs w:val="21"/>
        </w:rPr>
        <w:t>单机单日使用次数</w:t>
      </w:r>
      <w:r>
        <w:rPr>
          <w:rFonts w:ascii="微软雅黑" w:eastAsia="微软雅黑" w:hAnsi="微软雅黑" w:hint="eastAsia"/>
          <w:szCs w:val="21"/>
        </w:rPr>
        <w:t>在增加，因此，网民实际的单日使用时长变化不大，全年基本保持平稳，均值为87.1分钟。</w:t>
      </w:r>
    </w:p>
    <w:p w:rsidR="00786257" w:rsidRPr="009D423B" w:rsidRDefault="00786257" w:rsidP="00786257">
      <w:pPr>
        <w:jc w:val="center"/>
        <w:rPr>
          <w:szCs w:val="21"/>
        </w:rPr>
      </w:pPr>
      <w:r>
        <w:rPr>
          <w:noProof/>
        </w:rPr>
        <w:drawing>
          <wp:inline distT="0" distB="0" distL="0" distR="0">
            <wp:extent cx="4809600" cy="2880000"/>
            <wp:effectExtent l="0" t="0" r="10160" b="1587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86257" w:rsidRPr="009D423B" w:rsidRDefault="00C564F4" w:rsidP="00786257">
      <w:pPr>
        <w:pStyle w:val="ab"/>
      </w:pPr>
      <w:bookmarkStart w:id="189" w:name="_Toc483275484"/>
      <w:bookmarkStart w:id="190" w:name="_Toc491880391"/>
      <w:bookmarkStart w:id="191" w:name="_Toc524418167"/>
      <w:r>
        <w:rPr>
          <w:rFonts w:hint="eastAsia"/>
        </w:rPr>
        <w:t>图4-</w:t>
      </w:r>
      <w:r w:rsidR="00014228">
        <w:rPr>
          <w:rFonts w:hint="eastAsia"/>
        </w:rPr>
        <w:t>22</w:t>
      </w:r>
      <w:r w:rsidR="00786257" w:rsidRPr="009D423B">
        <w:rPr>
          <w:rFonts w:hint="eastAsia"/>
        </w:rPr>
        <w:t xml:space="preserve">  </w:t>
      </w:r>
      <w:r w:rsidR="00786257">
        <w:rPr>
          <w:rFonts w:hint="eastAsia"/>
        </w:rPr>
        <w:t>2017年陕西省网民</w:t>
      </w:r>
      <w:r w:rsidR="00786257" w:rsidRPr="009D423B">
        <w:rPr>
          <w:rFonts w:hint="eastAsia"/>
        </w:rPr>
        <w:t>使用视频服务单机单次有效时间</w:t>
      </w:r>
      <w:bookmarkEnd w:id="189"/>
      <w:bookmarkEnd w:id="190"/>
      <w:bookmarkEnd w:id="191"/>
    </w:p>
    <w:p w:rsidR="00661255" w:rsidRDefault="00661255" w:rsidP="00EF56C6">
      <w:pPr>
        <w:widowControl/>
        <w:spacing w:line="400" w:lineRule="exact"/>
        <w:ind w:firstLineChars="200" w:firstLine="420"/>
        <w:jc w:val="left"/>
        <w:rPr>
          <w:rFonts w:ascii="微软雅黑" w:eastAsia="微软雅黑" w:hAnsi="微软雅黑"/>
          <w:b/>
          <w:szCs w:val="21"/>
        </w:rPr>
      </w:pPr>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Pr="0015071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12月，陕西省</w:t>
      </w:r>
      <w:r w:rsidRPr="009D423B">
        <w:rPr>
          <w:rFonts w:ascii="微软雅黑" w:eastAsia="微软雅黑" w:hAnsi="微软雅黑"/>
          <w:szCs w:val="21"/>
        </w:rPr>
        <w:t>网民最常用的</w:t>
      </w:r>
      <w:r w:rsidRPr="009D423B">
        <w:rPr>
          <w:rFonts w:ascii="微软雅黑" w:eastAsia="微软雅黑" w:hAnsi="微软雅黑" w:hint="eastAsia"/>
          <w:szCs w:val="21"/>
        </w:rPr>
        <w:t>视频服务</w:t>
      </w:r>
      <w:r w:rsidRPr="009D423B">
        <w:rPr>
          <w:rFonts w:ascii="微软雅黑" w:eastAsia="微软雅黑" w:hAnsi="微软雅黑"/>
          <w:szCs w:val="21"/>
        </w:rPr>
        <w:t>类</w:t>
      </w:r>
      <w:r w:rsidRPr="009D423B">
        <w:rPr>
          <w:rFonts w:ascii="微软雅黑" w:eastAsia="微软雅黑" w:hAnsi="微软雅黑" w:hint="eastAsia"/>
          <w:szCs w:val="21"/>
        </w:rPr>
        <w:t>APP中</w:t>
      </w:r>
      <w:r w:rsidRPr="009D423B">
        <w:rPr>
          <w:rFonts w:ascii="微软雅黑" w:eastAsia="微软雅黑" w:hAnsi="微软雅黑"/>
          <w:szCs w:val="21"/>
        </w:rPr>
        <w:t>，</w:t>
      </w:r>
      <w:r w:rsidRPr="009D423B">
        <w:rPr>
          <w:rFonts w:ascii="微软雅黑" w:eastAsia="微软雅黑" w:hAnsi="微软雅黑" w:hint="eastAsia"/>
          <w:szCs w:val="21"/>
        </w:rPr>
        <w:t>爱奇艺、</w:t>
      </w:r>
      <w:r w:rsidRPr="009D423B">
        <w:rPr>
          <w:rFonts w:ascii="微软雅黑" w:eastAsia="微软雅黑" w:hAnsi="微软雅黑"/>
          <w:szCs w:val="21"/>
        </w:rPr>
        <w:t>腾讯视频</w:t>
      </w:r>
      <w:r>
        <w:rPr>
          <w:rFonts w:ascii="微软雅黑" w:eastAsia="微软雅黑" w:hAnsi="微软雅黑"/>
          <w:szCs w:val="21"/>
        </w:rPr>
        <w:t>的月独立设备数比例较高</w:t>
      </w:r>
      <w:r>
        <w:rPr>
          <w:rFonts w:ascii="微软雅黑" w:eastAsia="微软雅黑" w:hAnsi="微软雅黑" w:hint="eastAsia"/>
          <w:szCs w:val="21"/>
        </w:rPr>
        <w:t>，</w:t>
      </w:r>
      <w:r>
        <w:rPr>
          <w:rFonts w:ascii="微软雅黑" w:eastAsia="微软雅黑" w:hAnsi="微软雅黑"/>
          <w:szCs w:val="21"/>
        </w:rPr>
        <w:t>均在</w:t>
      </w:r>
      <w:r>
        <w:rPr>
          <w:rFonts w:ascii="微软雅黑" w:eastAsia="微软雅黑" w:hAnsi="微软雅黑" w:hint="eastAsia"/>
          <w:szCs w:val="21"/>
        </w:rPr>
        <w:t>50%以上；优酷以接近30%的</w:t>
      </w:r>
      <w:r>
        <w:rPr>
          <w:rFonts w:ascii="微软雅黑" w:eastAsia="微软雅黑" w:hAnsi="微软雅黑"/>
          <w:szCs w:val="21"/>
        </w:rPr>
        <w:t>月独立设备数比例排在第三</w:t>
      </w:r>
      <w:r>
        <w:rPr>
          <w:rFonts w:ascii="微软雅黑" w:eastAsia="微软雅黑" w:hAnsi="微软雅黑" w:hint="eastAsia"/>
          <w:szCs w:val="21"/>
        </w:rPr>
        <w:t>。而</w:t>
      </w:r>
      <w:r>
        <w:rPr>
          <w:rFonts w:ascii="微软雅黑" w:eastAsia="微软雅黑" w:hAnsi="微软雅黑"/>
          <w:szCs w:val="21"/>
        </w:rPr>
        <w:t>快手</w:t>
      </w:r>
      <w:r>
        <w:rPr>
          <w:rFonts w:ascii="微软雅黑" w:eastAsia="微软雅黑" w:hAnsi="微软雅黑" w:hint="eastAsia"/>
          <w:szCs w:val="21"/>
        </w:rPr>
        <w:t>、</w:t>
      </w:r>
      <w:r>
        <w:rPr>
          <w:rFonts w:ascii="微软雅黑" w:eastAsia="微软雅黑" w:hAnsi="微软雅黑"/>
          <w:szCs w:val="21"/>
        </w:rPr>
        <w:t>西瓜视频等应用也位列前茅</w:t>
      </w:r>
      <w:r>
        <w:rPr>
          <w:rFonts w:ascii="微软雅黑" w:eastAsia="微软雅黑" w:hAnsi="微软雅黑" w:hint="eastAsia"/>
          <w:szCs w:val="21"/>
        </w:rPr>
        <w:t>，拥有相当大的用户基础。</w:t>
      </w:r>
    </w:p>
    <w:p w:rsidR="00786257" w:rsidRPr="009D423B" w:rsidRDefault="00786257" w:rsidP="00786257">
      <w:pPr>
        <w:jc w:val="center"/>
        <w:rPr>
          <w:szCs w:val="21"/>
        </w:rPr>
      </w:pPr>
      <w:r>
        <w:rPr>
          <w:noProof/>
        </w:rPr>
        <w:drawing>
          <wp:inline distT="0" distB="0" distL="0" distR="0">
            <wp:extent cx="4809600" cy="2988000"/>
            <wp:effectExtent l="0" t="0" r="10160" b="22225"/>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86257" w:rsidRDefault="00C564F4" w:rsidP="00786257">
      <w:pPr>
        <w:pStyle w:val="ab"/>
      </w:pPr>
      <w:bookmarkStart w:id="192" w:name="_Toc483275485"/>
      <w:bookmarkStart w:id="193" w:name="_Toc491880392"/>
      <w:bookmarkStart w:id="194" w:name="_Toc524418168"/>
      <w:r>
        <w:rPr>
          <w:rFonts w:hint="eastAsia"/>
        </w:rPr>
        <w:t>图4-</w:t>
      </w:r>
      <w:r w:rsidR="00014228">
        <w:rPr>
          <w:rFonts w:hint="eastAsia"/>
        </w:rPr>
        <w:t>23</w:t>
      </w:r>
      <w:r w:rsidR="00786257" w:rsidRPr="009D423B">
        <w:t xml:space="preserve">  </w:t>
      </w:r>
      <w:r w:rsidR="00786257">
        <w:rPr>
          <w:rFonts w:hint="eastAsia"/>
        </w:rPr>
        <w:t>2017年</w:t>
      </w:r>
      <w:r w:rsidR="00786257" w:rsidRPr="009D423B">
        <w:rPr>
          <w:rFonts w:hint="eastAsia"/>
        </w:rPr>
        <w:t>12月</w:t>
      </w:r>
      <w:r w:rsidR="00786257">
        <w:rPr>
          <w:rFonts w:hint="eastAsia"/>
        </w:rPr>
        <w:t>陕西省网民</w:t>
      </w:r>
      <w:r w:rsidR="00786257" w:rsidRPr="009D423B">
        <w:rPr>
          <w:rFonts w:hint="eastAsia"/>
        </w:rPr>
        <w:t>常用视频服务类APP</w:t>
      </w:r>
      <w:bookmarkEnd w:id="192"/>
      <w:bookmarkEnd w:id="193"/>
      <w:bookmarkEnd w:id="194"/>
    </w:p>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195" w:name="_Toc485132098"/>
      <w:bookmarkStart w:id="196" w:name="_Toc519837699"/>
      <w:bookmarkStart w:id="197" w:name="_Toc524417998"/>
      <w:r w:rsidRPr="009D423B">
        <w:rPr>
          <w:rFonts w:ascii="微软雅黑" w:eastAsia="微软雅黑" w:hAnsi="微软雅黑" w:hint="eastAsia"/>
          <w:b/>
          <w:szCs w:val="21"/>
        </w:rPr>
        <w:t>4.使用便捷生活App情况</w:t>
      </w:r>
      <w:bookmarkEnd w:id="195"/>
      <w:bookmarkEnd w:id="196"/>
      <w:bookmarkEnd w:id="197"/>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Pr="00750DE4"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便捷生活APP的</w:t>
      </w:r>
      <w:r>
        <w:rPr>
          <w:rFonts w:ascii="微软雅黑" w:eastAsia="微软雅黑" w:hAnsi="微软雅黑" w:hint="eastAsia"/>
          <w:szCs w:val="21"/>
        </w:rPr>
        <w:t>月独立设备数继续保持增长，截至到12月达到2984.8万台，与2016年12月相比增长25.4%。从使用</w:t>
      </w:r>
      <w:r w:rsidRPr="009D423B">
        <w:rPr>
          <w:rFonts w:ascii="微软雅黑" w:eastAsia="微软雅黑" w:hAnsi="微软雅黑" w:hint="eastAsia"/>
          <w:szCs w:val="21"/>
        </w:rPr>
        <w:t>便捷生活APP</w:t>
      </w:r>
      <w:r>
        <w:rPr>
          <w:rFonts w:ascii="微软雅黑" w:eastAsia="微软雅黑" w:hAnsi="微软雅黑" w:hint="eastAsia"/>
          <w:szCs w:val="21"/>
        </w:rPr>
        <w:t>的月独立设备数比例来看，全年也保持快速增长，由1月的不足70%增加值12月的80.3%。</w:t>
      </w:r>
    </w:p>
    <w:p w:rsidR="00786257" w:rsidRPr="009D423B" w:rsidRDefault="00786257" w:rsidP="00786257">
      <w:pPr>
        <w:jc w:val="center"/>
        <w:rPr>
          <w:szCs w:val="21"/>
        </w:rPr>
      </w:pPr>
      <w:r>
        <w:rPr>
          <w:noProof/>
        </w:rPr>
        <w:drawing>
          <wp:inline distT="0" distB="0" distL="0" distR="0">
            <wp:extent cx="4809600" cy="2880000"/>
            <wp:effectExtent l="0" t="0" r="10160" b="1587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86257" w:rsidRPr="009D423B" w:rsidRDefault="00C564F4" w:rsidP="00786257">
      <w:pPr>
        <w:pStyle w:val="ab"/>
      </w:pPr>
      <w:bookmarkStart w:id="198" w:name="_Toc483275486"/>
      <w:bookmarkStart w:id="199" w:name="_Toc491880393"/>
      <w:bookmarkStart w:id="200" w:name="_Toc524418169"/>
      <w:r>
        <w:rPr>
          <w:rFonts w:hint="eastAsia"/>
        </w:rPr>
        <w:t>图4-</w:t>
      </w:r>
      <w:r w:rsidR="00014228">
        <w:rPr>
          <w:rFonts w:hint="eastAsia"/>
        </w:rPr>
        <w:t>24</w:t>
      </w:r>
      <w:r w:rsidR="00786257" w:rsidRPr="009D423B">
        <w:t xml:space="preserve">  </w:t>
      </w:r>
      <w:r w:rsidR="00786257">
        <w:rPr>
          <w:rFonts w:hint="eastAsia"/>
        </w:rPr>
        <w:t>2017年陕西省网民</w:t>
      </w:r>
      <w:r w:rsidR="00786257" w:rsidRPr="009D423B">
        <w:rPr>
          <w:rFonts w:hint="eastAsia"/>
        </w:rPr>
        <w:t>使用便捷生活服务</w:t>
      </w:r>
      <w:bookmarkEnd w:id="198"/>
      <w:bookmarkEnd w:id="199"/>
      <w:r w:rsidR="00786257">
        <w:rPr>
          <w:rFonts w:hint="eastAsia"/>
        </w:rPr>
        <w:t>月独立设备数比例</w:t>
      </w:r>
      <w:bookmarkEnd w:id="200"/>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A651DA"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，陕西省网民使用便捷生活APP的单机使用天数</w:t>
      </w:r>
      <w:r>
        <w:rPr>
          <w:rFonts w:ascii="微软雅黑" w:eastAsia="微软雅黑" w:hAnsi="微软雅黑" w:hint="eastAsia"/>
          <w:szCs w:val="21"/>
        </w:rPr>
        <w:t>整体保持平稳</w:t>
      </w:r>
      <w:r w:rsidRPr="009D423B">
        <w:rPr>
          <w:rFonts w:ascii="微软雅黑" w:eastAsia="微软雅黑" w:hAnsi="微软雅黑" w:hint="eastAsia"/>
          <w:szCs w:val="21"/>
        </w:rPr>
        <w:t>，</w:t>
      </w:r>
      <w:r>
        <w:rPr>
          <w:rFonts w:ascii="微软雅黑" w:eastAsia="微软雅黑" w:hAnsi="微软雅黑" w:hint="eastAsia"/>
          <w:szCs w:val="21"/>
        </w:rPr>
        <w:t>全年均值为7.0天，较2016年略有下降。整体来看</w:t>
      </w:r>
      <w:r w:rsidRPr="009D423B">
        <w:rPr>
          <w:rFonts w:ascii="微软雅黑" w:eastAsia="微软雅黑" w:hAnsi="微软雅黑" w:hint="eastAsia"/>
          <w:szCs w:val="21"/>
        </w:rPr>
        <w:t>，使用便捷生活APP的</w:t>
      </w:r>
      <w:r w:rsidRPr="00750DE4">
        <w:rPr>
          <w:rFonts w:ascii="微软雅黑" w:eastAsia="微软雅黑" w:hAnsi="微软雅黑" w:hint="eastAsia"/>
          <w:szCs w:val="21"/>
        </w:rPr>
        <w:t>单机使用天数</w:t>
      </w:r>
      <w:r>
        <w:rPr>
          <w:rFonts w:ascii="微软雅黑" w:eastAsia="微软雅黑" w:hAnsi="微软雅黑" w:hint="eastAsia"/>
          <w:szCs w:val="21"/>
        </w:rPr>
        <w:t>在移动端众多应用中处于中等水平。</w:t>
      </w:r>
    </w:p>
    <w:p w:rsidR="00786257" w:rsidRPr="009D423B" w:rsidRDefault="00786257" w:rsidP="00786257">
      <w:pPr>
        <w:jc w:val="center"/>
        <w:rPr>
          <w:szCs w:val="21"/>
        </w:rPr>
      </w:pPr>
      <w:r>
        <w:rPr>
          <w:noProof/>
        </w:rPr>
        <w:drawing>
          <wp:inline distT="0" distB="0" distL="0" distR="0">
            <wp:extent cx="4809600" cy="2880000"/>
            <wp:effectExtent l="0" t="0" r="10160" b="1587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86257" w:rsidRPr="009D423B" w:rsidRDefault="00C564F4" w:rsidP="00786257">
      <w:pPr>
        <w:pStyle w:val="ab"/>
      </w:pPr>
      <w:bookmarkStart w:id="201" w:name="_Toc483275487"/>
      <w:bookmarkStart w:id="202" w:name="_Toc491880394"/>
      <w:bookmarkStart w:id="203" w:name="_Toc524418170"/>
      <w:r>
        <w:rPr>
          <w:rFonts w:hint="eastAsia"/>
        </w:rPr>
        <w:t>图4-</w:t>
      </w:r>
      <w:r w:rsidR="00014228">
        <w:rPr>
          <w:rFonts w:hint="eastAsia"/>
        </w:rPr>
        <w:t>25</w:t>
      </w:r>
      <w:r w:rsidR="00786257" w:rsidRPr="009D423B">
        <w:t xml:space="preserve">  </w:t>
      </w:r>
      <w:r w:rsidR="00786257">
        <w:rPr>
          <w:rFonts w:hint="eastAsia"/>
        </w:rPr>
        <w:t>2017年陕西省网民</w:t>
      </w:r>
      <w:r w:rsidR="00786257" w:rsidRPr="009D423B">
        <w:rPr>
          <w:rFonts w:hint="eastAsia"/>
        </w:rPr>
        <w:t>使用便捷生活服务单机使用天数</w:t>
      </w:r>
      <w:bookmarkEnd w:id="201"/>
      <w:bookmarkEnd w:id="202"/>
      <w:bookmarkEnd w:id="203"/>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Pr="002A2E62"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，陕西省网民使用便捷生活APP的单机单日使用次数</w:t>
      </w:r>
      <w:r>
        <w:rPr>
          <w:rFonts w:ascii="微软雅黑" w:eastAsia="微软雅黑" w:hAnsi="微软雅黑" w:hint="eastAsia"/>
          <w:szCs w:val="21"/>
        </w:rPr>
        <w:t>保持增长</w:t>
      </w:r>
      <w:r w:rsidRPr="009D423B">
        <w:rPr>
          <w:rFonts w:ascii="微软雅黑" w:eastAsia="微软雅黑" w:hAnsi="微软雅黑" w:hint="eastAsia"/>
          <w:szCs w:val="21"/>
        </w:rPr>
        <w:t>，</w:t>
      </w:r>
      <w:r>
        <w:rPr>
          <w:rFonts w:ascii="微软雅黑" w:eastAsia="微软雅黑" w:hAnsi="微软雅黑" w:hint="eastAsia"/>
          <w:szCs w:val="21"/>
        </w:rPr>
        <w:t>全年</w:t>
      </w:r>
      <w:r w:rsidRPr="009D423B">
        <w:rPr>
          <w:rFonts w:ascii="微软雅黑" w:eastAsia="微软雅黑" w:hAnsi="微软雅黑" w:hint="eastAsia"/>
          <w:szCs w:val="21"/>
        </w:rPr>
        <w:t>平均</w:t>
      </w:r>
      <w:r>
        <w:rPr>
          <w:rFonts w:ascii="微软雅黑" w:eastAsia="微软雅黑" w:hAnsi="微软雅黑" w:hint="eastAsia"/>
          <w:szCs w:val="21"/>
        </w:rPr>
        <w:t>值</w:t>
      </w:r>
      <w:r w:rsidRPr="009D423B">
        <w:rPr>
          <w:rFonts w:ascii="微软雅黑" w:eastAsia="微软雅黑" w:hAnsi="微软雅黑" w:hint="eastAsia"/>
          <w:szCs w:val="21"/>
        </w:rPr>
        <w:t>为</w:t>
      </w:r>
      <w:r>
        <w:rPr>
          <w:rFonts w:ascii="微软雅黑" w:eastAsia="微软雅黑" w:hAnsi="微软雅黑" w:hint="eastAsia"/>
          <w:szCs w:val="21"/>
        </w:rPr>
        <w:t>3.4次，较2016年提升1次</w:t>
      </w:r>
      <w:r w:rsidRPr="009D423B">
        <w:rPr>
          <w:rFonts w:ascii="微软雅黑" w:eastAsia="微软雅黑" w:hAnsi="微软雅黑" w:hint="eastAsia"/>
          <w:szCs w:val="21"/>
        </w:rPr>
        <w:t>，</w:t>
      </w:r>
      <w:r>
        <w:rPr>
          <w:rFonts w:ascii="微软雅黑" w:eastAsia="微软雅黑" w:hAnsi="微软雅黑" w:hint="eastAsia"/>
          <w:szCs w:val="21"/>
        </w:rPr>
        <w:t>单日的</w:t>
      </w:r>
      <w:r w:rsidRPr="009D423B">
        <w:rPr>
          <w:rFonts w:ascii="微软雅黑" w:eastAsia="微软雅黑" w:hAnsi="微软雅黑" w:hint="eastAsia"/>
          <w:szCs w:val="21"/>
        </w:rPr>
        <w:t>使用频率</w:t>
      </w:r>
      <w:r>
        <w:rPr>
          <w:rFonts w:ascii="微软雅黑" w:eastAsia="微软雅黑" w:hAnsi="微软雅黑" w:hint="eastAsia"/>
          <w:szCs w:val="21"/>
        </w:rPr>
        <w:t>有增强趋势</w:t>
      </w:r>
      <w:r w:rsidRPr="009D423B">
        <w:rPr>
          <w:rFonts w:ascii="微软雅黑" w:eastAsia="微软雅黑" w:hAnsi="微软雅黑" w:hint="eastAsia"/>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86257" w:rsidRPr="009D423B" w:rsidRDefault="00C564F4" w:rsidP="00786257">
      <w:pPr>
        <w:pStyle w:val="ab"/>
      </w:pPr>
      <w:bookmarkStart w:id="204" w:name="_Toc483275488"/>
      <w:bookmarkStart w:id="205" w:name="_Toc491880395"/>
      <w:bookmarkStart w:id="206" w:name="_Toc524418171"/>
      <w:r>
        <w:rPr>
          <w:rFonts w:hint="eastAsia"/>
        </w:rPr>
        <w:t>图4-</w:t>
      </w:r>
      <w:r w:rsidR="00014228">
        <w:rPr>
          <w:rFonts w:hint="eastAsia"/>
        </w:rPr>
        <w:t>26</w:t>
      </w:r>
      <w:r w:rsidR="00786257" w:rsidRPr="009D423B">
        <w:t xml:space="preserve">  </w:t>
      </w:r>
      <w:r w:rsidR="00786257">
        <w:rPr>
          <w:rFonts w:hint="eastAsia"/>
        </w:rPr>
        <w:t>2017年陕西省网民</w:t>
      </w:r>
      <w:r w:rsidR="00786257" w:rsidRPr="009D423B">
        <w:rPr>
          <w:rFonts w:hint="eastAsia"/>
        </w:rPr>
        <w:t>使用便捷生活服务单机单日使用次数</w:t>
      </w:r>
      <w:bookmarkEnd w:id="204"/>
      <w:bookmarkEnd w:id="205"/>
      <w:bookmarkEnd w:id="206"/>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Pr="002A2E62"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1</w:t>
      </w:r>
      <w:r w:rsidRPr="009D423B">
        <w:rPr>
          <w:rFonts w:ascii="微软雅黑" w:eastAsia="微软雅黑" w:hAnsi="微软雅黑"/>
          <w:szCs w:val="21"/>
        </w:rPr>
        <w:t>-12</w:t>
      </w:r>
      <w:r w:rsidRPr="009D423B">
        <w:rPr>
          <w:rFonts w:ascii="微软雅黑" w:eastAsia="微软雅黑" w:hAnsi="微软雅黑" w:hint="eastAsia"/>
          <w:szCs w:val="21"/>
        </w:rPr>
        <w:t>月，陕西省网民使用便捷生活APP</w:t>
      </w:r>
      <w:r>
        <w:rPr>
          <w:rFonts w:ascii="微软雅黑" w:eastAsia="微软雅黑" w:hAnsi="微软雅黑" w:hint="eastAsia"/>
          <w:szCs w:val="21"/>
        </w:rPr>
        <w:t>的单机单次有效时间略有下降，全年均值为3.0分钟，较2016年减少了0.4分钟。</w:t>
      </w:r>
      <w:r w:rsidRPr="009D423B">
        <w:rPr>
          <w:rFonts w:ascii="微软雅黑" w:eastAsia="微软雅黑" w:hAnsi="微软雅黑" w:hint="eastAsia"/>
          <w:szCs w:val="21"/>
        </w:rPr>
        <w:t>全年来看，</w:t>
      </w:r>
      <w:r>
        <w:rPr>
          <w:rFonts w:ascii="微软雅黑" w:eastAsia="微软雅黑" w:hAnsi="微软雅黑" w:hint="eastAsia"/>
          <w:szCs w:val="21"/>
        </w:rPr>
        <w:t>5</w:t>
      </w:r>
      <w:r w:rsidRPr="009D423B">
        <w:rPr>
          <w:rFonts w:ascii="微软雅黑" w:eastAsia="微软雅黑" w:hAnsi="微软雅黑" w:hint="eastAsia"/>
          <w:szCs w:val="21"/>
        </w:rPr>
        <w:t>月份最高，单机单次有效时间为3.</w:t>
      </w:r>
      <w:r>
        <w:rPr>
          <w:rFonts w:ascii="微软雅黑" w:eastAsia="微软雅黑" w:hAnsi="微软雅黑" w:hint="eastAsia"/>
          <w:szCs w:val="21"/>
        </w:rPr>
        <w:t>5</w:t>
      </w:r>
      <w:r w:rsidRPr="009D423B">
        <w:rPr>
          <w:rFonts w:ascii="微软雅黑" w:eastAsia="微软雅黑" w:hAnsi="微软雅黑" w:hint="eastAsia"/>
          <w:szCs w:val="21"/>
        </w:rPr>
        <w:t>分钟，1</w:t>
      </w:r>
      <w:r>
        <w:rPr>
          <w:rFonts w:ascii="微软雅黑" w:eastAsia="微软雅黑" w:hAnsi="微软雅黑" w:hint="eastAsia"/>
          <w:szCs w:val="21"/>
        </w:rPr>
        <w:t>0</w:t>
      </w:r>
      <w:r w:rsidRPr="009D423B">
        <w:rPr>
          <w:rFonts w:ascii="微软雅黑" w:eastAsia="微软雅黑" w:hAnsi="微软雅黑" w:hint="eastAsia"/>
          <w:szCs w:val="21"/>
        </w:rPr>
        <w:t>月份最低，仅</w:t>
      </w:r>
      <w:r>
        <w:rPr>
          <w:rFonts w:ascii="微软雅黑" w:eastAsia="微软雅黑" w:hAnsi="微软雅黑" w:hint="eastAsia"/>
          <w:szCs w:val="21"/>
        </w:rPr>
        <w:t>2.5</w:t>
      </w:r>
      <w:r w:rsidRPr="009D423B">
        <w:rPr>
          <w:rFonts w:ascii="微软雅黑" w:eastAsia="微软雅黑" w:hAnsi="微软雅黑" w:hint="eastAsia"/>
          <w:szCs w:val="21"/>
        </w:rPr>
        <w:t>分钟</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86257" w:rsidRPr="009D423B" w:rsidRDefault="00C564F4" w:rsidP="00786257">
      <w:pPr>
        <w:pStyle w:val="ab"/>
      </w:pPr>
      <w:bookmarkStart w:id="207" w:name="_Toc483275489"/>
      <w:bookmarkStart w:id="208" w:name="_Toc491880396"/>
      <w:bookmarkStart w:id="209" w:name="_Toc524418172"/>
      <w:r>
        <w:rPr>
          <w:rFonts w:hint="eastAsia"/>
        </w:rPr>
        <w:t>图4-</w:t>
      </w:r>
      <w:r w:rsidR="00786257" w:rsidRPr="009D423B">
        <w:rPr>
          <w:rFonts w:hint="eastAsia"/>
        </w:rPr>
        <w:t>2</w:t>
      </w:r>
      <w:r w:rsidR="00014228">
        <w:rPr>
          <w:rFonts w:hint="eastAsia"/>
        </w:rPr>
        <w:t>7</w:t>
      </w:r>
      <w:r w:rsidR="00786257" w:rsidRPr="009D423B">
        <w:t xml:space="preserve">  </w:t>
      </w:r>
      <w:r w:rsidR="00786257">
        <w:rPr>
          <w:rFonts w:hint="eastAsia"/>
        </w:rPr>
        <w:t>2017年陕西省网民</w:t>
      </w:r>
      <w:r w:rsidR="00786257" w:rsidRPr="009D423B">
        <w:rPr>
          <w:rFonts w:hint="eastAsia"/>
        </w:rPr>
        <w:t>使用便捷生活服务单机单次有效时间</w:t>
      </w:r>
      <w:bookmarkEnd w:id="207"/>
      <w:bookmarkEnd w:id="208"/>
      <w:bookmarkEnd w:id="209"/>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Pr="00F53221" w:rsidRDefault="00786257" w:rsidP="00786257">
      <w:pPr>
        <w:snapToGrid w:val="0"/>
        <w:spacing w:line="400" w:lineRule="exact"/>
        <w:ind w:firstLineChars="202" w:firstLine="424"/>
        <w:rPr>
          <w:szCs w:val="21"/>
        </w:rPr>
      </w:pPr>
      <w:r>
        <w:rPr>
          <w:rFonts w:ascii="微软雅黑" w:eastAsia="微软雅黑" w:hAnsi="微软雅黑" w:hint="eastAsia"/>
          <w:szCs w:val="21"/>
        </w:rPr>
        <w:t>2017年</w:t>
      </w:r>
      <w:r w:rsidRPr="009D423B">
        <w:rPr>
          <w:rFonts w:ascii="微软雅黑" w:eastAsia="微软雅黑" w:hAnsi="微软雅黑" w:hint="eastAsia"/>
          <w:szCs w:val="21"/>
        </w:rPr>
        <w:t>12月，陕西省</w:t>
      </w:r>
      <w:r w:rsidRPr="009D423B">
        <w:rPr>
          <w:rFonts w:ascii="微软雅黑" w:eastAsia="微软雅黑" w:hAnsi="微软雅黑"/>
          <w:szCs w:val="21"/>
        </w:rPr>
        <w:t>网民最常用的</w:t>
      </w:r>
      <w:r w:rsidRPr="009D423B">
        <w:rPr>
          <w:rFonts w:ascii="微软雅黑" w:eastAsia="微软雅黑" w:hAnsi="微软雅黑" w:hint="eastAsia"/>
          <w:szCs w:val="21"/>
        </w:rPr>
        <w:t>便捷生活</w:t>
      </w:r>
      <w:r w:rsidRPr="009D423B">
        <w:rPr>
          <w:rFonts w:ascii="微软雅黑" w:eastAsia="微软雅黑" w:hAnsi="微软雅黑"/>
          <w:szCs w:val="21"/>
        </w:rPr>
        <w:t>类</w:t>
      </w:r>
      <w:r w:rsidRPr="009D423B">
        <w:rPr>
          <w:rFonts w:ascii="微软雅黑" w:eastAsia="微软雅黑" w:hAnsi="微软雅黑" w:hint="eastAsia"/>
          <w:szCs w:val="21"/>
        </w:rPr>
        <w:t>APP中</w:t>
      </w:r>
      <w:r w:rsidRPr="009D423B">
        <w:rPr>
          <w:rFonts w:ascii="微软雅黑" w:eastAsia="微软雅黑" w:hAnsi="微软雅黑"/>
          <w:szCs w:val="21"/>
        </w:rPr>
        <w:t>，</w:t>
      </w:r>
      <w:r w:rsidRPr="009D423B">
        <w:rPr>
          <w:rFonts w:ascii="微软雅黑" w:eastAsia="微软雅黑" w:hAnsi="微软雅黑" w:hint="eastAsia"/>
          <w:szCs w:val="21"/>
        </w:rPr>
        <w:t>高德地图</w:t>
      </w:r>
      <w:r>
        <w:rPr>
          <w:rFonts w:ascii="微软雅黑" w:eastAsia="微软雅黑" w:hAnsi="微软雅黑" w:hint="eastAsia"/>
          <w:szCs w:val="21"/>
        </w:rPr>
        <w:t>、百度地图和墨迹天气位列前三，其月独立设备数比例分别为44.9%、42.1%和35.0%。</w:t>
      </w:r>
      <w:r w:rsidRPr="009D423B">
        <w:rPr>
          <w:rFonts w:ascii="微软雅黑" w:eastAsia="微软雅黑" w:hAnsi="微软雅黑" w:hint="eastAsia"/>
          <w:szCs w:val="21"/>
        </w:rPr>
        <w:t>另外，新浪天气通、58同城</w:t>
      </w:r>
      <w:r>
        <w:rPr>
          <w:rFonts w:ascii="微软雅黑" w:eastAsia="微软雅黑" w:hAnsi="微软雅黑" w:hint="eastAsia"/>
          <w:szCs w:val="21"/>
        </w:rPr>
        <w:t>、小米天气等</w:t>
      </w:r>
      <w:r w:rsidRPr="009D423B">
        <w:rPr>
          <w:rFonts w:ascii="微软雅黑" w:eastAsia="微软雅黑" w:hAnsi="微软雅黑" w:hint="eastAsia"/>
          <w:szCs w:val="21"/>
        </w:rPr>
        <w:t>也是较为常见的便捷生活类应用</w:t>
      </w:r>
      <w:r w:rsidR="00CA2950">
        <w:rPr>
          <w:rFonts w:ascii="微软雅黑" w:eastAsia="微软雅黑" w:hAnsi="微软雅黑" w:hint="eastAsia"/>
          <w:szCs w:val="21"/>
        </w:rPr>
        <w:t>，但其覆盖情况与前三位应用存在着一定的</w:t>
      </w:r>
      <w:r>
        <w:rPr>
          <w:rFonts w:ascii="微软雅黑" w:eastAsia="微软雅黑" w:hAnsi="微软雅黑" w:hint="eastAsia"/>
          <w:szCs w:val="21"/>
        </w:rPr>
        <w:t>差距</w:t>
      </w:r>
      <w:r w:rsidRPr="009D423B">
        <w:rPr>
          <w:rFonts w:ascii="微软雅黑" w:eastAsia="微软雅黑" w:hAnsi="微软雅黑" w:hint="eastAsia"/>
          <w:szCs w:val="21"/>
        </w:rPr>
        <w:t>。</w:t>
      </w:r>
    </w:p>
    <w:p w:rsidR="00786257" w:rsidRPr="009D423B" w:rsidRDefault="00786257" w:rsidP="00786257">
      <w:pPr>
        <w:jc w:val="center"/>
        <w:rPr>
          <w:szCs w:val="21"/>
        </w:rPr>
      </w:pPr>
      <w:r>
        <w:rPr>
          <w:noProof/>
        </w:rPr>
        <w:drawing>
          <wp:inline distT="0" distB="0" distL="0" distR="0">
            <wp:extent cx="4809600" cy="3240000"/>
            <wp:effectExtent l="0" t="0" r="10160" b="1778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86257" w:rsidRDefault="00C564F4" w:rsidP="00786257">
      <w:pPr>
        <w:pStyle w:val="ab"/>
      </w:pPr>
      <w:bookmarkStart w:id="210" w:name="_Toc483275490"/>
      <w:bookmarkStart w:id="211" w:name="_Toc491880397"/>
      <w:bookmarkStart w:id="212" w:name="_Toc524418173"/>
      <w:r>
        <w:rPr>
          <w:rFonts w:hint="eastAsia"/>
        </w:rPr>
        <w:t>图4-</w:t>
      </w:r>
      <w:r w:rsidR="00786257" w:rsidRPr="009D423B">
        <w:rPr>
          <w:rFonts w:hint="eastAsia"/>
        </w:rPr>
        <w:t>2</w:t>
      </w:r>
      <w:r w:rsidR="00014228">
        <w:rPr>
          <w:rFonts w:hint="eastAsia"/>
        </w:rPr>
        <w:t>8</w:t>
      </w:r>
      <w:r w:rsidR="00786257" w:rsidRPr="009D423B">
        <w:t xml:space="preserve">  </w:t>
      </w:r>
      <w:r w:rsidR="00786257">
        <w:rPr>
          <w:rFonts w:hint="eastAsia"/>
        </w:rPr>
        <w:t>2017年</w:t>
      </w:r>
      <w:r w:rsidR="00786257" w:rsidRPr="009D423B">
        <w:rPr>
          <w:rFonts w:hint="eastAsia"/>
        </w:rPr>
        <w:t>12月</w:t>
      </w:r>
      <w:r w:rsidR="00786257">
        <w:rPr>
          <w:rFonts w:hint="eastAsia"/>
        </w:rPr>
        <w:t>陕西省网民</w:t>
      </w:r>
      <w:r w:rsidR="00786257" w:rsidRPr="009D423B">
        <w:rPr>
          <w:rFonts w:hint="eastAsia"/>
        </w:rPr>
        <w:t>常用便捷生活类APP</w:t>
      </w:r>
      <w:bookmarkEnd w:id="210"/>
      <w:bookmarkEnd w:id="211"/>
      <w:bookmarkEnd w:id="212"/>
    </w:p>
    <w:p w:rsidR="00014228" w:rsidRDefault="00014228" w:rsidP="00014228"/>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213" w:name="_Toc485132099"/>
      <w:bookmarkStart w:id="214" w:name="_Toc519837700"/>
      <w:bookmarkStart w:id="215" w:name="_Toc524417999"/>
      <w:r w:rsidRPr="009D423B">
        <w:rPr>
          <w:rFonts w:ascii="微软雅黑" w:eastAsia="微软雅黑" w:hAnsi="微软雅黑" w:hint="eastAsia"/>
          <w:b/>
          <w:szCs w:val="21"/>
        </w:rPr>
        <w:t>5.使用金融理财App情况</w:t>
      </w:r>
      <w:bookmarkEnd w:id="213"/>
      <w:bookmarkEnd w:id="214"/>
      <w:bookmarkEnd w:id="215"/>
    </w:p>
    <w:p w:rsidR="00786257" w:rsidRPr="009D423B" w:rsidRDefault="00CA2950"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Pr="000515DB" w:rsidRDefault="00CA2950"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金融服务APP的</w:t>
      </w:r>
      <w:r>
        <w:rPr>
          <w:rFonts w:ascii="微软雅黑" w:eastAsia="微软雅黑" w:hAnsi="微软雅黑" w:hint="eastAsia"/>
          <w:szCs w:val="21"/>
        </w:rPr>
        <w:t>月独立设备数也保持快速增长，截至12月达到2580.0万台，较2016年12月增长21.0%。从月独立设备数比例来看，使用</w:t>
      </w:r>
      <w:r w:rsidRPr="009D423B">
        <w:rPr>
          <w:rFonts w:ascii="微软雅黑" w:eastAsia="微软雅黑" w:hAnsi="微软雅黑" w:hint="eastAsia"/>
          <w:szCs w:val="21"/>
        </w:rPr>
        <w:t>金融服务APP</w:t>
      </w:r>
      <w:r>
        <w:rPr>
          <w:rFonts w:ascii="微软雅黑" w:eastAsia="微软雅黑" w:hAnsi="微软雅黑" w:hint="eastAsia"/>
          <w:szCs w:val="21"/>
        </w:rPr>
        <w:t>网民覆盖比例也属于较高的水平，全年均值达到65.9%。</w:t>
      </w:r>
    </w:p>
    <w:p w:rsidR="00786257" w:rsidRPr="009D423B" w:rsidRDefault="00786257" w:rsidP="00786257">
      <w:pPr>
        <w:jc w:val="center"/>
        <w:rPr>
          <w:szCs w:val="21"/>
        </w:rPr>
      </w:pPr>
      <w:r>
        <w:rPr>
          <w:noProof/>
        </w:rPr>
        <w:drawing>
          <wp:inline distT="0" distB="0" distL="0" distR="0">
            <wp:extent cx="4809600" cy="2880000"/>
            <wp:effectExtent l="0" t="0" r="10160" b="1587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86257" w:rsidRPr="009D423B" w:rsidRDefault="00C564F4" w:rsidP="00786257">
      <w:pPr>
        <w:pStyle w:val="ab"/>
      </w:pPr>
      <w:bookmarkStart w:id="216" w:name="_Toc483275491"/>
      <w:bookmarkStart w:id="217" w:name="_Toc491880398"/>
      <w:bookmarkStart w:id="218" w:name="_Toc524418174"/>
      <w:r>
        <w:rPr>
          <w:rFonts w:hint="eastAsia"/>
        </w:rPr>
        <w:t>图4-</w:t>
      </w:r>
      <w:r w:rsidR="00CA2950" w:rsidRPr="009D423B">
        <w:rPr>
          <w:rFonts w:hint="eastAsia"/>
        </w:rPr>
        <w:t>2</w:t>
      </w:r>
      <w:r w:rsidR="00CA2950">
        <w:rPr>
          <w:rFonts w:hint="eastAsia"/>
        </w:rPr>
        <w:t>9</w:t>
      </w:r>
      <w:r w:rsidR="00CA2950" w:rsidRPr="009D423B">
        <w:t xml:space="preserve">  </w:t>
      </w:r>
      <w:r w:rsidR="00CA2950">
        <w:rPr>
          <w:rFonts w:hint="eastAsia"/>
        </w:rPr>
        <w:t>2017年陕西省网民</w:t>
      </w:r>
      <w:r w:rsidR="00CA2950" w:rsidRPr="009D423B">
        <w:rPr>
          <w:rFonts w:hint="eastAsia"/>
        </w:rPr>
        <w:t>使用金融服务</w:t>
      </w:r>
      <w:bookmarkEnd w:id="216"/>
      <w:bookmarkEnd w:id="217"/>
      <w:r w:rsidR="00CA2950">
        <w:rPr>
          <w:rFonts w:hint="eastAsia"/>
        </w:rPr>
        <w:t>月独立设备数比例</w:t>
      </w:r>
      <w:bookmarkEnd w:id="218"/>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221568"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使用金融服务APP的单机使用天数有</w:t>
      </w:r>
      <w:r>
        <w:rPr>
          <w:rFonts w:ascii="微软雅黑" w:eastAsia="微软雅黑" w:hAnsi="微软雅黑" w:hint="eastAsia"/>
          <w:szCs w:val="21"/>
        </w:rPr>
        <w:t>基本保持稳定。</w:t>
      </w:r>
      <w:r w:rsidRPr="009D423B">
        <w:rPr>
          <w:rFonts w:ascii="微软雅黑" w:eastAsia="微软雅黑" w:hAnsi="微软雅黑" w:hint="eastAsia"/>
          <w:szCs w:val="21"/>
        </w:rPr>
        <w:t>1</w:t>
      </w:r>
      <w:r w:rsidRPr="009D423B">
        <w:rPr>
          <w:rFonts w:ascii="微软雅黑" w:eastAsia="微软雅黑" w:hAnsi="微软雅黑"/>
          <w:szCs w:val="21"/>
        </w:rPr>
        <w:t>-12</w:t>
      </w:r>
      <w:r w:rsidRPr="009D423B">
        <w:rPr>
          <w:rFonts w:ascii="微软雅黑" w:eastAsia="微软雅黑" w:hAnsi="微软雅黑" w:hint="eastAsia"/>
          <w:szCs w:val="21"/>
        </w:rPr>
        <w:t>月</w:t>
      </w:r>
      <w:r>
        <w:rPr>
          <w:rFonts w:ascii="微软雅黑" w:eastAsia="微软雅黑" w:hAnsi="微软雅黑" w:hint="eastAsia"/>
          <w:szCs w:val="21"/>
        </w:rPr>
        <w:t>，</w:t>
      </w:r>
      <w:r w:rsidRPr="009D423B">
        <w:rPr>
          <w:rFonts w:ascii="微软雅黑" w:eastAsia="微软雅黑" w:hAnsi="微软雅黑" w:hint="eastAsia"/>
          <w:szCs w:val="21"/>
        </w:rPr>
        <w:t>单机使用天数平均为</w:t>
      </w:r>
      <w:r>
        <w:rPr>
          <w:rFonts w:ascii="微软雅黑" w:eastAsia="微软雅黑" w:hAnsi="微软雅黑" w:hint="eastAsia"/>
          <w:szCs w:val="21"/>
        </w:rPr>
        <w:t>8.8</w:t>
      </w:r>
      <w:r w:rsidRPr="009D423B">
        <w:rPr>
          <w:rFonts w:ascii="微软雅黑" w:eastAsia="微软雅黑" w:hAnsi="微软雅黑" w:hint="eastAsia"/>
          <w:szCs w:val="21"/>
        </w:rPr>
        <w:t>天，较201</w:t>
      </w:r>
      <w:r>
        <w:rPr>
          <w:rFonts w:ascii="微软雅黑" w:eastAsia="微软雅黑" w:hAnsi="微软雅黑" w:hint="eastAsia"/>
          <w:szCs w:val="21"/>
        </w:rPr>
        <w:t>6</w:t>
      </w:r>
      <w:r w:rsidRPr="009D423B">
        <w:rPr>
          <w:rFonts w:ascii="微软雅黑" w:eastAsia="微软雅黑" w:hAnsi="微软雅黑" w:hint="eastAsia"/>
          <w:szCs w:val="21"/>
        </w:rPr>
        <w:t>年</w:t>
      </w:r>
      <w:r>
        <w:rPr>
          <w:rFonts w:ascii="微软雅黑" w:eastAsia="微软雅黑" w:hAnsi="微软雅黑" w:hint="eastAsia"/>
          <w:szCs w:val="21"/>
        </w:rPr>
        <w:t>减少0.2天</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786257" w:rsidRDefault="00C564F4" w:rsidP="00786257">
      <w:pPr>
        <w:pStyle w:val="ab"/>
      </w:pPr>
      <w:bookmarkStart w:id="219" w:name="_Toc483275492"/>
      <w:bookmarkStart w:id="220" w:name="_Toc491880399"/>
      <w:bookmarkStart w:id="221" w:name="_Toc524418175"/>
      <w:r>
        <w:rPr>
          <w:rFonts w:hint="eastAsia"/>
        </w:rPr>
        <w:t>图4-</w:t>
      </w:r>
      <w:r w:rsidR="00014228">
        <w:rPr>
          <w:rFonts w:hint="eastAsia"/>
        </w:rPr>
        <w:t>30</w:t>
      </w:r>
      <w:r w:rsidR="00786257" w:rsidRPr="009D423B">
        <w:t xml:space="preserve">  </w:t>
      </w:r>
      <w:r w:rsidR="00786257">
        <w:rPr>
          <w:rFonts w:hint="eastAsia"/>
        </w:rPr>
        <w:t>2017年陕西省网民</w:t>
      </w:r>
      <w:r w:rsidR="00786257" w:rsidRPr="009D423B">
        <w:rPr>
          <w:rFonts w:hint="eastAsia"/>
        </w:rPr>
        <w:t>使用金融服务单机使用天数</w:t>
      </w:r>
      <w:bookmarkEnd w:id="219"/>
      <w:bookmarkEnd w:id="220"/>
      <w:bookmarkEnd w:id="221"/>
    </w:p>
    <w:p w:rsidR="00014228" w:rsidRDefault="00014228" w:rsidP="00014228"/>
    <w:p w:rsidR="00014228" w:rsidRPr="00014228" w:rsidRDefault="00014228" w:rsidP="00014228"/>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Pr="009D423B"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使用金融服务APP的单机单日使用次数</w:t>
      </w:r>
      <w:r>
        <w:rPr>
          <w:rFonts w:ascii="微软雅黑" w:eastAsia="微软雅黑" w:hAnsi="微软雅黑" w:hint="eastAsia"/>
          <w:szCs w:val="21"/>
        </w:rPr>
        <w:t>呈现上升态势。</w:t>
      </w:r>
      <w:r w:rsidRPr="009D423B">
        <w:rPr>
          <w:rFonts w:ascii="微软雅黑" w:eastAsia="微软雅黑" w:hAnsi="微软雅黑" w:hint="eastAsia"/>
          <w:szCs w:val="21"/>
        </w:rPr>
        <w:t>1</w:t>
      </w:r>
      <w:r w:rsidRPr="009D423B">
        <w:rPr>
          <w:rFonts w:ascii="微软雅黑" w:eastAsia="微软雅黑" w:hAnsi="微软雅黑"/>
          <w:szCs w:val="21"/>
        </w:rPr>
        <w:t>-12</w:t>
      </w:r>
      <w:r w:rsidRPr="009D423B">
        <w:rPr>
          <w:rFonts w:ascii="微软雅黑" w:eastAsia="微软雅黑" w:hAnsi="微软雅黑" w:hint="eastAsia"/>
          <w:szCs w:val="21"/>
        </w:rPr>
        <w:t>月</w:t>
      </w:r>
      <w:r>
        <w:rPr>
          <w:rFonts w:ascii="微软雅黑" w:eastAsia="微软雅黑" w:hAnsi="微软雅黑" w:hint="eastAsia"/>
          <w:szCs w:val="21"/>
        </w:rPr>
        <w:t>，单机单日使用次数平均值</w:t>
      </w:r>
      <w:r w:rsidRPr="009D423B">
        <w:rPr>
          <w:rFonts w:ascii="微软雅黑" w:eastAsia="微软雅黑" w:hAnsi="微软雅黑" w:hint="eastAsia"/>
          <w:szCs w:val="21"/>
        </w:rPr>
        <w:t>为</w:t>
      </w:r>
      <w:r>
        <w:rPr>
          <w:rFonts w:ascii="微软雅黑" w:eastAsia="微软雅黑" w:hAnsi="微软雅黑" w:hint="eastAsia"/>
          <w:szCs w:val="21"/>
        </w:rPr>
        <w:t>3.3</w:t>
      </w:r>
      <w:r w:rsidRPr="009D423B">
        <w:rPr>
          <w:rFonts w:ascii="微软雅黑" w:eastAsia="微软雅黑" w:hAnsi="微软雅黑" w:hint="eastAsia"/>
          <w:szCs w:val="21"/>
        </w:rPr>
        <w:t>次，</w:t>
      </w:r>
      <w:r>
        <w:rPr>
          <w:rFonts w:ascii="微软雅黑" w:eastAsia="微软雅黑" w:hAnsi="微软雅黑" w:hint="eastAsia"/>
          <w:szCs w:val="21"/>
        </w:rPr>
        <w:t>较2016年提升0.4次。</w:t>
      </w:r>
    </w:p>
    <w:p w:rsidR="00786257" w:rsidRPr="009D423B" w:rsidRDefault="00786257" w:rsidP="00786257">
      <w:pPr>
        <w:jc w:val="center"/>
        <w:rPr>
          <w:szCs w:val="21"/>
        </w:rPr>
      </w:pPr>
      <w:r>
        <w:rPr>
          <w:noProof/>
        </w:rPr>
        <w:drawing>
          <wp:inline distT="0" distB="0" distL="0" distR="0">
            <wp:extent cx="4809600" cy="2880000"/>
            <wp:effectExtent l="0" t="0" r="10160" b="15875"/>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86257" w:rsidRPr="009D423B" w:rsidRDefault="00C564F4" w:rsidP="00786257">
      <w:pPr>
        <w:pStyle w:val="ab"/>
      </w:pPr>
      <w:bookmarkStart w:id="222" w:name="_Toc483275493"/>
      <w:bookmarkStart w:id="223" w:name="_Toc491880400"/>
      <w:bookmarkStart w:id="224" w:name="_Toc524418176"/>
      <w:r>
        <w:rPr>
          <w:rFonts w:hint="eastAsia"/>
        </w:rPr>
        <w:t>图4-</w:t>
      </w:r>
      <w:r w:rsidR="00014228">
        <w:rPr>
          <w:rFonts w:hint="eastAsia"/>
        </w:rPr>
        <w:t>31</w:t>
      </w:r>
      <w:r w:rsidR="00786257" w:rsidRPr="009D423B">
        <w:t xml:space="preserve">  </w:t>
      </w:r>
      <w:r w:rsidR="00786257">
        <w:rPr>
          <w:rFonts w:hint="eastAsia"/>
        </w:rPr>
        <w:t>2017年陕西省网民</w:t>
      </w:r>
      <w:r w:rsidR="00786257" w:rsidRPr="009D423B">
        <w:rPr>
          <w:rFonts w:hint="eastAsia"/>
        </w:rPr>
        <w:t>使用金融服务单机单日使用次数</w:t>
      </w:r>
      <w:bookmarkEnd w:id="222"/>
      <w:bookmarkEnd w:id="223"/>
      <w:bookmarkEnd w:id="224"/>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Pr="0032496D"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使用金融服务APP的单机单次有效时间呈下降态势</w:t>
      </w:r>
      <w:r>
        <w:rPr>
          <w:rFonts w:ascii="微软雅黑" w:eastAsia="微软雅黑" w:hAnsi="微软雅黑" w:hint="eastAsia"/>
          <w:szCs w:val="21"/>
        </w:rPr>
        <w:t>。</w:t>
      </w:r>
      <w:r w:rsidRPr="009D423B">
        <w:rPr>
          <w:rFonts w:ascii="微软雅黑" w:eastAsia="微软雅黑" w:hAnsi="微软雅黑" w:hint="eastAsia"/>
          <w:szCs w:val="21"/>
        </w:rPr>
        <w:t>全年单机单次有效时间平均为</w:t>
      </w:r>
      <w:r>
        <w:rPr>
          <w:rFonts w:ascii="微软雅黑" w:eastAsia="微软雅黑" w:hAnsi="微软雅黑" w:hint="eastAsia"/>
          <w:szCs w:val="21"/>
        </w:rPr>
        <w:t>3.5</w:t>
      </w:r>
      <w:r w:rsidRPr="009D423B">
        <w:rPr>
          <w:rFonts w:ascii="微软雅黑" w:eastAsia="微软雅黑" w:hAnsi="微软雅黑" w:hint="eastAsia"/>
          <w:szCs w:val="21"/>
        </w:rPr>
        <w:t>分钟</w:t>
      </w:r>
      <w:r>
        <w:rPr>
          <w:rFonts w:ascii="微软雅黑" w:eastAsia="微软雅黑" w:hAnsi="微软雅黑" w:hint="eastAsia"/>
          <w:szCs w:val="21"/>
        </w:rPr>
        <w:t>，较2016年下降1.3分钟，尤其是2017年下半年降幅明显</w:t>
      </w:r>
      <w:r w:rsidRPr="009D423B">
        <w:rPr>
          <w:rFonts w:ascii="微软雅黑" w:eastAsia="微软雅黑" w:hAnsi="微软雅黑" w:hint="eastAsia"/>
          <w:szCs w:val="21"/>
        </w:rPr>
        <w:t>。</w:t>
      </w:r>
      <w:r>
        <w:rPr>
          <w:rFonts w:ascii="微软雅黑" w:eastAsia="微软雅黑" w:hAnsi="微软雅黑" w:hint="eastAsia"/>
          <w:szCs w:val="21"/>
        </w:rPr>
        <w:t>整体来看，陕西网民单机单日有效时间维持在10~13分钟的水平，与2016年大部分月份都基本相当。</w:t>
      </w:r>
    </w:p>
    <w:p w:rsidR="00786257" w:rsidRPr="009D423B" w:rsidRDefault="00786257" w:rsidP="00786257">
      <w:pPr>
        <w:jc w:val="center"/>
        <w:rPr>
          <w:szCs w:val="21"/>
        </w:rPr>
      </w:pPr>
      <w:r>
        <w:rPr>
          <w:noProof/>
        </w:rPr>
        <w:drawing>
          <wp:inline distT="0" distB="0" distL="0" distR="0">
            <wp:extent cx="4809600" cy="2880000"/>
            <wp:effectExtent l="0" t="0" r="10160" b="1587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86257" w:rsidRDefault="00C564F4" w:rsidP="00786257">
      <w:pPr>
        <w:pStyle w:val="ab"/>
      </w:pPr>
      <w:bookmarkStart w:id="225" w:name="_Toc483275494"/>
      <w:bookmarkStart w:id="226" w:name="_Toc491880401"/>
      <w:bookmarkStart w:id="227" w:name="_Toc524418177"/>
      <w:r>
        <w:rPr>
          <w:rFonts w:hint="eastAsia"/>
        </w:rPr>
        <w:t>图4-</w:t>
      </w:r>
      <w:r w:rsidR="00014228">
        <w:rPr>
          <w:rFonts w:hint="eastAsia"/>
        </w:rPr>
        <w:t>32</w:t>
      </w:r>
      <w:r w:rsidR="00786257" w:rsidRPr="009D423B">
        <w:t xml:space="preserve">  </w:t>
      </w:r>
      <w:r w:rsidR="00786257">
        <w:rPr>
          <w:rFonts w:hint="eastAsia"/>
        </w:rPr>
        <w:t>2017年陕西省网民</w:t>
      </w:r>
      <w:r w:rsidR="00786257" w:rsidRPr="009D423B">
        <w:rPr>
          <w:rFonts w:hint="eastAsia"/>
        </w:rPr>
        <w:t>使用金融服务单机单次有效时间</w:t>
      </w:r>
      <w:bookmarkEnd w:id="225"/>
      <w:bookmarkEnd w:id="226"/>
      <w:bookmarkEnd w:id="227"/>
    </w:p>
    <w:p w:rsidR="00014228" w:rsidRDefault="00014228" w:rsidP="00014228"/>
    <w:p w:rsidR="00014228" w:rsidRPr="00014228" w:rsidRDefault="00014228" w:rsidP="00014228"/>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Pr="0032496D" w:rsidRDefault="00CA2950" w:rsidP="00786257">
      <w:pPr>
        <w:snapToGrid w:val="0"/>
        <w:spacing w:line="400" w:lineRule="exact"/>
        <w:ind w:firstLineChars="202" w:firstLine="424"/>
        <w:rPr>
          <w:rFonts w:ascii="微软雅黑" w:eastAsia="微软雅黑" w:hAnsi="微软雅黑" w:cs="宋体"/>
          <w:b/>
          <w:bCs/>
          <w:szCs w:val="21"/>
        </w:rPr>
      </w:pPr>
      <w:r>
        <w:rPr>
          <w:rFonts w:ascii="微软雅黑" w:eastAsia="微软雅黑" w:hAnsi="微软雅黑" w:hint="eastAsia"/>
          <w:szCs w:val="21"/>
        </w:rPr>
        <w:t>2017年</w:t>
      </w:r>
      <w:r w:rsidRPr="009D423B">
        <w:rPr>
          <w:rFonts w:ascii="微软雅黑" w:eastAsia="微软雅黑" w:hAnsi="微软雅黑" w:hint="eastAsia"/>
          <w:szCs w:val="21"/>
        </w:rPr>
        <w:t>12月，</w:t>
      </w:r>
      <w:r>
        <w:rPr>
          <w:rFonts w:ascii="微软雅黑" w:eastAsia="微软雅黑" w:hAnsi="微软雅黑" w:hint="eastAsia"/>
          <w:szCs w:val="21"/>
        </w:rPr>
        <w:t>陕西省网民</w:t>
      </w:r>
      <w:r w:rsidRPr="009D423B">
        <w:rPr>
          <w:rFonts w:ascii="微软雅黑" w:eastAsia="微软雅黑" w:hAnsi="微软雅黑"/>
          <w:szCs w:val="21"/>
        </w:rPr>
        <w:t>最常用的</w:t>
      </w:r>
      <w:r w:rsidRPr="009D423B">
        <w:rPr>
          <w:rFonts w:ascii="微软雅黑" w:eastAsia="微软雅黑" w:hAnsi="微软雅黑" w:hint="eastAsia"/>
          <w:szCs w:val="21"/>
        </w:rPr>
        <w:t>金融服务</w:t>
      </w:r>
      <w:r w:rsidRPr="009D423B">
        <w:rPr>
          <w:rFonts w:ascii="微软雅黑" w:eastAsia="微软雅黑" w:hAnsi="微软雅黑"/>
          <w:szCs w:val="21"/>
        </w:rPr>
        <w:t>类</w:t>
      </w:r>
      <w:r w:rsidRPr="009D423B">
        <w:rPr>
          <w:rFonts w:ascii="微软雅黑" w:eastAsia="微软雅黑" w:hAnsi="微软雅黑" w:hint="eastAsia"/>
          <w:szCs w:val="21"/>
        </w:rPr>
        <w:t>APP中</w:t>
      </w:r>
      <w:r w:rsidRPr="009D423B">
        <w:rPr>
          <w:rFonts w:ascii="微软雅黑" w:eastAsia="微软雅黑" w:hAnsi="微软雅黑"/>
          <w:szCs w:val="21"/>
        </w:rPr>
        <w:t>，</w:t>
      </w:r>
      <w:r w:rsidRPr="009D423B">
        <w:rPr>
          <w:rFonts w:ascii="微软雅黑" w:eastAsia="微软雅黑" w:hAnsi="微软雅黑" w:hint="eastAsia"/>
          <w:szCs w:val="21"/>
        </w:rPr>
        <w:t>支付宝以</w:t>
      </w:r>
      <w:r w:rsidRPr="009D423B">
        <w:rPr>
          <w:rFonts w:ascii="微软雅黑" w:eastAsia="微软雅黑" w:hAnsi="微软雅黑"/>
          <w:szCs w:val="21"/>
        </w:rPr>
        <w:t>绝对优势</w:t>
      </w:r>
      <w:r w:rsidRPr="009D423B">
        <w:rPr>
          <w:rFonts w:ascii="微软雅黑" w:eastAsia="微软雅黑" w:hAnsi="微软雅黑" w:hint="eastAsia"/>
          <w:szCs w:val="21"/>
        </w:rPr>
        <w:t>位居</w:t>
      </w:r>
      <w:r w:rsidRPr="009D423B">
        <w:rPr>
          <w:rFonts w:ascii="微软雅黑" w:eastAsia="微软雅黑" w:hAnsi="微软雅黑"/>
          <w:szCs w:val="21"/>
        </w:rPr>
        <w:t>第一，</w:t>
      </w:r>
      <w:r>
        <w:rPr>
          <w:rFonts w:ascii="微软雅黑" w:eastAsia="微软雅黑" w:hAnsi="微软雅黑" w:hint="eastAsia"/>
          <w:szCs w:val="21"/>
        </w:rPr>
        <w:t>月独立设备数比例</w:t>
      </w:r>
      <w:r>
        <w:rPr>
          <w:rFonts w:ascii="微软雅黑" w:eastAsia="微软雅黑" w:hAnsi="微软雅黑"/>
          <w:szCs w:val="21"/>
        </w:rPr>
        <w:t>达到</w:t>
      </w:r>
      <w:r>
        <w:rPr>
          <w:rFonts w:ascii="微软雅黑" w:eastAsia="微软雅黑" w:hAnsi="微软雅黑" w:hint="eastAsia"/>
          <w:szCs w:val="21"/>
        </w:rPr>
        <w:t>67.8%，远超</w:t>
      </w:r>
      <w:r w:rsidRPr="009D423B">
        <w:rPr>
          <w:rFonts w:ascii="微软雅黑" w:eastAsia="微软雅黑" w:hAnsi="微软雅黑" w:hint="eastAsia"/>
          <w:szCs w:val="21"/>
        </w:rPr>
        <w:t>位于第二的</w:t>
      </w:r>
      <w:r>
        <w:rPr>
          <w:rFonts w:ascii="微软雅黑" w:eastAsia="微软雅黑" w:hAnsi="微软雅黑" w:hint="eastAsia"/>
          <w:szCs w:val="21"/>
        </w:rPr>
        <w:t>中国建设银行</w:t>
      </w:r>
      <w:r w:rsidRPr="009D423B">
        <w:rPr>
          <w:rFonts w:ascii="微软雅黑" w:eastAsia="微软雅黑" w:hAnsi="微软雅黑" w:hint="eastAsia"/>
          <w:szCs w:val="21"/>
        </w:rPr>
        <w:t>。</w:t>
      </w:r>
      <w:r w:rsidR="00786257" w:rsidRPr="009D423B">
        <w:rPr>
          <w:rFonts w:ascii="微软雅黑" w:eastAsia="微软雅黑" w:hAnsi="微软雅黑" w:hint="eastAsia"/>
          <w:szCs w:val="21"/>
        </w:rPr>
        <w:t>另外，</w:t>
      </w:r>
      <w:r w:rsidR="00786257">
        <w:rPr>
          <w:rFonts w:ascii="微软雅黑" w:eastAsia="微软雅黑" w:hAnsi="微软雅黑" w:hint="eastAsia"/>
          <w:szCs w:val="21"/>
        </w:rPr>
        <w:t>同花顺、</w:t>
      </w:r>
      <w:r w:rsidR="00786257" w:rsidRPr="009D423B">
        <w:rPr>
          <w:rFonts w:ascii="微软雅黑" w:eastAsia="微软雅黑" w:hAnsi="微软雅黑" w:hint="eastAsia"/>
          <w:szCs w:val="21"/>
        </w:rPr>
        <w:t>大智慧、</w:t>
      </w:r>
      <w:r w:rsidR="00786257">
        <w:rPr>
          <w:rFonts w:ascii="微软雅黑" w:eastAsia="微软雅黑" w:hAnsi="微软雅黑" w:hint="eastAsia"/>
          <w:szCs w:val="21"/>
        </w:rPr>
        <w:t>招商银行掌上生活、中国工商银行等财经股票</w:t>
      </w:r>
      <w:r w:rsidR="00786257" w:rsidRPr="009D423B">
        <w:rPr>
          <w:rFonts w:ascii="微软雅黑" w:eastAsia="微软雅黑" w:hAnsi="微软雅黑" w:hint="eastAsia"/>
          <w:szCs w:val="21"/>
        </w:rPr>
        <w:t>和银行</w:t>
      </w:r>
      <w:r w:rsidR="00786257">
        <w:rPr>
          <w:rFonts w:ascii="微软雅黑" w:eastAsia="微软雅黑" w:hAnsi="微软雅黑" w:hint="eastAsia"/>
          <w:szCs w:val="21"/>
        </w:rPr>
        <w:t>类</w:t>
      </w:r>
      <w:r w:rsidR="00786257" w:rsidRPr="009D423B">
        <w:rPr>
          <w:rFonts w:ascii="微软雅黑" w:eastAsia="微软雅黑" w:hAnsi="微软雅黑" w:hint="eastAsia"/>
          <w:szCs w:val="21"/>
        </w:rPr>
        <w:t>APP</w:t>
      </w:r>
      <w:r w:rsidR="00786257">
        <w:rPr>
          <w:rFonts w:ascii="微软雅黑" w:eastAsia="微软雅黑" w:hAnsi="微软雅黑" w:hint="eastAsia"/>
          <w:szCs w:val="21"/>
        </w:rPr>
        <w:t>也是网民常用的金融理财应用</w:t>
      </w:r>
      <w:r w:rsidR="00786257" w:rsidRPr="009D423B">
        <w:rPr>
          <w:rFonts w:ascii="微软雅黑" w:eastAsia="微软雅黑" w:hAnsi="微软雅黑" w:hint="eastAsia"/>
          <w:szCs w:val="21"/>
        </w:rPr>
        <w:t>。</w:t>
      </w:r>
    </w:p>
    <w:p w:rsidR="00786257" w:rsidRPr="009D423B" w:rsidRDefault="00786257" w:rsidP="00786257">
      <w:pPr>
        <w:jc w:val="center"/>
        <w:rPr>
          <w:szCs w:val="21"/>
        </w:rPr>
      </w:pPr>
      <w:r>
        <w:rPr>
          <w:noProof/>
        </w:rPr>
        <w:drawing>
          <wp:inline distT="0" distB="0" distL="0" distR="0">
            <wp:extent cx="4809600" cy="3240000"/>
            <wp:effectExtent l="0" t="0" r="10160" b="1778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86257" w:rsidRDefault="00C564F4" w:rsidP="00786257">
      <w:pPr>
        <w:pStyle w:val="ab"/>
      </w:pPr>
      <w:bookmarkStart w:id="228" w:name="_Toc483275495"/>
      <w:bookmarkStart w:id="229" w:name="_Toc491880402"/>
      <w:bookmarkStart w:id="230" w:name="_Toc524418178"/>
      <w:r>
        <w:rPr>
          <w:rFonts w:hint="eastAsia"/>
        </w:rPr>
        <w:t>图4-</w:t>
      </w:r>
      <w:r w:rsidR="00014228">
        <w:rPr>
          <w:rFonts w:hint="eastAsia"/>
        </w:rPr>
        <w:t>33</w:t>
      </w:r>
      <w:r w:rsidR="00786257" w:rsidRPr="009D423B">
        <w:t xml:space="preserve">  </w:t>
      </w:r>
      <w:r w:rsidR="00786257">
        <w:rPr>
          <w:rFonts w:hint="eastAsia"/>
        </w:rPr>
        <w:t>2017年</w:t>
      </w:r>
      <w:r w:rsidR="00786257" w:rsidRPr="009D423B">
        <w:rPr>
          <w:rFonts w:hint="eastAsia"/>
        </w:rPr>
        <w:t>12月</w:t>
      </w:r>
      <w:r w:rsidR="00786257">
        <w:rPr>
          <w:rFonts w:hint="eastAsia"/>
        </w:rPr>
        <w:t>陕西省网民</w:t>
      </w:r>
      <w:r w:rsidR="00786257" w:rsidRPr="009D423B">
        <w:rPr>
          <w:rFonts w:hint="eastAsia"/>
        </w:rPr>
        <w:t>常用金融服务类APP</w:t>
      </w:r>
      <w:bookmarkEnd w:id="228"/>
      <w:bookmarkEnd w:id="229"/>
      <w:bookmarkEnd w:id="230"/>
    </w:p>
    <w:p w:rsidR="00765621" w:rsidRPr="00EA13FD" w:rsidRDefault="00C44C31" w:rsidP="00C44C31">
      <w:pPr>
        <w:snapToGrid w:val="0"/>
        <w:spacing w:line="400" w:lineRule="exact"/>
        <w:ind w:firstLineChars="202" w:firstLine="424"/>
        <w:rPr>
          <w:rFonts w:ascii="微软雅黑" w:eastAsia="微软雅黑" w:hAnsi="微软雅黑"/>
          <w:szCs w:val="21"/>
        </w:rPr>
      </w:pPr>
      <w:r w:rsidRPr="00EA13FD">
        <w:rPr>
          <w:rFonts w:ascii="微软雅黑" w:eastAsia="微软雅黑" w:hAnsi="微软雅黑" w:hint="eastAsia"/>
          <w:szCs w:val="21"/>
        </w:rPr>
        <w:t>说明：</w:t>
      </w:r>
    </w:p>
    <w:p w:rsidR="00341B84" w:rsidRPr="00EA13FD" w:rsidRDefault="00765621" w:rsidP="00C44C31">
      <w:pPr>
        <w:snapToGrid w:val="0"/>
        <w:spacing w:line="400" w:lineRule="exact"/>
        <w:ind w:firstLineChars="202" w:firstLine="424"/>
        <w:rPr>
          <w:rFonts w:ascii="微软雅黑" w:eastAsia="微软雅黑" w:hAnsi="微软雅黑"/>
          <w:szCs w:val="21"/>
        </w:rPr>
      </w:pPr>
      <w:r w:rsidRPr="00EA13FD">
        <w:rPr>
          <w:rFonts w:ascii="微软雅黑" w:eastAsia="微软雅黑" w:hAnsi="微软雅黑" w:hint="eastAsia"/>
          <w:szCs w:val="21"/>
        </w:rPr>
        <w:t>1.艾瑞mUserTracker数据产品对收录的APP进行分类时，</w:t>
      </w:r>
      <w:r w:rsidR="00FF6013" w:rsidRPr="00EA13FD">
        <w:rPr>
          <w:rFonts w:ascii="微软雅黑" w:eastAsia="微软雅黑" w:hAnsi="微软雅黑" w:hint="eastAsia"/>
          <w:szCs w:val="21"/>
        </w:rPr>
        <w:t>主要</w:t>
      </w:r>
      <w:r w:rsidRPr="00EA13FD">
        <w:rPr>
          <w:rFonts w:ascii="微软雅黑" w:eastAsia="微软雅黑" w:hAnsi="微软雅黑" w:hint="eastAsia"/>
          <w:szCs w:val="21"/>
        </w:rPr>
        <w:t>参照</w:t>
      </w:r>
      <w:r w:rsidR="00FF6013" w:rsidRPr="00EA13FD">
        <w:rPr>
          <w:rFonts w:ascii="微软雅黑" w:eastAsia="微软雅黑" w:hAnsi="微软雅黑" w:hint="eastAsia"/>
          <w:szCs w:val="21"/>
        </w:rPr>
        <w:t>标准为</w:t>
      </w:r>
      <w:r w:rsidRPr="00EA13FD">
        <w:rPr>
          <w:rFonts w:ascii="微软雅黑" w:eastAsia="微软雅黑" w:hAnsi="微软雅黑" w:hint="eastAsia"/>
          <w:szCs w:val="21"/>
        </w:rPr>
        <w:t>APP</w:t>
      </w:r>
      <w:r w:rsidR="004E0AF9">
        <w:rPr>
          <w:rFonts w:ascii="微软雅黑" w:eastAsia="微软雅黑" w:hAnsi="微软雅黑" w:hint="eastAsia"/>
          <w:szCs w:val="21"/>
        </w:rPr>
        <w:t>自身</w:t>
      </w:r>
      <w:r w:rsidRPr="00EA13FD">
        <w:rPr>
          <w:rFonts w:ascii="微软雅黑" w:eastAsia="微软雅黑" w:hAnsi="微软雅黑" w:hint="eastAsia"/>
          <w:szCs w:val="21"/>
        </w:rPr>
        <w:t>的</w:t>
      </w:r>
      <w:r w:rsidR="00FF6013" w:rsidRPr="00EA13FD">
        <w:rPr>
          <w:rFonts w:ascii="微软雅黑" w:eastAsia="微软雅黑" w:hAnsi="微软雅黑" w:hint="eastAsia"/>
          <w:szCs w:val="21"/>
        </w:rPr>
        <w:t>服务</w:t>
      </w:r>
      <w:r w:rsidRPr="00EA13FD">
        <w:rPr>
          <w:rFonts w:ascii="微软雅黑" w:eastAsia="微软雅黑" w:hAnsi="微软雅黑" w:hint="eastAsia"/>
          <w:szCs w:val="21"/>
        </w:rPr>
        <w:t>功能。</w:t>
      </w:r>
      <w:r w:rsidR="004E0AF9">
        <w:rPr>
          <w:rFonts w:ascii="微软雅黑" w:eastAsia="微软雅黑" w:hAnsi="微软雅黑" w:hint="eastAsia"/>
          <w:szCs w:val="21"/>
        </w:rPr>
        <w:t>按照这一</w:t>
      </w:r>
      <w:r w:rsidRPr="00EA13FD">
        <w:rPr>
          <w:rFonts w:ascii="微软雅黑" w:eastAsia="微软雅黑" w:hAnsi="微软雅黑" w:hint="eastAsia"/>
          <w:szCs w:val="21"/>
        </w:rPr>
        <w:t>标准</w:t>
      </w:r>
      <w:r w:rsidR="00C44C31" w:rsidRPr="00EA13FD">
        <w:rPr>
          <w:rFonts w:ascii="微软雅黑" w:eastAsia="微软雅黑" w:hAnsi="微软雅黑" w:hint="eastAsia"/>
          <w:szCs w:val="21"/>
        </w:rPr>
        <w:t>，金融理财类APP主要包含彩票、银行、股票、支付、综合理财、网络小贷、保险、记账和其他等小类。</w:t>
      </w:r>
      <w:r w:rsidRPr="00EA13FD">
        <w:rPr>
          <w:rFonts w:ascii="微软雅黑" w:eastAsia="微软雅黑" w:hAnsi="微软雅黑" w:hint="eastAsia"/>
          <w:szCs w:val="21"/>
        </w:rPr>
        <w:t>当前</w:t>
      </w:r>
      <w:r w:rsidR="00341B84" w:rsidRPr="00EA13FD">
        <w:rPr>
          <w:rFonts w:ascii="微软雅黑" w:eastAsia="微软雅黑" w:hAnsi="微软雅黑" w:hint="eastAsia"/>
          <w:szCs w:val="21"/>
        </w:rPr>
        <w:t>，</w:t>
      </w:r>
      <w:r w:rsidRPr="00EA13FD">
        <w:rPr>
          <w:rFonts w:ascii="微软雅黑" w:eastAsia="微软雅黑" w:hAnsi="微软雅黑" w:hint="eastAsia"/>
          <w:szCs w:val="21"/>
        </w:rPr>
        <w:t>在金融理财类APP中，</w:t>
      </w:r>
      <w:r w:rsidR="00C44C31" w:rsidRPr="00EA13FD">
        <w:rPr>
          <w:rFonts w:ascii="微软雅黑" w:eastAsia="微软雅黑" w:hAnsi="微软雅黑" w:hint="eastAsia"/>
          <w:szCs w:val="21"/>
        </w:rPr>
        <w:t>支付、股票和银行等小类</w:t>
      </w:r>
      <w:r w:rsidRPr="00EA13FD">
        <w:rPr>
          <w:rFonts w:ascii="微软雅黑" w:eastAsia="微软雅黑" w:hAnsi="微软雅黑" w:hint="eastAsia"/>
          <w:szCs w:val="21"/>
        </w:rPr>
        <w:t>的</w:t>
      </w:r>
      <w:r w:rsidR="00C44C31" w:rsidRPr="00EA13FD">
        <w:rPr>
          <w:rFonts w:ascii="微软雅黑" w:eastAsia="微软雅黑" w:hAnsi="微软雅黑" w:hint="eastAsia"/>
          <w:szCs w:val="21"/>
        </w:rPr>
        <w:t>活跃度相对较高，</w:t>
      </w:r>
      <w:r w:rsidRPr="00EA13FD">
        <w:rPr>
          <w:rFonts w:ascii="微软雅黑" w:eastAsia="微软雅黑" w:hAnsi="微软雅黑" w:hint="eastAsia"/>
          <w:szCs w:val="21"/>
        </w:rPr>
        <w:t>尤其是</w:t>
      </w:r>
      <w:r w:rsidR="00C44C31" w:rsidRPr="00EA13FD">
        <w:rPr>
          <w:rFonts w:ascii="微软雅黑" w:eastAsia="微软雅黑" w:hAnsi="微软雅黑" w:hint="eastAsia"/>
          <w:szCs w:val="21"/>
        </w:rPr>
        <w:t>支付宝</w:t>
      </w:r>
      <w:r w:rsidRPr="00EA13FD">
        <w:rPr>
          <w:rFonts w:ascii="微软雅黑" w:eastAsia="微软雅黑" w:hAnsi="微软雅黑" w:hint="eastAsia"/>
          <w:szCs w:val="21"/>
        </w:rPr>
        <w:t>作为人们日常支付的主流渠道之一，活跃度大幅领先于翼支付、和包支付、云闪付、华为钱包、壹钱包</w:t>
      </w:r>
      <w:r w:rsidR="000018D2" w:rsidRPr="00EA13FD">
        <w:rPr>
          <w:rFonts w:ascii="微软雅黑" w:eastAsia="微软雅黑" w:hAnsi="微软雅黑" w:hint="eastAsia"/>
          <w:szCs w:val="21"/>
        </w:rPr>
        <w:t>和</w:t>
      </w:r>
      <w:r w:rsidRPr="00EA13FD">
        <w:rPr>
          <w:rFonts w:ascii="微软雅黑" w:eastAsia="微软雅黑" w:hAnsi="微软雅黑" w:hint="eastAsia"/>
          <w:szCs w:val="21"/>
        </w:rPr>
        <w:t>百度钱包等应用</w:t>
      </w:r>
      <w:r w:rsidR="00C44C31" w:rsidRPr="00EA13FD">
        <w:rPr>
          <w:rFonts w:ascii="微软雅黑" w:eastAsia="微软雅黑" w:hAnsi="微软雅黑" w:hint="eastAsia"/>
          <w:szCs w:val="21"/>
        </w:rPr>
        <w:t>。</w:t>
      </w:r>
    </w:p>
    <w:p w:rsidR="00C44C31" w:rsidRPr="00EA13FD" w:rsidRDefault="00341B84" w:rsidP="00C44C31">
      <w:pPr>
        <w:snapToGrid w:val="0"/>
        <w:spacing w:line="400" w:lineRule="exact"/>
        <w:ind w:firstLineChars="202" w:firstLine="424"/>
        <w:rPr>
          <w:rFonts w:ascii="微软雅黑" w:eastAsia="微软雅黑" w:hAnsi="微软雅黑"/>
          <w:szCs w:val="21"/>
        </w:rPr>
      </w:pPr>
      <w:r w:rsidRPr="00EA13FD">
        <w:rPr>
          <w:rFonts w:ascii="微软雅黑" w:eastAsia="微软雅黑" w:hAnsi="微软雅黑" w:hint="eastAsia"/>
          <w:szCs w:val="21"/>
        </w:rPr>
        <w:t>2.</w:t>
      </w:r>
      <w:r w:rsidR="00765621" w:rsidRPr="00EA13FD">
        <w:rPr>
          <w:rFonts w:ascii="微软雅黑" w:eastAsia="微软雅黑" w:hAnsi="微软雅黑" w:hint="eastAsia"/>
          <w:szCs w:val="21"/>
        </w:rPr>
        <w:t>微信支付</w:t>
      </w:r>
      <w:r w:rsidRPr="00EA13FD">
        <w:rPr>
          <w:rFonts w:ascii="微软雅黑" w:eastAsia="微软雅黑" w:hAnsi="微软雅黑" w:hint="eastAsia"/>
          <w:szCs w:val="21"/>
        </w:rPr>
        <w:t>也是</w:t>
      </w:r>
      <w:r w:rsidR="00765621" w:rsidRPr="00EA13FD">
        <w:rPr>
          <w:rFonts w:ascii="微软雅黑" w:eastAsia="微软雅黑" w:hAnsi="微软雅黑" w:hint="eastAsia"/>
          <w:szCs w:val="21"/>
        </w:rPr>
        <w:t>当前</w:t>
      </w:r>
      <w:r w:rsidRPr="00EA13FD">
        <w:rPr>
          <w:rFonts w:ascii="微软雅黑" w:eastAsia="微软雅黑" w:hAnsi="微软雅黑" w:hint="eastAsia"/>
          <w:szCs w:val="21"/>
        </w:rPr>
        <w:t>主流的支付方式之一，</w:t>
      </w:r>
      <w:r w:rsidR="00765621" w:rsidRPr="00EA13FD">
        <w:rPr>
          <w:rFonts w:ascii="微软雅黑" w:eastAsia="微软雅黑" w:hAnsi="微软雅黑" w:hint="eastAsia"/>
          <w:szCs w:val="21"/>
        </w:rPr>
        <w:t>但微信支付</w:t>
      </w:r>
      <w:r w:rsidRPr="00EA13FD">
        <w:rPr>
          <w:rFonts w:ascii="微软雅黑" w:eastAsia="微软雅黑" w:hAnsi="微软雅黑" w:hint="eastAsia"/>
          <w:szCs w:val="21"/>
        </w:rPr>
        <w:t>的区别在于其</w:t>
      </w:r>
      <w:r w:rsidR="00765621" w:rsidRPr="00EA13FD">
        <w:rPr>
          <w:rFonts w:ascii="微软雅黑" w:eastAsia="微软雅黑" w:hAnsi="微软雅黑" w:hint="eastAsia"/>
          <w:szCs w:val="21"/>
        </w:rPr>
        <w:t>是作为微信的一项服务</w:t>
      </w:r>
      <w:r w:rsidRPr="00EA13FD">
        <w:rPr>
          <w:rFonts w:ascii="微软雅黑" w:eastAsia="微软雅黑" w:hAnsi="微软雅黑" w:hint="eastAsia"/>
          <w:szCs w:val="21"/>
        </w:rPr>
        <w:t>功能</w:t>
      </w:r>
      <w:r w:rsidR="00765621" w:rsidRPr="00EA13FD">
        <w:rPr>
          <w:rFonts w:ascii="微软雅黑" w:eastAsia="微软雅黑" w:hAnsi="微软雅黑" w:hint="eastAsia"/>
          <w:szCs w:val="21"/>
        </w:rPr>
        <w:t>而存在的，并非是独立的</w:t>
      </w:r>
      <w:r w:rsidRPr="00EA13FD">
        <w:rPr>
          <w:rFonts w:ascii="微软雅黑" w:eastAsia="微软雅黑" w:hAnsi="微软雅黑" w:hint="eastAsia"/>
          <w:szCs w:val="21"/>
        </w:rPr>
        <w:t>APP</w:t>
      </w:r>
      <w:r w:rsidR="00765621" w:rsidRPr="00EA13FD">
        <w:rPr>
          <w:rFonts w:ascii="微软雅黑" w:eastAsia="微软雅黑" w:hAnsi="微软雅黑" w:hint="eastAsia"/>
          <w:szCs w:val="21"/>
        </w:rPr>
        <w:t>应用</w:t>
      </w:r>
      <w:r w:rsidRPr="00EA13FD">
        <w:rPr>
          <w:rFonts w:ascii="微软雅黑" w:eastAsia="微软雅黑" w:hAnsi="微软雅黑" w:hint="eastAsia"/>
          <w:szCs w:val="21"/>
        </w:rPr>
        <w:t>。</w:t>
      </w:r>
      <w:r w:rsidR="004A2BC5">
        <w:rPr>
          <w:rFonts w:ascii="微软雅黑" w:eastAsia="微软雅黑" w:hAnsi="微软雅黑" w:hint="eastAsia"/>
          <w:szCs w:val="21"/>
        </w:rPr>
        <w:t>从APP的功能</w:t>
      </w:r>
      <w:r w:rsidRPr="00EA13FD">
        <w:rPr>
          <w:rFonts w:ascii="微软雅黑" w:eastAsia="微软雅黑" w:hAnsi="微软雅黑" w:hint="eastAsia"/>
          <w:szCs w:val="21"/>
        </w:rPr>
        <w:t>来看，微信的即时通讯和社交属性</w:t>
      </w:r>
      <w:r w:rsidR="004A2BC5">
        <w:rPr>
          <w:rFonts w:ascii="微软雅黑" w:eastAsia="微软雅黑" w:hAnsi="微软雅黑" w:hint="eastAsia"/>
          <w:szCs w:val="21"/>
        </w:rPr>
        <w:t>是</w:t>
      </w:r>
      <w:r w:rsidRPr="00EA13FD">
        <w:rPr>
          <w:rFonts w:ascii="微软雅黑" w:eastAsia="微软雅黑" w:hAnsi="微软雅黑" w:hint="eastAsia"/>
          <w:szCs w:val="21"/>
        </w:rPr>
        <w:t>更重</w:t>
      </w:r>
      <w:r w:rsidR="004A2BC5">
        <w:rPr>
          <w:rFonts w:ascii="微软雅黑" w:eastAsia="微软雅黑" w:hAnsi="微软雅黑" w:hint="eastAsia"/>
          <w:szCs w:val="21"/>
        </w:rPr>
        <w:t>的</w:t>
      </w:r>
      <w:r w:rsidRPr="00EA13FD">
        <w:rPr>
          <w:rFonts w:ascii="微软雅黑" w:eastAsia="微软雅黑" w:hAnsi="微软雅黑" w:hint="eastAsia"/>
          <w:szCs w:val="21"/>
        </w:rPr>
        <w:t>，因此不适合将微信纳入到金融理财的支付小类进行比较。</w:t>
      </w:r>
      <w:r w:rsidR="0059303E">
        <w:rPr>
          <w:rFonts w:ascii="微软雅黑" w:eastAsia="微软雅黑" w:hAnsi="微软雅黑" w:hint="eastAsia"/>
          <w:szCs w:val="21"/>
        </w:rPr>
        <w:t>同时，由于微信支付数据的封闭性，也难以获取相关数据进行对比分析。</w:t>
      </w:r>
    </w:p>
    <w:p w:rsidR="00786257" w:rsidRPr="009D423B" w:rsidRDefault="00786257" w:rsidP="00786257">
      <w:pPr>
        <w:snapToGrid w:val="0"/>
        <w:spacing w:line="400" w:lineRule="exact"/>
        <w:outlineLvl w:val="3"/>
        <w:rPr>
          <w:rFonts w:ascii="微软雅黑" w:eastAsia="微软雅黑" w:hAnsi="微软雅黑"/>
          <w:b/>
          <w:szCs w:val="21"/>
        </w:rPr>
      </w:pPr>
      <w:bookmarkStart w:id="231" w:name="_Toc485132101"/>
      <w:bookmarkStart w:id="232" w:name="_Toc519837701"/>
      <w:bookmarkStart w:id="233" w:name="_Toc524418000"/>
      <w:bookmarkStart w:id="234" w:name="_Toc447029454"/>
      <w:r w:rsidRPr="009D423B">
        <w:rPr>
          <w:rFonts w:ascii="微软雅黑" w:eastAsia="微软雅黑" w:hAnsi="微软雅黑" w:hint="eastAsia"/>
          <w:b/>
          <w:szCs w:val="21"/>
        </w:rPr>
        <w:t>6.使用电子商务App情况</w:t>
      </w:r>
      <w:bookmarkEnd w:id="231"/>
      <w:bookmarkEnd w:id="232"/>
      <w:bookmarkEnd w:id="233"/>
    </w:p>
    <w:p w:rsidR="00786257" w:rsidRPr="009D423B" w:rsidRDefault="00CA2950"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Pr="006971DA" w:rsidRDefault="00CA2950"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电子商务APP的</w:t>
      </w:r>
      <w:r>
        <w:rPr>
          <w:rFonts w:ascii="微软雅黑" w:eastAsia="微软雅黑" w:hAnsi="微软雅黑" w:hint="eastAsia"/>
          <w:szCs w:val="21"/>
        </w:rPr>
        <w:t>月独立设备数持续快速增长，截至12月达到2539.4万台，较2016年12月增加24.9%。从使用</w:t>
      </w:r>
      <w:r w:rsidRPr="009D423B">
        <w:rPr>
          <w:rFonts w:ascii="微软雅黑" w:eastAsia="微软雅黑" w:hAnsi="微软雅黑" w:hint="eastAsia"/>
          <w:szCs w:val="21"/>
        </w:rPr>
        <w:t>电子商务APP</w:t>
      </w:r>
      <w:r>
        <w:rPr>
          <w:rFonts w:ascii="微软雅黑" w:eastAsia="微软雅黑" w:hAnsi="微软雅黑" w:hint="eastAsia"/>
          <w:szCs w:val="21"/>
        </w:rPr>
        <w:t>月独立设备数比例来看，下半年显著高于上半年，全年均值为64.0%。其中，双十一的月独立设备数比例是全年最高的，达到73.2%。</w:t>
      </w:r>
    </w:p>
    <w:p w:rsidR="00786257" w:rsidRPr="009D423B" w:rsidRDefault="00786257" w:rsidP="00786257">
      <w:pPr>
        <w:jc w:val="center"/>
        <w:rPr>
          <w:szCs w:val="21"/>
        </w:rPr>
      </w:pPr>
      <w:r>
        <w:rPr>
          <w:noProof/>
        </w:rPr>
        <w:drawing>
          <wp:inline distT="0" distB="0" distL="0" distR="0">
            <wp:extent cx="4809600" cy="2880000"/>
            <wp:effectExtent l="0" t="0" r="10160" b="15875"/>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786257" w:rsidRPr="009D423B" w:rsidRDefault="00C564F4" w:rsidP="00786257">
      <w:pPr>
        <w:pStyle w:val="ab"/>
      </w:pPr>
      <w:bookmarkStart w:id="235" w:name="_Toc483275501"/>
      <w:bookmarkStart w:id="236" w:name="_Toc491880403"/>
      <w:bookmarkStart w:id="237" w:name="_Toc524418179"/>
      <w:r>
        <w:rPr>
          <w:rFonts w:hint="eastAsia"/>
        </w:rPr>
        <w:t>图4-</w:t>
      </w:r>
      <w:r w:rsidR="00786257">
        <w:rPr>
          <w:rFonts w:hint="eastAsia"/>
        </w:rPr>
        <w:t>3</w:t>
      </w:r>
      <w:r w:rsidR="00014228">
        <w:rPr>
          <w:rFonts w:hint="eastAsia"/>
        </w:rPr>
        <w:t>4</w:t>
      </w:r>
      <w:r w:rsidR="00786257" w:rsidRPr="009D423B">
        <w:t xml:space="preserve">  </w:t>
      </w:r>
      <w:r w:rsidR="00786257">
        <w:rPr>
          <w:rFonts w:hint="eastAsia"/>
        </w:rPr>
        <w:t>2017年陕西省网民</w:t>
      </w:r>
      <w:r w:rsidR="00786257" w:rsidRPr="009D423B">
        <w:rPr>
          <w:rFonts w:hint="eastAsia"/>
        </w:rPr>
        <w:t>使用电子商务服务</w:t>
      </w:r>
      <w:bookmarkEnd w:id="235"/>
      <w:bookmarkEnd w:id="236"/>
      <w:r w:rsidR="00786257">
        <w:rPr>
          <w:rFonts w:hint="eastAsia"/>
        </w:rPr>
        <w:t>月独立设备数比例</w:t>
      </w:r>
      <w:bookmarkEnd w:id="237"/>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C778E1" w:rsidRDefault="00786257" w:rsidP="00786257">
      <w:pPr>
        <w:snapToGrid w:val="0"/>
        <w:spacing w:line="400" w:lineRule="exact"/>
        <w:ind w:firstLineChars="202" w:firstLine="424"/>
        <w:rPr>
          <w:rFonts w:ascii="微软雅黑" w:eastAsia="微软雅黑" w:hAnsi="微软雅黑" w:cs="宋体"/>
          <w:bCs/>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使用电子商务APP的单机使用天数保持稳定</w:t>
      </w:r>
      <w:r>
        <w:rPr>
          <w:rFonts w:ascii="微软雅黑" w:eastAsia="微软雅黑" w:hAnsi="微软雅黑" w:hint="eastAsia"/>
          <w:szCs w:val="21"/>
        </w:rPr>
        <w:t>，全年均值为7.4，但与2016年相比则降低了0.4天。整体来看，</w:t>
      </w:r>
      <w:r w:rsidRPr="009D423B">
        <w:rPr>
          <w:rFonts w:ascii="微软雅黑" w:eastAsia="微软雅黑" w:hAnsi="微软雅黑" w:hint="eastAsia"/>
          <w:szCs w:val="21"/>
        </w:rPr>
        <w:t>电子商务</w:t>
      </w:r>
      <w:r>
        <w:rPr>
          <w:rFonts w:ascii="微软雅黑" w:eastAsia="微软雅黑" w:hAnsi="微软雅黑" w:hint="eastAsia"/>
          <w:szCs w:val="21"/>
        </w:rPr>
        <w:t>AP</w:t>
      </w:r>
      <w:r w:rsidRPr="00C778E1">
        <w:rPr>
          <w:rFonts w:ascii="微软雅黑" w:eastAsia="微软雅黑" w:hAnsi="微软雅黑" w:hint="eastAsia"/>
          <w:szCs w:val="21"/>
        </w:rPr>
        <w:t>P单机使用天数在</w:t>
      </w:r>
      <w:r w:rsidRPr="009D423B">
        <w:rPr>
          <w:rFonts w:ascii="微软雅黑" w:eastAsia="微软雅黑" w:hAnsi="微软雅黑"/>
          <w:szCs w:val="21"/>
        </w:rPr>
        <w:t>各类服务中</w:t>
      </w:r>
      <w:r w:rsidRPr="009D423B">
        <w:rPr>
          <w:rFonts w:ascii="微软雅黑" w:eastAsia="微软雅黑" w:hAnsi="微软雅黑" w:hint="eastAsia"/>
          <w:szCs w:val="21"/>
        </w:rPr>
        <w:t>属于中等</w:t>
      </w:r>
      <w:r w:rsidRPr="009D423B">
        <w:rPr>
          <w:rFonts w:ascii="微软雅黑" w:eastAsia="微软雅黑" w:hAnsi="微软雅黑"/>
          <w:szCs w:val="21"/>
        </w:rPr>
        <w:t>水平。</w:t>
      </w:r>
    </w:p>
    <w:p w:rsidR="00786257" w:rsidRPr="009D423B" w:rsidRDefault="00786257" w:rsidP="00786257">
      <w:pPr>
        <w:jc w:val="center"/>
        <w:rPr>
          <w:szCs w:val="21"/>
        </w:rPr>
      </w:pPr>
      <w:r>
        <w:rPr>
          <w:noProof/>
        </w:rPr>
        <w:drawing>
          <wp:inline distT="0" distB="0" distL="0" distR="0">
            <wp:extent cx="4809600" cy="2880000"/>
            <wp:effectExtent l="0" t="0" r="10160" b="1587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86257" w:rsidRPr="009D423B" w:rsidRDefault="00C564F4" w:rsidP="00786257">
      <w:pPr>
        <w:pStyle w:val="ab"/>
      </w:pPr>
      <w:bookmarkStart w:id="238" w:name="_Toc483275502"/>
      <w:bookmarkStart w:id="239" w:name="_Toc491880404"/>
      <w:bookmarkStart w:id="240" w:name="_Toc524418180"/>
      <w:r>
        <w:rPr>
          <w:rFonts w:hint="eastAsia"/>
        </w:rPr>
        <w:t>图4-</w:t>
      </w:r>
      <w:r w:rsidR="00786257">
        <w:rPr>
          <w:rFonts w:hint="eastAsia"/>
        </w:rPr>
        <w:t>3</w:t>
      </w:r>
      <w:r w:rsidR="00014228">
        <w:rPr>
          <w:rFonts w:hint="eastAsia"/>
        </w:rPr>
        <w:t>5</w:t>
      </w:r>
      <w:r w:rsidR="00786257" w:rsidRPr="009D423B">
        <w:t xml:space="preserve">  </w:t>
      </w:r>
      <w:r w:rsidR="00786257">
        <w:rPr>
          <w:rFonts w:hint="eastAsia"/>
        </w:rPr>
        <w:t>2017年陕西省网民</w:t>
      </w:r>
      <w:r w:rsidR="00786257" w:rsidRPr="009D423B">
        <w:rPr>
          <w:rFonts w:hint="eastAsia"/>
        </w:rPr>
        <w:t>使用电子商务服务单机使用天数</w:t>
      </w:r>
      <w:bookmarkEnd w:id="238"/>
      <w:bookmarkEnd w:id="239"/>
      <w:bookmarkEnd w:id="240"/>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Default="00786257" w:rsidP="00786257">
      <w:pPr>
        <w:snapToGrid w:val="0"/>
        <w:spacing w:line="400" w:lineRule="exact"/>
        <w:ind w:firstLineChars="202" w:firstLine="424"/>
        <w:rPr>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使用电子商务APP的单机单日使用次数</w:t>
      </w:r>
      <w:r>
        <w:rPr>
          <w:rFonts w:ascii="微软雅黑" w:eastAsia="微软雅黑" w:hAnsi="微软雅黑" w:hint="eastAsia"/>
          <w:szCs w:val="21"/>
        </w:rPr>
        <w:t>有所增长</w:t>
      </w:r>
      <w:r w:rsidRPr="009D423B">
        <w:rPr>
          <w:rFonts w:ascii="微软雅黑" w:eastAsia="微软雅黑" w:hAnsi="微软雅黑" w:hint="eastAsia"/>
          <w:szCs w:val="21"/>
        </w:rPr>
        <w:t>，</w:t>
      </w:r>
      <w:r>
        <w:rPr>
          <w:rFonts w:ascii="微软雅黑" w:eastAsia="微软雅黑" w:hAnsi="微软雅黑" w:hint="eastAsia"/>
          <w:szCs w:val="21"/>
        </w:rPr>
        <w:t>全年平均值为4.5次，较2016年提高了0.2次。</w:t>
      </w:r>
    </w:p>
    <w:p w:rsidR="00786257" w:rsidRPr="009D423B" w:rsidRDefault="00786257" w:rsidP="00786257">
      <w:pPr>
        <w:jc w:val="center"/>
        <w:rPr>
          <w:szCs w:val="21"/>
        </w:rPr>
      </w:pPr>
      <w:r>
        <w:rPr>
          <w:noProof/>
        </w:rPr>
        <w:drawing>
          <wp:inline distT="0" distB="0" distL="0" distR="0">
            <wp:extent cx="4809600" cy="2880000"/>
            <wp:effectExtent l="0" t="0" r="10160" b="1587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786257" w:rsidRPr="009D423B" w:rsidRDefault="00C564F4" w:rsidP="00786257">
      <w:pPr>
        <w:pStyle w:val="ab"/>
      </w:pPr>
      <w:bookmarkStart w:id="241" w:name="_Toc483275503"/>
      <w:bookmarkStart w:id="242" w:name="_Toc491880405"/>
      <w:bookmarkStart w:id="243" w:name="_Toc524418181"/>
      <w:r>
        <w:rPr>
          <w:rFonts w:hint="eastAsia"/>
        </w:rPr>
        <w:t>图4-</w:t>
      </w:r>
      <w:r w:rsidR="00786257">
        <w:rPr>
          <w:rFonts w:hint="eastAsia"/>
        </w:rPr>
        <w:t>3</w:t>
      </w:r>
      <w:r w:rsidR="00014228">
        <w:rPr>
          <w:rFonts w:hint="eastAsia"/>
        </w:rPr>
        <w:t>6</w:t>
      </w:r>
      <w:r w:rsidR="00786257" w:rsidRPr="009D423B">
        <w:t xml:space="preserve">  </w:t>
      </w:r>
      <w:r w:rsidR="00786257">
        <w:rPr>
          <w:rFonts w:hint="eastAsia"/>
        </w:rPr>
        <w:t>2017年陕西省网民</w:t>
      </w:r>
      <w:r w:rsidR="00786257" w:rsidRPr="009D423B">
        <w:rPr>
          <w:rFonts w:hint="eastAsia"/>
        </w:rPr>
        <w:t>使用电子商务服务单机单日使用次数</w:t>
      </w:r>
      <w:bookmarkEnd w:id="241"/>
      <w:bookmarkEnd w:id="242"/>
      <w:bookmarkEnd w:id="243"/>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Pr="00387EF5"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使用电子商务APP的单机单次有效时间</w:t>
      </w:r>
      <w:r>
        <w:rPr>
          <w:rFonts w:ascii="微软雅黑" w:eastAsia="微软雅黑" w:hAnsi="微软雅黑" w:hint="eastAsia"/>
          <w:szCs w:val="21"/>
        </w:rPr>
        <w:t>均值为3.9分钟，较2016年提升了0.1分钟。整体来看，网民使用</w:t>
      </w:r>
      <w:r w:rsidRPr="009D423B">
        <w:rPr>
          <w:rFonts w:ascii="微软雅黑" w:eastAsia="微软雅黑" w:hAnsi="微软雅黑" w:hint="eastAsia"/>
          <w:szCs w:val="21"/>
        </w:rPr>
        <w:t>电子商务APP</w:t>
      </w:r>
      <w:r>
        <w:rPr>
          <w:rFonts w:ascii="微软雅黑" w:eastAsia="微软雅黑" w:hAnsi="微软雅黑" w:hint="eastAsia"/>
          <w:szCs w:val="21"/>
        </w:rPr>
        <w:t>的</w:t>
      </w:r>
      <w:r w:rsidRPr="00387EF5">
        <w:rPr>
          <w:rFonts w:ascii="微软雅黑" w:eastAsia="微软雅黑" w:hAnsi="微软雅黑" w:hint="eastAsia"/>
          <w:szCs w:val="21"/>
        </w:rPr>
        <w:t>单机</w:t>
      </w:r>
      <w:r>
        <w:rPr>
          <w:rFonts w:ascii="微软雅黑" w:eastAsia="微软雅黑" w:hAnsi="微软雅黑" w:hint="eastAsia"/>
          <w:szCs w:val="21"/>
        </w:rPr>
        <w:t>单日</w:t>
      </w:r>
      <w:r w:rsidRPr="00387EF5">
        <w:rPr>
          <w:rFonts w:ascii="微软雅黑" w:eastAsia="微软雅黑" w:hAnsi="微软雅黑" w:hint="eastAsia"/>
          <w:szCs w:val="21"/>
        </w:rPr>
        <w:t>有效时间</w:t>
      </w:r>
      <w:r>
        <w:rPr>
          <w:rFonts w:ascii="微软雅黑" w:eastAsia="微软雅黑" w:hAnsi="微软雅黑" w:hint="eastAsia"/>
          <w:szCs w:val="21"/>
        </w:rPr>
        <w:t>保持在15~20分钟之间，在移动端</w:t>
      </w:r>
      <w:r w:rsidRPr="009D423B">
        <w:rPr>
          <w:rFonts w:ascii="微软雅黑" w:eastAsia="微软雅黑" w:hAnsi="微软雅黑"/>
          <w:szCs w:val="21"/>
        </w:rPr>
        <w:t>各类服务中</w:t>
      </w:r>
      <w:r>
        <w:rPr>
          <w:rFonts w:ascii="微软雅黑" w:eastAsia="微软雅黑" w:hAnsi="微软雅黑"/>
          <w:szCs w:val="21"/>
        </w:rPr>
        <w:t>处于中等水平</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786257" w:rsidRPr="009D423B" w:rsidRDefault="00C564F4" w:rsidP="00786257">
      <w:pPr>
        <w:pStyle w:val="ab"/>
      </w:pPr>
      <w:bookmarkStart w:id="244" w:name="_Toc483275504"/>
      <w:bookmarkStart w:id="245" w:name="_Toc491880406"/>
      <w:bookmarkStart w:id="246" w:name="_Toc524418182"/>
      <w:r>
        <w:rPr>
          <w:rFonts w:hint="eastAsia"/>
        </w:rPr>
        <w:t>图4-</w:t>
      </w:r>
      <w:r w:rsidR="00786257">
        <w:rPr>
          <w:rFonts w:hint="eastAsia"/>
        </w:rPr>
        <w:t>3</w:t>
      </w:r>
      <w:r w:rsidR="00014228">
        <w:rPr>
          <w:rFonts w:hint="eastAsia"/>
        </w:rPr>
        <w:t>7</w:t>
      </w:r>
      <w:r w:rsidR="00786257" w:rsidRPr="009D423B">
        <w:t xml:space="preserve">  </w:t>
      </w:r>
      <w:r w:rsidR="00786257">
        <w:rPr>
          <w:rFonts w:hint="eastAsia"/>
        </w:rPr>
        <w:t>2017年陕西省网民</w:t>
      </w:r>
      <w:r w:rsidR="00786257" w:rsidRPr="009D423B">
        <w:rPr>
          <w:rFonts w:hint="eastAsia"/>
        </w:rPr>
        <w:t>使用电子商务服务单机单次有效时间</w:t>
      </w:r>
      <w:bookmarkEnd w:id="244"/>
      <w:bookmarkEnd w:id="245"/>
      <w:bookmarkEnd w:id="246"/>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Pr="00105551"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12月，</w:t>
      </w:r>
      <w:r>
        <w:rPr>
          <w:rFonts w:ascii="微软雅黑" w:eastAsia="微软雅黑" w:hAnsi="微软雅黑" w:hint="eastAsia"/>
          <w:szCs w:val="21"/>
        </w:rPr>
        <w:t>陕西省网民</w:t>
      </w:r>
      <w:r w:rsidRPr="009D423B">
        <w:rPr>
          <w:rFonts w:ascii="微软雅黑" w:eastAsia="微软雅黑" w:hAnsi="微软雅黑"/>
          <w:szCs w:val="21"/>
        </w:rPr>
        <w:t>最常用的</w:t>
      </w:r>
      <w:r w:rsidRPr="009D423B">
        <w:rPr>
          <w:rFonts w:ascii="微软雅黑" w:eastAsia="微软雅黑" w:hAnsi="微软雅黑" w:hint="eastAsia"/>
          <w:szCs w:val="21"/>
        </w:rPr>
        <w:t>电子商务</w:t>
      </w:r>
      <w:r w:rsidRPr="009D423B">
        <w:rPr>
          <w:rFonts w:ascii="微软雅黑" w:eastAsia="微软雅黑" w:hAnsi="微软雅黑"/>
          <w:szCs w:val="21"/>
        </w:rPr>
        <w:t>类</w:t>
      </w:r>
      <w:r w:rsidRPr="009D423B">
        <w:rPr>
          <w:rFonts w:ascii="微软雅黑" w:eastAsia="微软雅黑" w:hAnsi="微软雅黑" w:hint="eastAsia"/>
          <w:szCs w:val="21"/>
        </w:rPr>
        <w:t>APP中</w:t>
      </w:r>
      <w:r w:rsidRPr="009D423B">
        <w:rPr>
          <w:rFonts w:ascii="微软雅黑" w:eastAsia="微软雅黑" w:hAnsi="微软雅黑"/>
          <w:szCs w:val="21"/>
        </w:rPr>
        <w:t>，</w:t>
      </w:r>
      <w:r w:rsidRPr="009D423B">
        <w:rPr>
          <w:rFonts w:ascii="微软雅黑" w:eastAsia="微软雅黑" w:hAnsi="微软雅黑" w:hint="eastAsia"/>
          <w:szCs w:val="21"/>
        </w:rPr>
        <w:t>手机淘宝</w:t>
      </w:r>
      <w:r>
        <w:rPr>
          <w:rFonts w:ascii="微软雅黑" w:eastAsia="微软雅黑" w:hAnsi="微软雅黑" w:hint="eastAsia"/>
          <w:szCs w:val="21"/>
        </w:rPr>
        <w:t>以72.2%的月独立设备数比例位列第一，领先优势巨大；京东商城以30.6%的比例位列第二。值得注意的是，近年来出现的电商黑马“拼多多”首次冲入前十行列，以21.1%的月独立设备数比例位列第四，与排在第三位的美团基本相当。</w:t>
      </w:r>
    </w:p>
    <w:p w:rsidR="00786257" w:rsidRPr="009D423B" w:rsidRDefault="00786257" w:rsidP="00786257">
      <w:pPr>
        <w:jc w:val="center"/>
        <w:rPr>
          <w:szCs w:val="21"/>
        </w:rPr>
      </w:pPr>
      <w:r>
        <w:rPr>
          <w:noProof/>
        </w:rPr>
        <w:drawing>
          <wp:inline distT="0" distB="0" distL="0" distR="0">
            <wp:extent cx="4798800" cy="3240000"/>
            <wp:effectExtent l="0" t="0" r="20955" b="17780"/>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86257" w:rsidRPr="009D423B" w:rsidRDefault="00C564F4" w:rsidP="00786257">
      <w:pPr>
        <w:pStyle w:val="ab"/>
      </w:pPr>
      <w:bookmarkStart w:id="247" w:name="_Toc483275505"/>
      <w:bookmarkStart w:id="248" w:name="_Toc491880407"/>
      <w:bookmarkStart w:id="249" w:name="_Toc524418183"/>
      <w:r>
        <w:rPr>
          <w:rFonts w:hint="eastAsia"/>
        </w:rPr>
        <w:t>图4-</w:t>
      </w:r>
      <w:r w:rsidR="00786257" w:rsidRPr="009D423B">
        <w:rPr>
          <w:rFonts w:hint="eastAsia"/>
        </w:rPr>
        <w:t>3</w:t>
      </w:r>
      <w:r w:rsidR="00014228">
        <w:rPr>
          <w:rFonts w:hint="eastAsia"/>
        </w:rPr>
        <w:t>8</w:t>
      </w:r>
      <w:r w:rsidR="00786257" w:rsidRPr="009D423B">
        <w:t xml:space="preserve">  </w:t>
      </w:r>
      <w:r w:rsidR="00786257">
        <w:rPr>
          <w:rFonts w:hint="eastAsia"/>
        </w:rPr>
        <w:t>2017年</w:t>
      </w:r>
      <w:r w:rsidR="00786257" w:rsidRPr="009D423B">
        <w:rPr>
          <w:rFonts w:hint="eastAsia"/>
        </w:rPr>
        <w:t>12月</w:t>
      </w:r>
      <w:r w:rsidR="00786257">
        <w:rPr>
          <w:rFonts w:hint="eastAsia"/>
        </w:rPr>
        <w:t>陕西省网民</w:t>
      </w:r>
      <w:r w:rsidR="00786257" w:rsidRPr="009D423B">
        <w:rPr>
          <w:rFonts w:hint="eastAsia"/>
        </w:rPr>
        <w:t>常用电子商务类APP</w:t>
      </w:r>
      <w:bookmarkEnd w:id="247"/>
      <w:bookmarkEnd w:id="248"/>
      <w:bookmarkEnd w:id="249"/>
    </w:p>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250" w:name="_Toc519837702"/>
      <w:bookmarkStart w:id="251" w:name="_Toc524418001"/>
      <w:r w:rsidRPr="009D423B">
        <w:rPr>
          <w:rFonts w:ascii="微软雅黑" w:eastAsia="微软雅黑" w:hAnsi="微软雅黑" w:hint="eastAsia"/>
          <w:b/>
          <w:szCs w:val="21"/>
        </w:rPr>
        <w:t>7.使用游戏服务App情况</w:t>
      </w:r>
      <w:bookmarkEnd w:id="250"/>
      <w:bookmarkEnd w:id="251"/>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Pr="00C23460"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游戏APP的</w:t>
      </w:r>
      <w:r>
        <w:rPr>
          <w:rFonts w:ascii="微软雅黑" w:eastAsia="微软雅黑" w:hAnsi="微软雅黑" w:hint="eastAsia"/>
          <w:szCs w:val="21"/>
        </w:rPr>
        <w:t>月独立设备数</w:t>
      </w:r>
      <w:r w:rsidRPr="009D423B">
        <w:rPr>
          <w:rFonts w:ascii="微软雅黑" w:eastAsia="微软雅黑" w:hAnsi="微软雅黑" w:hint="eastAsia"/>
          <w:szCs w:val="21"/>
        </w:rPr>
        <w:t>整体呈上升</w:t>
      </w:r>
      <w:r w:rsidRPr="009D423B">
        <w:rPr>
          <w:rFonts w:ascii="微软雅黑" w:eastAsia="微软雅黑" w:hAnsi="微软雅黑"/>
          <w:szCs w:val="21"/>
        </w:rPr>
        <w:t>趋</w:t>
      </w:r>
      <w:r w:rsidRPr="009D423B">
        <w:rPr>
          <w:rFonts w:ascii="微软雅黑" w:eastAsia="微软雅黑" w:hAnsi="微软雅黑" w:hint="eastAsia"/>
          <w:szCs w:val="21"/>
        </w:rPr>
        <w:t>势，</w:t>
      </w:r>
      <w:r w:rsidR="008665F3">
        <w:rPr>
          <w:rFonts w:ascii="微软雅黑" w:eastAsia="微软雅黑" w:hAnsi="微软雅黑" w:hint="eastAsia"/>
          <w:szCs w:val="21"/>
        </w:rPr>
        <w:t>截至</w:t>
      </w:r>
      <w:r>
        <w:rPr>
          <w:rFonts w:ascii="微软雅黑" w:eastAsia="微软雅黑" w:hAnsi="微软雅黑" w:hint="eastAsia"/>
          <w:szCs w:val="21"/>
        </w:rPr>
        <w:t>12月的月独立设备数达到2173.0万台，与2016年12月相比增长了10.2%。从使用</w:t>
      </w:r>
      <w:r w:rsidRPr="009D423B">
        <w:rPr>
          <w:rFonts w:ascii="微软雅黑" w:eastAsia="微软雅黑" w:hAnsi="微软雅黑" w:hint="eastAsia"/>
          <w:szCs w:val="21"/>
        </w:rPr>
        <w:t>游戏APP的</w:t>
      </w:r>
      <w:r>
        <w:rPr>
          <w:rFonts w:ascii="微软雅黑" w:eastAsia="微软雅黑" w:hAnsi="微软雅黑" w:hint="eastAsia"/>
          <w:szCs w:val="21"/>
        </w:rPr>
        <w:t>月独立设备数比例来看，全年平均值为58.8%。其中，7、8、9、10月份，以及1月份高于平均值，是网民玩游戏相对较多的月份。</w:t>
      </w:r>
    </w:p>
    <w:p w:rsidR="00786257" w:rsidRPr="009D423B" w:rsidRDefault="00786257" w:rsidP="00786257">
      <w:pPr>
        <w:jc w:val="center"/>
        <w:rPr>
          <w:szCs w:val="21"/>
        </w:rPr>
      </w:pPr>
      <w:r>
        <w:rPr>
          <w:noProof/>
        </w:rPr>
        <w:drawing>
          <wp:inline distT="0" distB="0" distL="0" distR="0">
            <wp:extent cx="4809600" cy="2880000"/>
            <wp:effectExtent l="0" t="0" r="10160" b="15875"/>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86257" w:rsidRPr="009D423B" w:rsidRDefault="00C564F4" w:rsidP="00786257">
      <w:pPr>
        <w:pStyle w:val="ab"/>
      </w:pPr>
      <w:bookmarkStart w:id="252" w:name="_Toc491880408"/>
      <w:bookmarkStart w:id="253" w:name="_Toc524418184"/>
      <w:r>
        <w:rPr>
          <w:rFonts w:hint="eastAsia"/>
        </w:rPr>
        <w:t>图4-</w:t>
      </w:r>
      <w:r w:rsidR="00014228">
        <w:rPr>
          <w:rFonts w:hint="eastAsia"/>
        </w:rPr>
        <w:t>39</w:t>
      </w:r>
      <w:r w:rsidR="00786257" w:rsidRPr="009D423B">
        <w:t xml:space="preserve">  </w:t>
      </w:r>
      <w:r w:rsidR="00786257">
        <w:rPr>
          <w:rFonts w:hint="eastAsia"/>
        </w:rPr>
        <w:t>2017年陕西省网民</w:t>
      </w:r>
      <w:r w:rsidR="00786257" w:rsidRPr="009D423B">
        <w:rPr>
          <w:rFonts w:hint="eastAsia"/>
        </w:rPr>
        <w:t>使用游戏服务</w:t>
      </w:r>
      <w:bookmarkEnd w:id="252"/>
      <w:r w:rsidR="00786257">
        <w:rPr>
          <w:rFonts w:hint="eastAsia"/>
        </w:rPr>
        <w:t>月独立设备数比例</w:t>
      </w:r>
      <w:bookmarkEnd w:id="253"/>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9D423B"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使用游戏APP的单机使用天数</w:t>
      </w:r>
      <w:r>
        <w:rPr>
          <w:rFonts w:ascii="微软雅黑" w:eastAsia="微软雅黑" w:hAnsi="微软雅黑" w:hint="eastAsia"/>
          <w:szCs w:val="21"/>
        </w:rPr>
        <w:t>平均为9.7天，与2016年基本持平。全年来看，8月份</w:t>
      </w:r>
      <w:r w:rsidRPr="009D423B">
        <w:rPr>
          <w:rFonts w:ascii="微软雅黑" w:eastAsia="微软雅黑" w:hAnsi="微软雅黑" w:hint="eastAsia"/>
          <w:szCs w:val="21"/>
        </w:rPr>
        <w:t>单机使用天数</w:t>
      </w:r>
      <w:r>
        <w:rPr>
          <w:rFonts w:ascii="微软雅黑" w:eastAsia="微软雅黑" w:hAnsi="微软雅黑" w:hint="eastAsia"/>
          <w:szCs w:val="21"/>
        </w:rPr>
        <w:t>最高，达到11.1天；6月份最低，仅8.8天</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786257" w:rsidRPr="009D423B" w:rsidRDefault="00C564F4" w:rsidP="00786257">
      <w:pPr>
        <w:pStyle w:val="ab"/>
      </w:pPr>
      <w:bookmarkStart w:id="254" w:name="_Toc491880409"/>
      <w:bookmarkStart w:id="255" w:name="_Toc524418185"/>
      <w:r>
        <w:rPr>
          <w:rFonts w:hint="eastAsia"/>
        </w:rPr>
        <w:t>图4-</w:t>
      </w:r>
      <w:r w:rsidR="00014228">
        <w:rPr>
          <w:rFonts w:hint="eastAsia"/>
        </w:rPr>
        <w:t>40</w:t>
      </w:r>
      <w:r w:rsidR="00786257" w:rsidRPr="009D423B">
        <w:t xml:space="preserve">  </w:t>
      </w:r>
      <w:r w:rsidR="00786257">
        <w:rPr>
          <w:rFonts w:hint="eastAsia"/>
        </w:rPr>
        <w:t>2017年陕西省网民</w:t>
      </w:r>
      <w:r w:rsidR="00786257" w:rsidRPr="009D423B">
        <w:rPr>
          <w:rFonts w:hint="eastAsia"/>
        </w:rPr>
        <w:t>使用游戏服务单机使用天数</w:t>
      </w:r>
      <w:bookmarkEnd w:id="254"/>
      <w:bookmarkEnd w:id="255"/>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Default="00786257" w:rsidP="00786257">
      <w:pPr>
        <w:snapToGrid w:val="0"/>
        <w:spacing w:line="400" w:lineRule="exact"/>
        <w:ind w:firstLineChars="202" w:firstLine="424"/>
        <w:rPr>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使用游戏APP的单机单日使用次数</w:t>
      </w:r>
      <w:r>
        <w:rPr>
          <w:rFonts w:ascii="微软雅黑" w:eastAsia="微软雅黑" w:hAnsi="微软雅黑" w:hint="eastAsia"/>
          <w:szCs w:val="21"/>
        </w:rPr>
        <w:t>显著上升，全年均值达到3.6次，较2016年提升1.4次</w:t>
      </w:r>
      <w:r w:rsidRPr="009D423B">
        <w:rPr>
          <w:rFonts w:ascii="微软雅黑" w:eastAsia="微软雅黑" w:hAnsi="微软雅黑" w:hint="eastAsia"/>
          <w:szCs w:val="21"/>
        </w:rPr>
        <w:t>。</w:t>
      </w:r>
      <w:r>
        <w:rPr>
          <w:rFonts w:ascii="微软雅黑" w:eastAsia="微软雅黑" w:hAnsi="微软雅黑" w:hint="eastAsia"/>
          <w:szCs w:val="21"/>
        </w:rPr>
        <w:t>整体来看，网民在下半年的使用频次高于上半年。</w:t>
      </w:r>
    </w:p>
    <w:p w:rsidR="00786257" w:rsidRPr="009D423B" w:rsidRDefault="00786257" w:rsidP="00786257">
      <w:pPr>
        <w:jc w:val="center"/>
        <w:rPr>
          <w:szCs w:val="21"/>
        </w:rPr>
      </w:pPr>
      <w:r>
        <w:rPr>
          <w:noProof/>
        </w:rPr>
        <w:drawing>
          <wp:inline distT="0" distB="0" distL="0" distR="0">
            <wp:extent cx="4809600" cy="2880000"/>
            <wp:effectExtent l="0" t="0" r="10160" b="15875"/>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86257" w:rsidRPr="009D423B" w:rsidRDefault="00C564F4" w:rsidP="00786257">
      <w:pPr>
        <w:pStyle w:val="ab"/>
      </w:pPr>
      <w:bookmarkStart w:id="256" w:name="_Toc491880410"/>
      <w:bookmarkStart w:id="257" w:name="_Toc524418186"/>
      <w:r>
        <w:rPr>
          <w:rFonts w:hint="eastAsia"/>
        </w:rPr>
        <w:t>图4-</w:t>
      </w:r>
      <w:r w:rsidR="00014228">
        <w:rPr>
          <w:rFonts w:hint="eastAsia"/>
        </w:rPr>
        <w:t>41</w:t>
      </w:r>
      <w:r w:rsidR="00786257" w:rsidRPr="009D423B">
        <w:t xml:space="preserve">  </w:t>
      </w:r>
      <w:r w:rsidR="00786257">
        <w:rPr>
          <w:rFonts w:hint="eastAsia"/>
        </w:rPr>
        <w:t>2017年陕西省网民</w:t>
      </w:r>
      <w:r w:rsidR="00786257" w:rsidRPr="009D423B">
        <w:rPr>
          <w:rFonts w:hint="eastAsia"/>
        </w:rPr>
        <w:t>使用游戏服务单机单日使用次数</w:t>
      </w:r>
      <w:bookmarkEnd w:id="256"/>
      <w:bookmarkEnd w:id="257"/>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Pr="001061F9"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使用游戏APP的单机单次有效时间</w:t>
      </w:r>
      <w:r>
        <w:rPr>
          <w:rFonts w:ascii="微软雅黑" w:eastAsia="微软雅黑" w:hAnsi="微软雅黑" w:hint="eastAsia"/>
          <w:szCs w:val="21"/>
        </w:rPr>
        <w:t>保持平稳</w:t>
      </w:r>
      <w:r w:rsidRPr="009D423B">
        <w:rPr>
          <w:rFonts w:ascii="微软雅黑" w:eastAsia="微软雅黑" w:hAnsi="微软雅黑" w:hint="eastAsia"/>
          <w:szCs w:val="21"/>
        </w:rPr>
        <w:t>，</w:t>
      </w:r>
      <w:r>
        <w:rPr>
          <w:rFonts w:ascii="微软雅黑" w:eastAsia="微软雅黑" w:hAnsi="微软雅黑" w:hint="eastAsia"/>
          <w:szCs w:val="21"/>
        </w:rPr>
        <w:t>全年平均值为14.4分钟，与2016年相比减少了0.5分钟。但由于</w:t>
      </w:r>
      <w:r w:rsidRPr="00A3627C">
        <w:rPr>
          <w:rFonts w:ascii="微软雅黑" w:eastAsia="微软雅黑" w:hAnsi="微软雅黑" w:hint="eastAsia"/>
          <w:szCs w:val="21"/>
        </w:rPr>
        <w:t>单机单日使用次数的快速增长，</w:t>
      </w:r>
      <w:r>
        <w:rPr>
          <w:rFonts w:ascii="微软雅黑" w:eastAsia="微软雅黑" w:hAnsi="微软雅黑" w:hint="eastAsia"/>
          <w:szCs w:val="21"/>
        </w:rPr>
        <w:t>实际单机单日的使用时长大幅增加。2017年，陕西省网民单机单日有效使用时长平均值已经达到51.3分钟，较2016年35.4分钟提升了15.9分钟，提升幅度达到44.9%，这表明全省网民对于移动端游戏的使用和关注度正在不断提升。</w:t>
      </w:r>
    </w:p>
    <w:p w:rsidR="00786257" w:rsidRPr="009D423B" w:rsidRDefault="00786257" w:rsidP="00786257">
      <w:pPr>
        <w:jc w:val="center"/>
        <w:rPr>
          <w:szCs w:val="21"/>
        </w:rPr>
      </w:pPr>
      <w:r>
        <w:rPr>
          <w:noProof/>
        </w:rPr>
        <w:drawing>
          <wp:inline distT="0" distB="0" distL="0" distR="0">
            <wp:extent cx="4809600" cy="2880000"/>
            <wp:effectExtent l="0" t="0" r="10160" b="15875"/>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86257" w:rsidRPr="009D423B" w:rsidRDefault="00C564F4" w:rsidP="00786257">
      <w:pPr>
        <w:pStyle w:val="ab"/>
      </w:pPr>
      <w:bookmarkStart w:id="258" w:name="_Toc491880411"/>
      <w:bookmarkStart w:id="259" w:name="_Toc524418187"/>
      <w:r>
        <w:rPr>
          <w:rFonts w:hint="eastAsia"/>
        </w:rPr>
        <w:t>图4-</w:t>
      </w:r>
      <w:r w:rsidR="00014228">
        <w:rPr>
          <w:rFonts w:hint="eastAsia"/>
        </w:rPr>
        <w:t>42</w:t>
      </w:r>
      <w:r w:rsidR="00786257" w:rsidRPr="009D423B">
        <w:t xml:space="preserve">  </w:t>
      </w:r>
      <w:r w:rsidR="00786257">
        <w:rPr>
          <w:rFonts w:hint="eastAsia"/>
        </w:rPr>
        <w:t>2017年陕西省网民</w:t>
      </w:r>
      <w:r w:rsidR="00786257" w:rsidRPr="009D423B">
        <w:rPr>
          <w:rFonts w:hint="eastAsia"/>
        </w:rPr>
        <w:t>使用游戏服务单机单次有效时间</w:t>
      </w:r>
      <w:bookmarkEnd w:id="258"/>
      <w:bookmarkEnd w:id="259"/>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Pr="00D466DF"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12月，</w:t>
      </w:r>
      <w:r>
        <w:rPr>
          <w:rFonts w:ascii="微软雅黑" w:eastAsia="微软雅黑" w:hAnsi="微软雅黑" w:hint="eastAsia"/>
          <w:szCs w:val="21"/>
        </w:rPr>
        <w:t>陕西省网民</w:t>
      </w:r>
      <w:r w:rsidRPr="009D423B">
        <w:rPr>
          <w:rFonts w:ascii="微软雅黑" w:eastAsia="微软雅黑" w:hAnsi="微软雅黑"/>
          <w:szCs w:val="21"/>
        </w:rPr>
        <w:t>最常用的</w:t>
      </w:r>
      <w:r w:rsidRPr="009D423B">
        <w:rPr>
          <w:rFonts w:ascii="微软雅黑" w:eastAsia="微软雅黑" w:hAnsi="微软雅黑" w:hint="eastAsia"/>
          <w:szCs w:val="21"/>
        </w:rPr>
        <w:t>游戏</w:t>
      </w:r>
      <w:r w:rsidRPr="009D423B">
        <w:rPr>
          <w:rFonts w:ascii="微软雅黑" w:eastAsia="微软雅黑" w:hAnsi="微软雅黑"/>
          <w:szCs w:val="21"/>
        </w:rPr>
        <w:t>类</w:t>
      </w:r>
      <w:r w:rsidRPr="009D423B">
        <w:rPr>
          <w:rFonts w:ascii="微软雅黑" w:eastAsia="微软雅黑" w:hAnsi="微软雅黑" w:hint="eastAsia"/>
          <w:szCs w:val="21"/>
        </w:rPr>
        <w:t>APP中</w:t>
      </w:r>
      <w:r w:rsidRPr="009D423B">
        <w:rPr>
          <w:rFonts w:ascii="微软雅黑" w:eastAsia="微软雅黑" w:hAnsi="微软雅黑"/>
          <w:szCs w:val="21"/>
        </w:rPr>
        <w:t>，</w:t>
      </w:r>
      <w:r>
        <w:rPr>
          <w:rFonts w:ascii="微软雅黑" w:eastAsia="微软雅黑" w:hAnsi="微软雅黑"/>
          <w:szCs w:val="21"/>
        </w:rPr>
        <w:t>王者荣耀以</w:t>
      </w:r>
      <w:r>
        <w:rPr>
          <w:rFonts w:ascii="微软雅黑" w:eastAsia="微软雅黑" w:hAnsi="微软雅黑" w:hint="eastAsia"/>
          <w:szCs w:val="21"/>
        </w:rPr>
        <w:t>19.5%的月独立设备数比例位列第一；</w:t>
      </w:r>
      <w:r w:rsidRPr="009D423B">
        <w:rPr>
          <w:rFonts w:ascii="微软雅黑" w:eastAsia="微软雅黑" w:hAnsi="微软雅黑" w:hint="eastAsia"/>
          <w:szCs w:val="21"/>
        </w:rPr>
        <w:t>QQ欢乐斗地主、开心消消乐</w:t>
      </w:r>
      <w:r>
        <w:rPr>
          <w:rFonts w:ascii="微软雅黑" w:eastAsia="微软雅黑" w:hAnsi="微软雅黑" w:hint="eastAsia"/>
          <w:szCs w:val="21"/>
        </w:rPr>
        <w:t>分列二、三位，月独立设备数比例分别为13.0%和11.7%。</w:t>
      </w:r>
    </w:p>
    <w:p w:rsidR="00786257" w:rsidRPr="009D423B" w:rsidRDefault="00786257" w:rsidP="00786257">
      <w:pPr>
        <w:jc w:val="center"/>
        <w:rPr>
          <w:szCs w:val="21"/>
        </w:rPr>
      </w:pPr>
      <w:r>
        <w:rPr>
          <w:noProof/>
        </w:rPr>
        <w:drawing>
          <wp:inline distT="0" distB="0" distL="0" distR="0">
            <wp:extent cx="4809600" cy="3240000"/>
            <wp:effectExtent l="0" t="0" r="10160" b="17780"/>
            <wp:docPr id="63" name="图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786257" w:rsidRPr="009D423B" w:rsidRDefault="00C564F4" w:rsidP="00786257">
      <w:pPr>
        <w:pStyle w:val="ab"/>
      </w:pPr>
      <w:bookmarkStart w:id="260" w:name="_Toc491880412"/>
      <w:bookmarkStart w:id="261" w:name="_Toc524418188"/>
      <w:r>
        <w:rPr>
          <w:rFonts w:hint="eastAsia"/>
        </w:rPr>
        <w:t>图4-</w:t>
      </w:r>
      <w:r w:rsidR="00786257">
        <w:rPr>
          <w:rFonts w:hint="eastAsia"/>
        </w:rPr>
        <w:t>4</w:t>
      </w:r>
      <w:r w:rsidR="00014228">
        <w:rPr>
          <w:rFonts w:hint="eastAsia"/>
        </w:rPr>
        <w:t>3</w:t>
      </w:r>
      <w:r w:rsidR="00786257" w:rsidRPr="009D423B">
        <w:t xml:space="preserve">  </w:t>
      </w:r>
      <w:r w:rsidR="00786257">
        <w:rPr>
          <w:rFonts w:hint="eastAsia"/>
        </w:rPr>
        <w:t>2017年</w:t>
      </w:r>
      <w:r w:rsidR="00786257" w:rsidRPr="009D423B">
        <w:rPr>
          <w:rFonts w:hint="eastAsia"/>
        </w:rPr>
        <w:t>12月</w:t>
      </w:r>
      <w:r w:rsidR="00786257">
        <w:rPr>
          <w:rFonts w:hint="eastAsia"/>
        </w:rPr>
        <w:t>陕西省网民</w:t>
      </w:r>
      <w:r w:rsidR="00786257" w:rsidRPr="009D423B">
        <w:rPr>
          <w:rFonts w:hint="eastAsia"/>
        </w:rPr>
        <w:t>常用游戏类APP</w:t>
      </w:r>
      <w:bookmarkEnd w:id="260"/>
      <w:bookmarkEnd w:id="261"/>
    </w:p>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262" w:name="_Toc485132102"/>
      <w:bookmarkStart w:id="263" w:name="_Toc519837703"/>
      <w:bookmarkStart w:id="264" w:name="_Toc524418002"/>
      <w:r w:rsidRPr="009D423B">
        <w:rPr>
          <w:rFonts w:ascii="微软雅黑" w:eastAsia="微软雅黑" w:hAnsi="微软雅黑" w:hint="eastAsia"/>
          <w:b/>
          <w:szCs w:val="21"/>
        </w:rPr>
        <w:t>8.使用音乐音频App情况</w:t>
      </w:r>
      <w:bookmarkEnd w:id="262"/>
      <w:bookmarkEnd w:id="263"/>
      <w:bookmarkEnd w:id="264"/>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音乐音频APP</w:t>
      </w:r>
      <w:r>
        <w:rPr>
          <w:rFonts w:ascii="微软雅黑" w:eastAsia="微软雅黑" w:hAnsi="微软雅黑" w:hint="eastAsia"/>
          <w:szCs w:val="21"/>
        </w:rPr>
        <w:t>的月独立设备数增长迅速，截至12月达到2695.1万台，较2016大幅提升了43.4%。从月独立设备数比例来看，全年由1月初的不到60%提升至12月的72.5%，全年均值达到69.4%，增幅也是相当显著。</w:t>
      </w:r>
    </w:p>
    <w:p w:rsidR="00786257" w:rsidRPr="009D423B" w:rsidRDefault="00786257" w:rsidP="00786257">
      <w:pPr>
        <w:jc w:val="center"/>
        <w:rPr>
          <w:szCs w:val="21"/>
        </w:rPr>
      </w:pPr>
      <w:r>
        <w:rPr>
          <w:noProof/>
        </w:rPr>
        <w:drawing>
          <wp:inline distT="0" distB="0" distL="0" distR="0">
            <wp:extent cx="4809600" cy="2880000"/>
            <wp:effectExtent l="0" t="0" r="10160" b="1587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86257" w:rsidRPr="009D423B" w:rsidRDefault="00C564F4" w:rsidP="00786257">
      <w:pPr>
        <w:pStyle w:val="ab"/>
      </w:pPr>
      <w:bookmarkStart w:id="265" w:name="_Toc483275506"/>
      <w:bookmarkStart w:id="266" w:name="_Toc491880413"/>
      <w:bookmarkStart w:id="267" w:name="_Toc524418189"/>
      <w:r>
        <w:rPr>
          <w:rFonts w:hint="eastAsia"/>
        </w:rPr>
        <w:t>图4-</w:t>
      </w:r>
      <w:r w:rsidR="00786257">
        <w:rPr>
          <w:rFonts w:hint="eastAsia"/>
        </w:rPr>
        <w:t>4</w:t>
      </w:r>
      <w:r w:rsidR="00014228">
        <w:rPr>
          <w:rFonts w:hint="eastAsia"/>
        </w:rPr>
        <w:t>4</w:t>
      </w:r>
      <w:r w:rsidR="00786257" w:rsidRPr="009D423B">
        <w:t xml:space="preserve">  </w:t>
      </w:r>
      <w:r w:rsidR="00786257">
        <w:rPr>
          <w:rFonts w:hint="eastAsia"/>
        </w:rPr>
        <w:t>2017年陕西省网民</w:t>
      </w:r>
      <w:r w:rsidR="00786257" w:rsidRPr="009D423B">
        <w:rPr>
          <w:rFonts w:hint="eastAsia"/>
        </w:rPr>
        <w:t>使用音乐音频服务</w:t>
      </w:r>
      <w:bookmarkEnd w:id="265"/>
      <w:bookmarkEnd w:id="266"/>
      <w:r w:rsidR="00786257">
        <w:rPr>
          <w:rFonts w:hint="eastAsia"/>
        </w:rPr>
        <w:t>月独立设备数比例</w:t>
      </w:r>
      <w:bookmarkEnd w:id="267"/>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604B20"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使用音乐音频APP的单机使用天数年度平均值为</w:t>
      </w:r>
      <w:r>
        <w:rPr>
          <w:rFonts w:ascii="微软雅黑" w:eastAsia="微软雅黑" w:hAnsi="微软雅黑" w:hint="eastAsia"/>
          <w:szCs w:val="21"/>
        </w:rPr>
        <w:t>8.6天，较2016年提升0.7</w:t>
      </w:r>
      <w:r w:rsidRPr="009D423B">
        <w:rPr>
          <w:rFonts w:ascii="微软雅黑" w:eastAsia="微软雅黑" w:hAnsi="微软雅黑" w:hint="eastAsia"/>
          <w:szCs w:val="21"/>
        </w:rPr>
        <w:t>天。全年来看，1-12月份的单机使用天数</w:t>
      </w:r>
      <w:r>
        <w:rPr>
          <w:rFonts w:ascii="微软雅黑" w:eastAsia="微软雅黑" w:hAnsi="微软雅黑" w:hint="eastAsia"/>
          <w:szCs w:val="21"/>
        </w:rPr>
        <w:t>相对平稳</w:t>
      </w:r>
      <w:r w:rsidRPr="009D423B">
        <w:rPr>
          <w:rFonts w:ascii="微软雅黑" w:eastAsia="微软雅黑" w:hAnsi="微软雅黑" w:hint="eastAsia"/>
          <w:szCs w:val="21"/>
        </w:rPr>
        <w:t>，</w:t>
      </w:r>
      <w:r>
        <w:rPr>
          <w:rFonts w:ascii="微软雅黑" w:eastAsia="微软雅黑" w:hAnsi="微软雅黑" w:hint="eastAsia"/>
          <w:szCs w:val="21"/>
        </w:rPr>
        <w:t>其中以1月和3月较高，达到9.0天。</w:t>
      </w:r>
    </w:p>
    <w:p w:rsidR="00786257" w:rsidRPr="009D423B" w:rsidRDefault="00786257" w:rsidP="00786257">
      <w:pPr>
        <w:jc w:val="center"/>
        <w:rPr>
          <w:szCs w:val="21"/>
        </w:rPr>
      </w:pPr>
      <w:r>
        <w:rPr>
          <w:noProof/>
        </w:rPr>
        <w:drawing>
          <wp:inline distT="0" distB="0" distL="0" distR="0">
            <wp:extent cx="4809600" cy="2880000"/>
            <wp:effectExtent l="0" t="0" r="10160" b="15875"/>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86257" w:rsidRPr="009D423B" w:rsidRDefault="00C564F4" w:rsidP="00786257">
      <w:pPr>
        <w:pStyle w:val="ab"/>
      </w:pPr>
      <w:bookmarkStart w:id="268" w:name="_Toc483275507"/>
      <w:bookmarkStart w:id="269" w:name="_Toc491880414"/>
      <w:bookmarkStart w:id="270" w:name="_Toc524418190"/>
      <w:r>
        <w:rPr>
          <w:rFonts w:hint="eastAsia"/>
        </w:rPr>
        <w:t>图4-</w:t>
      </w:r>
      <w:r w:rsidR="00786257">
        <w:rPr>
          <w:rFonts w:hint="eastAsia"/>
        </w:rPr>
        <w:t>4</w:t>
      </w:r>
      <w:r w:rsidR="00014228">
        <w:rPr>
          <w:rFonts w:hint="eastAsia"/>
        </w:rPr>
        <w:t>5</w:t>
      </w:r>
      <w:r w:rsidR="00786257" w:rsidRPr="009D423B">
        <w:t xml:space="preserve">  </w:t>
      </w:r>
      <w:r w:rsidR="00786257">
        <w:rPr>
          <w:rFonts w:hint="eastAsia"/>
        </w:rPr>
        <w:t>2017年陕西省网民</w:t>
      </w:r>
      <w:r w:rsidR="00786257" w:rsidRPr="009D423B">
        <w:rPr>
          <w:rFonts w:hint="eastAsia"/>
        </w:rPr>
        <w:t>使用音乐音频服务单机使用天数</w:t>
      </w:r>
      <w:bookmarkEnd w:id="268"/>
      <w:bookmarkEnd w:id="269"/>
      <w:bookmarkEnd w:id="270"/>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使用音乐音频APP的单机单日使用次数</w:t>
      </w:r>
      <w:r>
        <w:rPr>
          <w:rFonts w:ascii="微软雅黑" w:eastAsia="微软雅黑" w:hAnsi="微软雅黑" w:hint="eastAsia"/>
          <w:szCs w:val="21"/>
        </w:rPr>
        <w:t>提升明显，全年均值达到3.5次，较2016年提升1次。从月度分布情况来看，10月份的</w:t>
      </w:r>
      <w:r w:rsidRPr="009D423B">
        <w:rPr>
          <w:rFonts w:ascii="微软雅黑" w:eastAsia="微软雅黑" w:hAnsi="微软雅黑" w:hint="eastAsia"/>
          <w:szCs w:val="21"/>
        </w:rPr>
        <w:t>单机单日使用次数</w:t>
      </w:r>
      <w:r>
        <w:rPr>
          <w:rFonts w:ascii="微软雅黑" w:eastAsia="微软雅黑" w:hAnsi="微软雅黑" w:hint="eastAsia"/>
          <w:szCs w:val="21"/>
        </w:rPr>
        <w:t>最高，达到4.0次，4月份最低，仅3.1次。</w:t>
      </w:r>
    </w:p>
    <w:p w:rsidR="00786257" w:rsidRPr="009D423B" w:rsidRDefault="00786257" w:rsidP="00786257">
      <w:pPr>
        <w:jc w:val="center"/>
        <w:rPr>
          <w:szCs w:val="21"/>
        </w:rPr>
      </w:pPr>
      <w:r>
        <w:rPr>
          <w:noProof/>
        </w:rPr>
        <w:drawing>
          <wp:inline distT="0" distB="0" distL="0" distR="0">
            <wp:extent cx="4809600" cy="2880000"/>
            <wp:effectExtent l="0" t="0" r="10160" b="15875"/>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86257" w:rsidRPr="009D423B" w:rsidRDefault="00C564F4" w:rsidP="00786257">
      <w:pPr>
        <w:pStyle w:val="ab"/>
      </w:pPr>
      <w:bookmarkStart w:id="271" w:name="_Toc483275508"/>
      <w:bookmarkStart w:id="272" w:name="_Toc491880415"/>
      <w:bookmarkStart w:id="273" w:name="_Toc524418191"/>
      <w:r>
        <w:rPr>
          <w:rFonts w:hint="eastAsia"/>
        </w:rPr>
        <w:t>图4-</w:t>
      </w:r>
      <w:r w:rsidR="00786257" w:rsidRPr="009D423B">
        <w:rPr>
          <w:rFonts w:hint="eastAsia"/>
        </w:rPr>
        <w:t>4</w:t>
      </w:r>
      <w:r w:rsidR="00014228">
        <w:rPr>
          <w:rFonts w:hint="eastAsia"/>
        </w:rPr>
        <w:t>6</w:t>
      </w:r>
      <w:r w:rsidR="00786257" w:rsidRPr="009D423B">
        <w:t xml:space="preserve">  </w:t>
      </w:r>
      <w:r w:rsidR="00786257">
        <w:rPr>
          <w:rFonts w:hint="eastAsia"/>
        </w:rPr>
        <w:t>2017年陕西省网民</w:t>
      </w:r>
      <w:r w:rsidR="00786257" w:rsidRPr="009D423B">
        <w:rPr>
          <w:rFonts w:hint="eastAsia"/>
        </w:rPr>
        <w:t>使用音乐音频服务单机单日使用次数</w:t>
      </w:r>
      <w:bookmarkEnd w:id="271"/>
      <w:bookmarkEnd w:id="272"/>
      <w:bookmarkEnd w:id="273"/>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Pr="009D423B"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使用音乐音频APP的单机单次有效时间</w:t>
      </w:r>
      <w:r>
        <w:rPr>
          <w:rFonts w:ascii="微软雅黑" w:eastAsia="微软雅黑" w:hAnsi="微软雅黑" w:hint="eastAsia"/>
          <w:szCs w:val="21"/>
        </w:rPr>
        <w:t>略有下降，全年平均值为4.9分钟，较2016年下降0.7分钟。整体来看，全省网民在下半年的</w:t>
      </w:r>
      <w:r w:rsidRPr="00526D74">
        <w:rPr>
          <w:rFonts w:ascii="微软雅黑" w:eastAsia="微软雅黑" w:hAnsi="微软雅黑" w:hint="eastAsia"/>
          <w:szCs w:val="21"/>
        </w:rPr>
        <w:t>单机单次有效时间</w:t>
      </w:r>
      <w:r>
        <w:rPr>
          <w:rFonts w:ascii="微软雅黑" w:eastAsia="微软雅黑" w:hAnsi="微软雅黑" w:hint="eastAsia"/>
          <w:szCs w:val="21"/>
        </w:rPr>
        <w:t>显著低于上半年。</w:t>
      </w:r>
    </w:p>
    <w:p w:rsidR="00786257" w:rsidRPr="009D423B" w:rsidRDefault="00786257" w:rsidP="00786257">
      <w:pPr>
        <w:jc w:val="center"/>
        <w:rPr>
          <w:szCs w:val="21"/>
        </w:rPr>
      </w:pPr>
      <w:r>
        <w:rPr>
          <w:noProof/>
        </w:rPr>
        <w:drawing>
          <wp:inline distT="0" distB="0" distL="0" distR="0">
            <wp:extent cx="4809600" cy="2880000"/>
            <wp:effectExtent l="0" t="0" r="10160" b="15875"/>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86257" w:rsidRPr="009D423B" w:rsidRDefault="00C564F4" w:rsidP="00786257">
      <w:pPr>
        <w:pStyle w:val="ab"/>
      </w:pPr>
      <w:bookmarkStart w:id="274" w:name="_Toc483275509"/>
      <w:bookmarkStart w:id="275" w:name="_Toc491880416"/>
      <w:bookmarkStart w:id="276" w:name="_Toc524418192"/>
      <w:r>
        <w:rPr>
          <w:rFonts w:hint="eastAsia"/>
        </w:rPr>
        <w:t>图4-</w:t>
      </w:r>
      <w:r w:rsidR="00786257" w:rsidRPr="009D423B">
        <w:rPr>
          <w:rFonts w:hint="eastAsia"/>
        </w:rPr>
        <w:t>4</w:t>
      </w:r>
      <w:r w:rsidR="00014228">
        <w:rPr>
          <w:rFonts w:hint="eastAsia"/>
        </w:rPr>
        <w:t>7</w:t>
      </w:r>
      <w:r w:rsidR="00786257" w:rsidRPr="009D423B">
        <w:t xml:space="preserve">  </w:t>
      </w:r>
      <w:r w:rsidR="00786257">
        <w:rPr>
          <w:rFonts w:hint="eastAsia"/>
        </w:rPr>
        <w:t>2017年陕西省网民</w:t>
      </w:r>
      <w:r w:rsidR="00786257" w:rsidRPr="009D423B">
        <w:rPr>
          <w:rFonts w:hint="eastAsia"/>
        </w:rPr>
        <w:t>使用音乐音频服务单机单次有效时间</w:t>
      </w:r>
      <w:bookmarkEnd w:id="274"/>
      <w:bookmarkEnd w:id="275"/>
      <w:bookmarkEnd w:id="276"/>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12月，</w:t>
      </w:r>
      <w:r>
        <w:rPr>
          <w:rFonts w:ascii="微软雅黑" w:eastAsia="微软雅黑" w:hAnsi="微软雅黑" w:hint="eastAsia"/>
          <w:szCs w:val="21"/>
        </w:rPr>
        <w:t>陕西省网民</w:t>
      </w:r>
      <w:r w:rsidRPr="009D423B">
        <w:rPr>
          <w:rFonts w:ascii="微软雅黑" w:eastAsia="微软雅黑" w:hAnsi="微软雅黑"/>
          <w:szCs w:val="21"/>
        </w:rPr>
        <w:t>最常用的</w:t>
      </w:r>
      <w:r w:rsidRPr="009D423B">
        <w:rPr>
          <w:rFonts w:ascii="微软雅黑" w:eastAsia="微软雅黑" w:hAnsi="微软雅黑" w:hint="eastAsia"/>
          <w:szCs w:val="21"/>
        </w:rPr>
        <w:t>音乐音频类APP中</w:t>
      </w:r>
      <w:r w:rsidRPr="009D423B">
        <w:rPr>
          <w:rFonts w:ascii="微软雅黑" w:eastAsia="微软雅黑" w:hAnsi="微软雅黑"/>
          <w:szCs w:val="21"/>
        </w:rPr>
        <w:t>，</w:t>
      </w:r>
      <w:r w:rsidRPr="009D423B">
        <w:rPr>
          <w:rFonts w:ascii="微软雅黑" w:eastAsia="微软雅黑" w:hAnsi="微软雅黑" w:hint="eastAsia"/>
          <w:szCs w:val="21"/>
        </w:rPr>
        <w:t>QQ音乐</w:t>
      </w:r>
      <w:r>
        <w:rPr>
          <w:rFonts w:ascii="微软雅黑" w:eastAsia="微软雅黑" w:hAnsi="微软雅黑" w:hint="eastAsia"/>
          <w:szCs w:val="21"/>
        </w:rPr>
        <w:t>月独立设备数比例达到36.5%，位列第一；</w:t>
      </w:r>
      <w:r w:rsidRPr="009D423B">
        <w:rPr>
          <w:rFonts w:ascii="微软雅黑" w:eastAsia="微软雅黑" w:hAnsi="微软雅黑"/>
          <w:szCs w:val="21"/>
        </w:rPr>
        <w:t>酷狗音乐</w:t>
      </w:r>
      <w:r>
        <w:rPr>
          <w:rFonts w:ascii="微软雅黑" w:eastAsia="微软雅黑" w:hAnsi="微软雅黑"/>
          <w:szCs w:val="21"/>
        </w:rPr>
        <w:t>则以</w:t>
      </w:r>
      <w:r>
        <w:rPr>
          <w:rFonts w:ascii="微软雅黑" w:eastAsia="微软雅黑" w:hAnsi="微软雅黑" w:hint="eastAsia"/>
          <w:szCs w:val="21"/>
        </w:rPr>
        <w:t>28.7%的比例排在第二位；全名K歌、酷我音乐、网易云音乐分列第三至五位，月独立设备数比例介于15%~20%之间。</w:t>
      </w:r>
    </w:p>
    <w:p w:rsidR="00786257" w:rsidRPr="009D423B" w:rsidRDefault="00786257" w:rsidP="00786257">
      <w:pPr>
        <w:jc w:val="center"/>
        <w:rPr>
          <w:szCs w:val="21"/>
        </w:rPr>
      </w:pPr>
      <w:r>
        <w:rPr>
          <w:noProof/>
        </w:rPr>
        <w:drawing>
          <wp:inline distT="0" distB="0" distL="0" distR="0">
            <wp:extent cx="4809600" cy="3240000"/>
            <wp:effectExtent l="0" t="0" r="10160" b="1778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86257" w:rsidRPr="009D423B" w:rsidRDefault="00C564F4" w:rsidP="00786257">
      <w:pPr>
        <w:pStyle w:val="ab"/>
      </w:pPr>
      <w:bookmarkStart w:id="277" w:name="_Toc483275510"/>
      <w:bookmarkStart w:id="278" w:name="_Toc491880417"/>
      <w:bookmarkStart w:id="279" w:name="_Toc524418193"/>
      <w:r>
        <w:rPr>
          <w:rFonts w:hint="eastAsia"/>
        </w:rPr>
        <w:t>图4-</w:t>
      </w:r>
      <w:r w:rsidR="00786257" w:rsidRPr="009D423B">
        <w:rPr>
          <w:rFonts w:hint="eastAsia"/>
        </w:rPr>
        <w:t>4</w:t>
      </w:r>
      <w:r w:rsidR="00014228">
        <w:rPr>
          <w:rFonts w:hint="eastAsia"/>
        </w:rPr>
        <w:t>8</w:t>
      </w:r>
      <w:r w:rsidR="00786257" w:rsidRPr="009D423B">
        <w:t xml:space="preserve">  </w:t>
      </w:r>
      <w:r w:rsidR="00786257">
        <w:rPr>
          <w:rFonts w:hint="eastAsia"/>
        </w:rPr>
        <w:t>2017年</w:t>
      </w:r>
      <w:r w:rsidR="00786257" w:rsidRPr="009D423B">
        <w:rPr>
          <w:rFonts w:hint="eastAsia"/>
        </w:rPr>
        <w:t>12月</w:t>
      </w:r>
      <w:r w:rsidR="00786257">
        <w:rPr>
          <w:rFonts w:hint="eastAsia"/>
        </w:rPr>
        <w:t>陕西省网民</w:t>
      </w:r>
      <w:r w:rsidR="00786257" w:rsidRPr="009D423B">
        <w:rPr>
          <w:rFonts w:hint="eastAsia"/>
        </w:rPr>
        <w:t>常用音乐音频类APP</w:t>
      </w:r>
      <w:bookmarkEnd w:id="277"/>
      <w:bookmarkEnd w:id="278"/>
      <w:bookmarkEnd w:id="279"/>
    </w:p>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280" w:name="_Toc485132104"/>
      <w:bookmarkStart w:id="281" w:name="_Toc519837704"/>
      <w:bookmarkStart w:id="282" w:name="_Toc524418003"/>
      <w:r w:rsidRPr="009D423B">
        <w:rPr>
          <w:rFonts w:ascii="微软雅黑" w:eastAsia="微软雅黑" w:hAnsi="微软雅黑" w:hint="eastAsia"/>
          <w:b/>
          <w:szCs w:val="21"/>
        </w:rPr>
        <w:t>9.使用</w:t>
      </w:r>
      <w:r>
        <w:rPr>
          <w:rFonts w:ascii="微软雅黑" w:eastAsia="微软雅黑" w:hAnsi="微软雅黑" w:hint="eastAsia"/>
          <w:b/>
          <w:szCs w:val="21"/>
        </w:rPr>
        <w:t>应用分发</w:t>
      </w:r>
      <w:r w:rsidRPr="009D423B">
        <w:rPr>
          <w:rFonts w:ascii="微软雅黑" w:eastAsia="微软雅黑" w:hAnsi="微软雅黑" w:hint="eastAsia"/>
          <w:b/>
          <w:szCs w:val="21"/>
        </w:rPr>
        <w:t>App情况</w:t>
      </w:r>
      <w:bookmarkEnd w:id="280"/>
      <w:bookmarkEnd w:id="281"/>
      <w:bookmarkEnd w:id="282"/>
    </w:p>
    <w:bookmarkEnd w:id="234"/>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w:t>
      </w:r>
      <w:r>
        <w:rPr>
          <w:rFonts w:ascii="微软雅黑" w:eastAsia="微软雅黑" w:hAnsi="微软雅黑" w:hint="eastAsia"/>
          <w:szCs w:val="21"/>
        </w:rPr>
        <w:t>应用分发</w:t>
      </w:r>
      <w:r w:rsidRPr="009D423B">
        <w:rPr>
          <w:rFonts w:ascii="微软雅黑" w:eastAsia="微软雅黑" w:hAnsi="微软雅黑" w:hint="eastAsia"/>
          <w:szCs w:val="21"/>
        </w:rPr>
        <w:t>APP的</w:t>
      </w:r>
      <w:r>
        <w:rPr>
          <w:rFonts w:ascii="微软雅黑" w:eastAsia="微软雅黑" w:hAnsi="微软雅黑" w:hint="eastAsia"/>
          <w:szCs w:val="21"/>
        </w:rPr>
        <w:t>月独立设备数增长迅速，截至12月达到2993.6万台。从月独立设备数比例来看，从5月开始就维持在较高位水平，尤其是下半年7-12月期间，均保持在80%以上的水平。应用分发类APP作为用户安装、更新各类APP的基础应用，因其自身的属性决定了月独立设备数比例能保持在较高的水平。</w:t>
      </w:r>
    </w:p>
    <w:p w:rsidR="00786257" w:rsidRPr="009D423B" w:rsidRDefault="00786257" w:rsidP="00786257">
      <w:pPr>
        <w:jc w:val="center"/>
        <w:rPr>
          <w:szCs w:val="21"/>
        </w:rPr>
      </w:pPr>
      <w:r>
        <w:rPr>
          <w:noProof/>
        </w:rPr>
        <w:drawing>
          <wp:inline distT="0" distB="0" distL="0" distR="0">
            <wp:extent cx="4809600" cy="2880000"/>
            <wp:effectExtent l="0" t="0" r="10160" b="15875"/>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786257" w:rsidRPr="009D423B" w:rsidRDefault="00C564F4" w:rsidP="00786257">
      <w:pPr>
        <w:pStyle w:val="ab"/>
      </w:pPr>
      <w:bookmarkStart w:id="283" w:name="_Toc483275516"/>
      <w:bookmarkStart w:id="284" w:name="_Toc491880418"/>
      <w:bookmarkStart w:id="285" w:name="_Toc524418194"/>
      <w:r>
        <w:rPr>
          <w:rFonts w:hint="eastAsia"/>
        </w:rPr>
        <w:t>图4-</w:t>
      </w:r>
      <w:r w:rsidR="00786257" w:rsidRPr="009D423B">
        <w:rPr>
          <w:rFonts w:hint="eastAsia"/>
        </w:rPr>
        <w:t>4</w:t>
      </w:r>
      <w:r w:rsidR="00014228">
        <w:rPr>
          <w:rFonts w:hint="eastAsia"/>
        </w:rPr>
        <w:t>9</w:t>
      </w:r>
      <w:r w:rsidR="00786257" w:rsidRPr="009D423B">
        <w:t xml:space="preserve">  </w:t>
      </w:r>
      <w:r w:rsidR="00786257">
        <w:rPr>
          <w:rFonts w:hint="eastAsia"/>
        </w:rPr>
        <w:t>2017年陕西省网民</w:t>
      </w:r>
      <w:r w:rsidR="00786257" w:rsidRPr="009D423B">
        <w:rPr>
          <w:rFonts w:hint="eastAsia"/>
        </w:rPr>
        <w:t>使用</w:t>
      </w:r>
      <w:r w:rsidR="00786257">
        <w:rPr>
          <w:rFonts w:hint="eastAsia"/>
        </w:rPr>
        <w:t>应用分发</w:t>
      </w:r>
      <w:r w:rsidR="00786257" w:rsidRPr="009D423B">
        <w:rPr>
          <w:rFonts w:hint="eastAsia"/>
        </w:rPr>
        <w:t>服务</w:t>
      </w:r>
      <w:bookmarkEnd w:id="283"/>
      <w:bookmarkEnd w:id="284"/>
      <w:r w:rsidR="00786257">
        <w:rPr>
          <w:rFonts w:hint="eastAsia"/>
        </w:rPr>
        <w:t>月独立设备数比例</w:t>
      </w:r>
      <w:bookmarkEnd w:id="285"/>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9D423B"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w:t>
      </w:r>
      <w:r>
        <w:rPr>
          <w:rFonts w:ascii="微软雅黑" w:eastAsia="微软雅黑" w:hAnsi="微软雅黑" w:hint="eastAsia"/>
          <w:szCs w:val="21"/>
        </w:rPr>
        <w:t>应用分发</w:t>
      </w:r>
      <w:r w:rsidRPr="009D423B">
        <w:rPr>
          <w:rFonts w:ascii="微软雅黑" w:eastAsia="微软雅黑" w:hAnsi="微软雅黑" w:hint="eastAsia"/>
          <w:szCs w:val="21"/>
        </w:rPr>
        <w:t>APP的单机使用天数整体平稳，1</w:t>
      </w:r>
      <w:r w:rsidRPr="009D423B">
        <w:rPr>
          <w:rFonts w:ascii="微软雅黑" w:eastAsia="微软雅黑" w:hAnsi="微软雅黑"/>
          <w:szCs w:val="21"/>
        </w:rPr>
        <w:t>-12</w:t>
      </w:r>
      <w:r w:rsidRPr="009D423B">
        <w:rPr>
          <w:rFonts w:ascii="微软雅黑" w:eastAsia="微软雅黑" w:hAnsi="微软雅黑" w:hint="eastAsia"/>
          <w:szCs w:val="21"/>
        </w:rPr>
        <w:t>月均值为</w:t>
      </w:r>
      <w:r>
        <w:rPr>
          <w:rFonts w:ascii="微软雅黑" w:eastAsia="微软雅黑" w:hAnsi="微软雅黑" w:hint="eastAsia"/>
          <w:szCs w:val="21"/>
        </w:rPr>
        <w:t>8.8</w:t>
      </w:r>
      <w:r w:rsidRPr="009D423B">
        <w:rPr>
          <w:rFonts w:ascii="微软雅黑" w:eastAsia="微软雅黑" w:hAnsi="微软雅黑" w:hint="eastAsia"/>
          <w:szCs w:val="21"/>
        </w:rPr>
        <w:t>天</w:t>
      </w:r>
      <w:r>
        <w:rPr>
          <w:rFonts w:ascii="微软雅黑" w:eastAsia="微软雅黑" w:hAnsi="微软雅黑" w:hint="eastAsia"/>
          <w:szCs w:val="21"/>
        </w:rPr>
        <w:t>。在移动端前十大类应用中处于中等水平，是使用频次相对较高的应用类型</w:t>
      </w:r>
      <w:r w:rsidRPr="009D423B">
        <w:rPr>
          <w:rFonts w:ascii="微软雅黑" w:eastAsia="微软雅黑" w:hAnsi="微软雅黑"/>
          <w:szCs w:val="21"/>
        </w:rPr>
        <w:t>。</w:t>
      </w:r>
    </w:p>
    <w:p w:rsidR="00786257" w:rsidRPr="009D423B" w:rsidRDefault="00786257" w:rsidP="00786257">
      <w:pPr>
        <w:jc w:val="center"/>
        <w:rPr>
          <w:szCs w:val="21"/>
        </w:rPr>
      </w:pPr>
      <w:r>
        <w:rPr>
          <w:noProof/>
        </w:rPr>
        <w:drawing>
          <wp:inline distT="0" distB="0" distL="0" distR="0">
            <wp:extent cx="4809600" cy="2880000"/>
            <wp:effectExtent l="0" t="0" r="10160" b="15875"/>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86257" w:rsidRPr="009D423B" w:rsidRDefault="00C564F4" w:rsidP="00786257">
      <w:pPr>
        <w:pStyle w:val="ab"/>
        <w:rPr>
          <w:rFonts w:cs="宋体"/>
        </w:rPr>
      </w:pPr>
      <w:bookmarkStart w:id="286" w:name="_Toc483275517"/>
      <w:bookmarkStart w:id="287" w:name="_Toc491880419"/>
      <w:bookmarkStart w:id="288" w:name="_Toc524418195"/>
      <w:r>
        <w:rPr>
          <w:rFonts w:hint="eastAsia"/>
        </w:rPr>
        <w:t>图4-</w:t>
      </w:r>
      <w:r w:rsidR="00014228">
        <w:rPr>
          <w:rFonts w:hint="eastAsia"/>
        </w:rPr>
        <w:t>50</w:t>
      </w:r>
      <w:r w:rsidR="00786257" w:rsidRPr="009D423B">
        <w:t xml:space="preserve">  </w:t>
      </w:r>
      <w:r w:rsidR="00786257">
        <w:rPr>
          <w:rFonts w:hint="eastAsia"/>
        </w:rPr>
        <w:t>2017年陕西省网民</w:t>
      </w:r>
      <w:r w:rsidR="00786257" w:rsidRPr="009D423B">
        <w:rPr>
          <w:rFonts w:hint="eastAsia"/>
        </w:rPr>
        <w:t>使用</w:t>
      </w:r>
      <w:r w:rsidR="00786257">
        <w:rPr>
          <w:rFonts w:hint="eastAsia"/>
        </w:rPr>
        <w:t>应用分发</w:t>
      </w:r>
      <w:r w:rsidR="00786257" w:rsidRPr="009D423B">
        <w:rPr>
          <w:rFonts w:hint="eastAsia"/>
        </w:rPr>
        <w:t>服务单机使用天数</w:t>
      </w:r>
      <w:bookmarkEnd w:id="286"/>
      <w:bookmarkEnd w:id="287"/>
      <w:bookmarkEnd w:id="288"/>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w:t>
      </w:r>
      <w:r>
        <w:rPr>
          <w:rFonts w:ascii="微软雅黑" w:eastAsia="微软雅黑" w:hAnsi="微软雅黑" w:hint="eastAsia"/>
          <w:szCs w:val="21"/>
        </w:rPr>
        <w:t>应用分发</w:t>
      </w:r>
      <w:r w:rsidRPr="009D423B">
        <w:rPr>
          <w:rFonts w:ascii="微软雅黑" w:eastAsia="微软雅黑" w:hAnsi="微软雅黑" w:hint="eastAsia"/>
          <w:szCs w:val="21"/>
        </w:rPr>
        <w:t>APP的单机单日使用次数</w:t>
      </w:r>
      <w:r>
        <w:rPr>
          <w:rFonts w:ascii="微软雅黑" w:eastAsia="微软雅黑" w:hAnsi="微软雅黑" w:hint="eastAsia"/>
          <w:szCs w:val="21"/>
        </w:rPr>
        <w:t>月均值为2.4次，其中上半年次数略高于下半年。全年来看，为安装或更新各类应用，全省网民单机单日访问</w:t>
      </w:r>
      <w:r w:rsidRPr="00CB51DF">
        <w:rPr>
          <w:rFonts w:ascii="微软雅黑" w:eastAsia="微软雅黑" w:hAnsi="微软雅黑" w:hint="eastAsia"/>
          <w:szCs w:val="21"/>
        </w:rPr>
        <w:t>应用商店、厂商商店和游戏商店</w:t>
      </w:r>
      <w:r>
        <w:rPr>
          <w:rFonts w:ascii="微软雅黑" w:eastAsia="微软雅黑" w:hAnsi="微软雅黑" w:hint="eastAsia"/>
          <w:szCs w:val="21"/>
        </w:rPr>
        <w:t>多集中在2-4次的水平。</w:t>
      </w:r>
    </w:p>
    <w:p w:rsidR="00786257" w:rsidRPr="009D423B" w:rsidRDefault="00786257" w:rsidP="00786257">
      <w:pPr>
        <w:jc w:val="center"/>
        <w:rPr>
          <w:szCs w:val="21"/>
        </w:rPr>
      </w:pPr>
      <w:r>
        <w:rPr>
          <w:noProof/>
        </w:rPr>
        <w:drawing>
          <wp:inline distT="0" distB="0" distL="0" distR="0">
            <wp:extent cx="4809600" cy="2880000"/>
            <wp:effectExtent l="0" t="0" r="10160" b="15875"/>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86257" w:rsidRPr="009D423B" w:rsidRDefault="00C564F4" w:rsidP="00786257">
      <w:pPr>
        <w:pStyle w:val="ab"/>
        <w:rPr>
          <w:rFonts w:cs="宋体"/>
        </w:rPr>
      </w:pPr>
      <w:bookmarkStart w:id="289" w:name="_Toc483275518"/>
      <w:bookmarkStart w:id="290" w:name="_Toc491880420"/>
      <w:bookmarkStart w:id="291" w:name="_Toc524418196"/>
      <w:r>
        <w:rPr>
          <w:rFonts w:hint="eastAsia"/>
        </w:rPr>
        <w:t>图4-</w:t>
      </w:r>
      <w:r w:rsidR="00014228">
        <w:rPr>
          <w:rFonts w:hint="eastAsia"/>
        </w:rPr>
        <w:t>51</w:t>
      </w:r>
      <w:r w:rsidR="00786257" w:rsidRPr="009D423B">
        <w:t xml:space="preserve">  </w:t>
      </w:r>
      <w:r w:rsidR="00786257">
        <w:rPr>
          <w:rFonts w:hint="eastAsia"/>
        </w:rPr>
        <w:t>2017年陕西省网民</w:t>
      </w:r>
      <w:r w:rsidR="00786257" w:rsidRPr="009D423B">
        <w:rPr>
          <w:rFonts w:hint="eastAsia"/>
        </w:rPr>
        <w:t>使用</w:t>
      </w:r>
      <w:r w:rsidR="00786257">
        <w:rPr>
          <w:rFonts w:hint="eastAsia"/>
        </w:rPr>
        <w:t>应用分发</w:t>
      </w:r>
      <w:r w:rsidR="00786257" w:rsidRPr="009D423B">
        <w:rPr>
          <w:rFonts w:hint="eastAsia"/>
        </w:rPr>
        <w:t>服务单机单日使用次数</w:t>
      </w:r>
      <w:bookmarkEnd w:id="289"/>
      <w:bookmarkEnd w:id="290"/>
      <w:bookmarkEnd w:id="291"/>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w:t>
      </w:r>
      <w:r>
        <w:rPr>
          <w:rFonts w:ascii="微软雅黑" w:eastAsia="微软雅黑" w:hAnsi="微软雅黑" w:hint="eastAsia"/>
          <w:szCs w:val="21"/>
        </w:rPr>
        <w:t>应用分发</w:t>
      </w:r>
      <w:r w:rsidRPr="009D423B">
        <w:rPr>
          <w:rFonts w:ascii="微软雅黑" w:eastAsia="微软雅黑" w:hAnsi="微软雅黑" w:hint="eastAsia"/>
          <w:szCs w:val="21"/>
        </w:rPr>
        <w:t>APP的单机单次有效时间</w:t>
      </w:r>
      <w:r>
        <w:rPr>
          <w:rFonts w:ascii="微软雅黑" w:eastAsia="微软雅黑" w:hAnsi="微软雅黑" w:hint="eastAsia"/>
          <w:szCs w:val="21"/>
        </w:rPr>
        <w:t>整体介于1.3-1.8分钟之间，全年均值为1.6分钟。总体来看，</w:t>
      </w:r>
      <w:r w:rsidRPr="00E72F0F">
        <w:rPr>
          <w:rFonts w:ascii="微软雅黑" w:eastAsia="微软雅黑" w:hAnsi="微软雅黑" w:hint="eastAsia"/>
          <w:szCs w:val="21"/>
        </w:rPr>
        <w:t>单机单次有效时间</w:t>
      </w:r>
      <w:r>
        <w:rPr>
          <w:rFonts w:ascii="微软雅黑" w:eastAsia="微软雅黑" w:hAnsi="微软雅黑" w:hint="eastAsia"/>
          <w:szCs w:val="21"/>
        </w:rPr>
        <w:t>呈下降趋势，下半年较上半年均值减少了约0.4分钟。</w:t>
      </w:r>
      <w:r w:rsidRPr="00E72F0F">
        <w:rPr>
          <w:rFonts w:ascii="微软雅黑" w:eastAsia="微软雅黑" w:hAnsi="微软雅黑" w:hint="eastAsia"/>
          <w:szCs w:val="21"/>
        </w:rPr>
        <w:t>单机单次有效时间</w:t>
      </w:r>
      <w:r>
        <w:rPr>
          <w:rFonts w:ascii="微软雅黑" w:eastAsia="微软雅黑" w:hAnsi="微软雅黑" w:hint="eastAsia"/>
          <w:szCs w:val="21"/>
        </w:rPr>
        <w:t>的减少，表明用户在使用应用分发类APP时能更加快速的完成安装和更新，而这或与宽带提速和移动端流量资费不断下调有一定联系。</w:t>
      </w:r>
    </w:p>
    <w:p w:rsidR="00786257" w:rsidRPr="009D423B" w:rsidRDefault="00786257" w:rsidP="00786257">
      <w:pPr>
        <w:jc w:val="center"/>
        <w:rPr>
          <w:szCs w:val="21"/>
        </w:rPr>
      </w:pPr>
      <w:r>
        <w:rPr>
          <w:noProof/>
        </w:rPr>
        <w:drawing>
          <wp:inline distT="0" distB="0" distL="0" distR="0">
            <wp:extent cx="4809600" cy="2880000"/>
            <wp:effectExtent l="0" t="0" r="10160" b="15875"/>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86257" w:rsidRPr="009D423B" w:rsidRDefault="00C564F4" w:rsidP="00786257">
      <w:pPr>
        <w:pStyle w:val="ab"/>
        <w:rPr>
          <w:rFonts w:cs="宋体"/>
        </w:rPr>
      </w:pPr>
      <w:bookmarkStart w:id="292" w:name="_Toc483275519"/>
      <w:bookmarkStart w:id="293" w:name="_Toc491880421"/>
      <w:bookmarkStart w:id="294" w:name="_Toc524418197"/>
      <w:r>
        <w:rPr>
          <w:rFonts w:hint="eastAsia"/>
        </w:rPr>
        <w:t>图4-</w:t>
      </w:r>
      <w:r w:rsidR="00014228">
        <w:rPr>
          <w:rFonts w:hint="eastAsia"/>
        </w:rPr>
        <w:t>52</w:t>
      </w:r>
      <w:r w:rsidR="00786257" w:rsidRPr="009D423B">
        <w:t xml:space="preserve">  </w:t>
      </w:r>
      <w:r w:rsidR="00786257">
        <w:rPr>
          <w:rFonts w:hint="eastAsia"/>
        </w:rPr>
        <w:t>2017年陕西省网民</w:t>
      </w:r>
      <w:r w:rsidR="00786257" w:rsidRPr="009D423B">
        <w:rPr>
          <w:rFonts w:hint="eastAsia"/>
        </w:rPr>
        <w:t>使用</w:t>
      </w:r>
      <w:r w:rsidR="00786257">
        <w:rPr>
          <w:rFonts w:hint="eastAsia"/>
        </w:rPr>
        <w:t>应用分发</w:t>
      </w:r>
      <w:r w:rsidR="00786257" w:rsidRPr="009D423B">
        <w:rPr>
          <w:rFonts w:hint="eastAsia"/>
        </w:rPr>
        <w:t>服务单机单次有效时间</w:t>
      </w:r>
      <w:bookmarkEnd w:id="292"/>
      <w:bookmarkEnd w:id="293"/>
      <w:bookmarkEnd w:id="294"/>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12月，</w:t>
      </w:r>
      <w:r>
        <w:rPr>
          <w:rFonts w:ascii="微软雅黑" w:eastAsia="微软雅黑" w:hAnsi="微软雅黑" w:hint="eastAsia"/>
          <w:szCs w:val="21"/>
        </w:rPr>
        <w:t>陕西省网民</w:t>
      </w:r>
      <w:r w:rsidRPr="009D423B">
        <w:rPr>
          <w:rFonts w:ascii="微软雅黑" w:eastAsia="微软雅黑" w:hAnsi="微软雅黑"/>
          <w:szCs w:val="21"/>
        </w:rPr>
        <w:t>最常用的</w:t>
      </w:r>
      <w:r>
        <w:rPr>
          <w:rFonts w:ascii="微软雅黑" w:eastAsia="微软雅黑" w:hAnsi="微软雅黑" w:hint="eastAsia"/>
          <w:szCs w:val="21"/>
        </w:rPr>
        <w:t>应用分发</w:t>
      </w:r>
      <w:r w:rsidRPr="009D423B">
        <w:rPr>
          <w:rFonts w:ascii="微软雅黑" w:eastAsia="微软雅黑" w:hAnsi="微软雅黑" w:hint="eastAsia"/>
          <w:szCs w:val="21"/>
        </w:rPr>
        <w:t>类APP中</w:t>
      </w:r>
      <w:r w:rsidRPr="009D423B">
        <w:rPr>
          <w:rFonts w:ascii="微软雅黑" w:eastAsia="微软雅黑" w:hAnsi="微软雅黑"/>
          <w:szCs w:val="21"/>
        </w:rPr>
        <w:t>，</w:t>
      </w:r>
      <w:r>
        <w:rPr>
          <w:rFonts w:ascii="微软雅黑" w:eastAsia="微软雅黑" w:hAnsi="微软雅黑"/>
          <w:szCs w:val="21"/>
        </w:rPr>
        <w:t>应用宝以</w:t>
      </w:r>
      <w:r>
        <w:rPr>
          <w:rFonts w:ascii="微软雅黑" w:eastAsia="微软雅黑" w:hAnsi="微软雅黑" w:hint="eastAsia"/>
          <w:szCs w:val="21"/>
        </w:rPr>
        <w:t>27.9%的月独立设备数比例位居第一，苹果应用商店和360手机助手排在第二和第三位，月独立设备数比例分别为19.1%和16.9%。百度手机助手、华为应用市场、VIVO、小米、OPPO等品牌厂家的应用市场和游戏中心也位列前十，月独立设备数比例差异不大。</w:t>
      </w:r>
    </w:p>
    <w:p w:rsidR="00786257" w:rsidRPr="009D423B" w:rsidRDefault="00786257" w:rsidP="00786257">
      <w:pPr>
        <w:jc w:val="center"/>
        <w:rPr>
          <w:szCs w:val="21"/>
        </w:rPr>
      </w:pPr>
      <w:r>
        <w:rPr>
          <w:noProof/>
        </w:rPr>
        <w:drawing>
          <wp:inline distT="0" distB="0" distL="0" distR="0">
            <wp:extent cx="4809600" cy="3240000"/>
            <wp:effectExtent l="0" t="0" r="10160" b="17780"/>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786257" w:rsidRDefault="00C564F4" w:rsidP="00786257">
      <w:pPr>
        <w:pStyle w:val="ab"/>
      </w:pPr>
      <w:bookmarkStart w:id="295" w:name="_Toc483275520"/>
      <w:bookmarkStart w:id="296" w:name="_Toc491880422"/>
      <w:bookmarkStart w:id="297" w:name="_Toc524418198"/>
      <w:r>
        <w:rPr>
          <w:rFonts w:hint="eastAsia"/>
        </w:rPr>
        <w:t>图4-</w:t>
      </w:r>
      <w:r w:rsidR="00786257" w:rsidRPr="009D423B">
        <w:rPr>
          <w:rFonts w:hint="eastAsia"/>
        </w:rPr>
        <w:t>5</w:t>
      </w:r>
      <w:r w:rsidR="00014228">
        <w:rPr>
          <w:rFonts w:hint="eastAsia"/>
        </w:rPr>
        <w:t>3</w:t>
      </w:r>
      <w:r w:rsidR="00786257" w:rsidRPr="009D423B">
        <w:t xml:space="preserve">  </w:t>
      </w:r>
      <w:r w:rsidR="00786257">
        <w:rPr>
          <w:rFonts w:hint="eastAsia"/>
        </w:rPr>
        <w:t>2017年</w:t>
      </w:r>
      <w:r w:rsidR="00786257" w:rsidRPr="009D423B">
        <w:rPr>
          <w:rFonts w:hint="eastAsia"/>
        </w:rPr>
        <w:t>12月</w:t>
      </w:r>
      <w:r w:rsidR="00786257">
        <w:rPr>
          <w:rFonts w:hint="eastAsia"/>
        </w:rPr>
        <w:t>陕西省网民</w:t>
      </w:r>
      <w:r w:rsidR="00786257" w:rsidRPr="009D423B">
        <w:rPr>
          <w:rFonts w:hint="eastAsia"/>
        </w:rPr>
        <w:t>常用</w:t>
      </w:r>
      <w:r w:rsidR="00786257">
        <w:rPr>
          <w:rFonts w:hint="eastAsia"/>
        </w:rPr>
        <w:t>应用分发</w:t>
      </w:r>
      <w:r w:rsidR="00786257" w:rsidRPr="009D423B">
        <w:rPr>
          <w:rFonts w:hint="eastAsia"/>
        </w:rPr>
        <w:t>类A</w:t>
      </w:r>
      <w:r w:rsidR="00786257" w:rsidRPr="009D423B">
        <w:t>PP</w:t>
      </w:r>
      <w:bookmarkEnd w:id="295"/>
      <w:bookmarkEnd w:id="296"/>
      <w:bookmarkEnd w:id="297"/>
    </w:p>
    <w:p w:rsidR="00014228" w:rsidRDefault="00014228" w:rsidP="00014228"/>
    <w:p w:rsidR="00014228" w:rsidRPr="00014228" w:rsidRDefault="00014228" w:rsidP="00014228"/>
    <w:p w:rsidR="00786257" w:rsidRPr="009D423B" w:rsidRDefault="00786257" w:rsidP="00786257">
      <w:pPr>
        <w:snapToGrid w:val="0"/>
        <w:spacing w:line="400" w:lineRule="exact"/>
        <w:ind w:firstLineChars="202" w:firstLine="424"/>
        <w:outlineLvl w:val="3"/>
        <w:rPr>
          <w:rFonts w:ascii="微软雅黑" w:eastAsia="微软雅黑" w:hAnsi="微软雅黑"/>
          <w:b/>
          <w:szCs w:val="21"/>
        </w:rPr>
      </w:pPr>
      <w:bookmarkStart w:id="298" w:name="_Toc519837705"/>
      <w:bookmarkStart w:id="299" w:name="_Toc524418004"/>
      <w:r w:rsidRPr="009D423B">
        <w:rPr>
          <w:rFonts w:ascii="微软雅黑" w:eastAsia="微软雅黑" w:hAnsi="微软雅黑" w:hint="eastAsia"/>
          <w:b/>
          <w:szCs w:val="21"/>
        </w:rPr>
        <w:t>10.使用综合资讯App情况</w:t>
      </w:r>
      <w:bookmarkEnd w:id="298"/>
      <w:bookmarkEnd w:id="299"/>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（1）</w:t>
      </w:r>
      <w:r>
        <w:rPr>
          <w:rFonts w:ascii="微软雅黑" w:eastAsia="微软雅黑" w:hAnsi="微软雅黑" w:hint="eastAsia"/>
          <w:b/>
          <w:szCs w:val="21"/>
        </w:rPr>
        <w:t>月独立设备数比例</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，陕西省</w:t>
      </w:r>
      <w:r>
        <w:rPr>
          <w:rFonts w:ascii="微软雅黑" w:eastAsia="微软雅黑" w:hAnsi="微软雅黑" w:hint="eastAsia"/>
          <w:szCs w:val="21"/>
        </w:rPr>
        <w:t>网民使用</w:t>
      </w:r>
      <w:r w:rsidRPr="009D423B">
        <w:rPr>
          <w:rFonts w:ascii="微软雅黑" w:eastAsia="微软雅黑" w:hAnsi="微软雅黑" w:hint="eastAsia"/>
          <w:szCs w:val="21"/>
        </w:rPr>
        <w:t>综合资讯APP的</w:t>
      </w:r>
      <w:r>
        <w:rPr>
          <w:rFonts w:ascii="微软雅黑" w:eastAsia="微软雅黑" w:hAnsi="微软雅黑" w:hint="eastAsia"/>
          <w:szCs w:val="21"/>
        </w:rPr>
        <w:t>月独立设备数保持快速增长，截至12月达到2183.3万台，较2016年12月增长23.6%。从月独立设备数比例来看，1-12月也呈现出稳步增长趋势，由年初1月的51.0%提升至12月的58.7%，全年均值为55.6%。</w:t>
      </w:r>
    </w:p>
    <w:p w:rsidR="00786257" w:rsidRPr="009D423B" w:rsidRDefault="00786257" w:rsidP="00786257">
      <w:pPr>
        <w:jc w:val="center"/>
        <w:rPr>
          <w:szCs w:val="21"/>
        </w:rPr>
      </w:pPr>
      <w:r>
        <w:rPr>
          <w:noProof/>
        </w:rPr>
        <w:drawing>
          <wp:inline distT="0" distB="0" distL="0" distR="0">
            <wp:extent cx="4809600" cy="2880000"/>
            <wp:effectExtent l="0" t="0" r="10160" b="15875"/>
            <wp:docPr id="82"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86257" w:rsidRPr="009D423B" w:rsidRDefault="00C564F4" w:rsidP="00786257">
      <w:pPr>
        <w:pStyle w:val="ab"/>
      </w:pPr>
      <w:bookmarkStart w:id="300" w:name="_Toc491880423"/>
      <w:bookmarkStart w:id="301" w:name="_Toc524418199"/>
      <w:r>
        <w:rPr>
          <w:rFonts w:hint="eastAsia"/>
        </w:rPr>
        <w:t>图4-</w:t>
      </w:r>
      <w:r w:rsidR="00786257">
        <w:rPr>
          <w:rFonts w:hint="eastAsia"/>
        </w:rPr>
        <w:t>5</w:t>
      </w:r>
      <w:r w:rsidR="00014228">
        <w:rPr>
          <w:rFonts w:hint="eastAsia"/>
        </w:rPr>
        <w:t>4</w:t>
      </w:r>
      <w:r w:rsidR="00786257" w:rsidRPr="009D423B">
        <w:t xml:space="preserve">  </w:t>
      </w:r>
      <w:r w:rsidR="00786257">
        <w:rPr>
          <w:rFonts w:hint="eastAsia"/>
        </w:rPr>
        <w:t>2017年陕西省网民</w:t>
      </w:r>
      <w:r w:rsidR="00786257" w:rsidRPr="009D423B">
        <w:rPr>
          <w:rFonts w:hint="eastAsia"/>
        </w:rPr>
        <w:t>使用综合资讯服务</w:t>
      </w:r>
      <w:bookmarkEnd w:id="300"/>
      <w:r w:rsidR="00786257">
        <w:rPr>
          <w:rFonts w:hint="eastAsia"/>
        </w:rPr>
        <w:t>月独立设备数比例</w:t>
      </w:r>
      <w:bookmarkEnd w:id="301"/>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（2）单机使用天数</w:t>
      </w:r>
    </w:p>
    <w:p w:rsidR="00786257" w:rsidRPr="009D423B" w:rsidRDefault="00786257" w:rsidP="00786257">
      <w:pPr>
        <w:snapToGrid w:val="0"/>
        <w:spacing w:line="400" w:lineRule="exact"/>
        <w:ind w:firstLineChars="202" w:firstLine="424"/>
        <w:rPr>
          <w:rFonts w:ascii="微软雅黑" w:eastAsia="微软雅黑" w:hAnsi="微软雅黑" w:cs="宋体"/>
          <w:bCs/>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使用综合资讯APP单机使用天数</w:t>
      </w:r>
      <w:r>
        <w:rPr>
          <w:rFonts w:ascii="微软雅黑" w:eastAsia="微软雅黑" w:hAnsi="微软雅黑" w:hint="eastAsia"/>
          <w:szCs w:val="21"/>
        </w:rPr>
        <w:t>保持平稳，均值为12.4天，较2016年提升0.8天，全年来看无显著的峰值，这也侧面表明网民使用</w:t>
      </w:r>
      <w:r w:rsidRPr="009D423B">
        <w:rPr>
          <w:rFonts w:ascii="微软雅黑" w:eastAsia="微软雅黑" w:hAnsi="微软雅黑" w:hint="eastAsia"/>
          <w:szCs w:val="21"/>
        </w:rPr>
        <w:t>综合资讯</w:t>
      </w:r>
      <w:r>
        <w:rPr>
          <w:rFonts w:ascii="微软雅黑" w:eastAsia="微软雅黑" w:hAnsi="微软雅黑" w:hint="eastAsia"/>
          <w:szCs w:val="21"/>
        </w:rPr>
        <w:t>的习惯是相对稳定的。</w:t>
      </w:r>
    </w:p>
    <w:p w:rsidR="00786257" w:rsidRPr="009D423B" w:rsidRDefault="00786257" w:rsidP="00786257">
      <w:pPr>
        <w:jc w:val="center"/>
        <w:rPr>
          <w:szCs w:val="21"/>
        </w:rPr>
      </w:pPr>
      <w:r>
        <w:rPr>
          <w:noProof/>
        </w:rPr>
        <w:drawing>
          <wp:inline distT="0" distB="0" distL="0" distR="0">
            <wp:extent cx="4809600" cy="2880000"/>
            <wp:effectExtent l="0" t="0" r="10160" b="15875"/>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86257" w:rsidRPr="009D423B" w:rsidRDefault="00C564F4" w:rsidP="00786257">
      <w:pPr>
        <w:pStyle w:val="ab"/>
      </w:pPr>
      <w:bookmarkStart w:id="302" w:name="_Toc491880424"/>
      <w:bookmarkStart w:id="303" w:name="_Toc524418200"/>
      <w:r>
        <w:rPr>
          <w:rFonts w:hint="eastAsia"/>
        </w:rPr>
        <w:t>图4-</w:t>
      </w:r>
      <w:r w:rsidR="00786257">
        <w:rPr>
          <w:rFonts w:hint="eastAsia"/>
        </w:rPr>
        <w:t>5</w:t>
      </w:r>
      <w:r w:rsidR="00014228">
        <w:rPr>
          <w:rFonts w:hint="eastAsia"/>
        </w:rPr>
        <w:t>5</w:t>
      </w:r>
      <w:r w:rsidR="00786257" w:rsidRPr="009D423B">
        <w:t xml:space="preserve">  </w:t>
      </w:r>
      <w:r w:rsidR="00786257">
        <w:rPr>
          <w:rFonts w:hint="eastAsia"/>
        </w:rPr>
        <w:t>2017年陕西省网民</w:t>
      </w:r>
      <w:r w:rsidR="00786257" w:rsidRPr="009D423B">
        <w:rPr>
          <w:rFonts w:hint="eastAsia"/>
        </w:rPr>
        <w:t>使用综合资讯服务单机使用天数</w:t>
      </w:r>
      <w:bookmarkEnd w:id="302"/>
      <w:bookmarkEnd w:id="303"/>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（3）单机单日使用次数</w:t>
      </w:r>
    </w:p>
    <w:p w:rsidR="00786257" w:rsidRPr="00FF26F1"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使用综合资讯APP单机单日使用次数</w:t>
      </w:r>
      <w:r>
        <w:rPr>
          <w:rFonts w:ascii="微软雅黑" w:eastAsia="微软雅黑" w:hAnsi="微软雅黑" w:hint="eastAsia"/>
          <w:szCs w:val="21"/>
        </w:rPr>
        <w:t>均值为2.9天，与2016年相比提升了0.4天。整体来看，下半年</w:t>
      </w:r>
      <w:r w:rsidRPr="009D423B">
        <w:rPr>
          <w:rFonts w:ascii="微软雅黑" w:eastAsia="微软雅黑" w:hAnsi="微软雅黑" w:hint="eastAsia"/>
          <w:szCs w:val="21"/>
        </w:rPr>
        <w:t>单机单日使用次数</w:t>
      </w:r>
      <w:r>
        <w:rPr>
          <w:rFonts w:ascii="微软雅黑" w:eastAsia="微软雅黑" w:hAnsi="微软雅黑" w:hint="eastAsia"/>
          <w:szCs w:val="21"/>
        </w:rPr>
        <w:t>高于上半年，这表明网民使用</w:t>
      </w:r>
      <w:r w:rsidRPr="009D423B">
        <w:rPr>
          <w:rFonts w:ascii="微软雅黑" w:eastAsia="微软雅黑" w:hAnsi="微软雅黑" w:hint="eastAsia"/>
          <w:szCs w:val="21"/>
        </w:rPr>
        <w:t>综合资讯</w:t>
      </w:r>
      <w:r>
        <w:rPr>
          <w:rFonts w:ascii="微软雅黑" w:eastAsia="微软雅黑" w:hAnsi="微软雅黑" w:hint="eastAsia"/>
          <w:szCs w:val="21"/>
        </w:rPr>
        <w:t>的频次正在不断增加。</w:t>
      </w:r>
    </w:p>
    <w:p w:rsidR="00786257" w:rsidRPr="009D423B" w:rsidRDefault="00786257" w:rsidP="00786257">
      <w:pPr>
        <w:jc w:val="center"/>
        <w:rPr>
          <w:szCs w:val="21"/>
        </w:rPr>
      </w:pPr>
      <w:r>
        <w:rPr>
          <w:noProof/>
        </w:rPr>
        <w:drawing>
          <wp:inline distT="0" distB="0" distL="0" distR="0">
            <wp:extent cx="4809600" cy="2880000"/>
            <wp:effectExtent l="0" t="0" r="10160" b="15875"/>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86257" w:rsidRPr="009D423B" w:rsidRDefault="00C564F4" w:rsidP="00786257">
      <w:pPr>
        <w:pStyle w:val="ab"/>
      </w:pPr>
      <w:bookmarkStart w:id="304" w:name="_Toc491880425"/>
      <w:bookmarkStart w:id="305" w:name="_Toc524418201"/>
      <w:r>
        <w:rPr>
          <w:rFonts w:hint="eastAsia"/>
        </w:rPr>
        <w:t>图4-</w:t>
      </w:r>
      <w:r w:rsidR="00786257">
        <w:rPr>
          <w:rFonts w:hint="eastAsia"/>
        </w:rPr>
        <w:t>5</w:t>
      </w:r>
      <w:r w:rsidR="00014228">
        <w:rPr>
          <w:rFonts w:hint="eastAsia"/>
        </w:rPr>
        <w:t>6</w:t>
      </w:r>
      <w:r w:rsidR="00786257" w:rsidRPr="009D423B">
        <w:t xml:space="preserve">  </w:t>
      </w:r>
      <w:r w:rsidR="00786257">
        <w:rPr>
          <w:rFonts w:hint="eastAsia"/>
        </w:rPr>
        <w:t>2017年陕西省网民</w:t>
      </w:r>
      <w:r w:rsidR="00786257" w:rsidRPr="009D423B">
        <w:rPr>
          <w:rFonts w:hint="eastAsia"/>
        </w:rPr>
        <w:t>使用综合资讯服务单机单日使用次数</w:t>
      </w:r>
      <w:bookmarkEnd w:id="304"/>
      <w:bookmarkEnd w:id="305"/>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（4）单机单次有效时间</w:t>
      </w:r>
    </w:p>
    <w:p w:rsidR="00786257" w:rsidRDefault="00786257" w:rsidP="00786257">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9D423B">
        <w:rPr>
          <w:rFonts w:ascii="微软雅黑" w:eastAsia="微软雅黑" w:hAnsi="微软雅黑" w:hint="eastAsia"/>
          <w:szCs w:val="21"/>
        </w:rPr>
        <w:t>，</w:t>
      </w:r>
      <w:r>
        <w:rPr>
          <w:rFonts w:ascii="微软雅黑" w:eastAsia="微软雅黑" w:hAnsi="微软雅黑" w:hint="eastAsia"/>
          <w:szCs w:val="21"/>
        </w:rPr>
        <w:t>陕西省网民</w:t>
      </w:r>
      <w:r w:rsidRPr="009D423B">
        <w:rPr>
          <w:rFonts w:ascii="微软雅黑" w:eastAsia="微软雅黑" w:hAnsi="微软雅黑" w:hint="eastAsia"/>
          <w:szCs w:val="21"/>
        </w:rPr>
        <w:t>使用综合资讯APP单机单次有效时间</w:t>
      </w:r>
      <w:r>
        <w:rPr>
          <w:rFonts w:ascii="微软雅黑" w:eastAsia="微软雅黑" w:hAnsi="微软雅黑" w:hint="eastAsia"/>
          <w:szCs w:val="21"/>
        </w:rPr>
        <w:t>整体保持平稳，全年均值为11.4分钟，但与2016年相比则降低了0.9分钟。但由于网民单机单日使用次数的增加，使得</w:t>
      </w:r>
      <w:r w:rsidRPr="00FF26F1">
        <w:rPr>
          <w:rFonts w:ascii="微软雅黑" w:eastAsia="微软雅黑" w:hAnsi="微软雅黑" w:hint="eastAsia"/>
          <w:szCs w:val="21"/>
        </w:rPr>
        <w:t>单机单日的总时间</w:t>
      </w:r>
      <w:r>
        <w:rPr>
          <w:rFonts w:ascii="微软雅黑" w:eastAsia="微软雅黑" w:hAnsi="微软雅黑" w:hint="eastAsia"/>
          <w:szCs w:val="21"/>
        </w:rPr>
        <w:t>平均值</w:t>
      </w:r>
      <w:r w:rsidRPr="00FF26F1">
        <w:rPr>
          <w:rFonts w:ascii="微软雅黑" w:eastAsia="微软雅黑" w:hAnsi="微软雅黑" w:hint="eastAsia"/>
          <w:szCs w:val="21"/>
        </w:rPr>
        <w:t>达到了</w:t>
      </w:r>
      <w:r>
        <w:rPr>
          <w:rFonts w:ascii="微软雅黑" w:eastAsia="微软雅黑" w:hAnsi="微软雅黑" w:hint="eastAsia"/>
          <w:szCs w:val="21"/>
        </w:rPr>
        <w:t>33.6分钟，较2016年增加了2.5分钟。这表明，网民在移动端使用综合资讯服务的时间更加碎片化，但对于</w:t>
      </w:r>
      <w:r w:rsidRPr="009D423B">
        <w:rPr>
          <w:rFonts w:ascii="微软雅黑" w:eastAsia="微软雅黑" w:hAnsi="微软雅黑" w:hint="eastAsia"/>
          <w:szCs w:val="21"/>
        </w:rPr>
        <w:t>综合资讯</w:t>
      </w:r>
      <w:r>
        <w:rPr>
          <w:rFonts w:ascii="微软雅黑" w:eastAsia="微软雅黑" w:hAnsi="微软雅黑" w:hint="eastAsia"/>
          <w:szCs w:val="21"/>
        </w:rPr>
        <w:t>的需求是较为稳定的。</w:t>
      </w:r>
    </w:p>
    <w:p w:rsidR="00786257" w:rsidRPr="009D423B" w:rsidRDefault="00786257" w:rsidP="00786257">
      <w:pPr>
        <w:jc w:val="center"/>
        <w:rPr>
          <w:szCs w:val="21"/>
        </w:rPr>
      </w:pPr>
      <w:r>
        <w:rPr>
          <w:noProof/>
        </w:rPr>
        <w:drawing>
          <wp:inline distT="0" distB="0" distL="0" distR="0">
            <wp:extent cx="4809600" cy="2880000"/>
            <wp:effectExtent l="0" t="0" r="10160" b="15875"/>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86257" w:rsidRPr="009D423B" w:rsidRDefault="00C564F4" w:rsidP="00786257">
      <w:pPr>
        <w:pStyle w:val="ab"/>
      </w:pPr>
      <w:bookmarkStart w:id="306" w:name="_Toc491880426"/>
      <w:bookmarkStart w:id="307" w:name="_Toc524418202"/>
      <w:r>
        <w:rPr>
          <w:rFonts w:hint="eastAsia"/>
        </w:rPr>
        <w:t>图4-</w:t>
      </w:r>
      <w:r w:rsidR="00786257">
        <w:rPr>
          <w:rFonts w:hint="eastAsia"/>
        </w:rPr>
        <w:t>5</w:t>
      </w:r>
      <w:r w:rsidR="00014228">
        <w:rPr>
          <w:rFonts w:hint="eastAsia"/>
        </w:rPr>
        <w:t>7</w:t>
      </w:r>
      <w:r w:rsidR="00786257" w:rsidRPr="009D423B">
        <w:t xml:space="preserve">  </w:t>
      </w:r>
      <w:r w:rsidR="00786257">
        <w:rPr>
          <w:rFonts w:hint="eastAsia"/>
        </w:rPr>
        <w:t>2017年陕西省网民</w:t>
      </w:r>
      <w:r w:rsidR="00786257" w:rsidRPr="009D423B">
        <w:rPr>
          <w:rFonts w:hint="eastAsia"/>
        </w:rPr>
        <w:t>使用综合资讯服务单机单次有效时间</w:t>
      </w:r>
      <w:bookmarkEnd w:id="306"/>
      <w:bookmarkEnd w:id="307"/>
    </w:p>
    <w:p w:rsidR="00786257" w:rsidRPr="009D423B" w:rsidRDefault="00786257" w:rsidP="00786257">
      <w:pPr>
        <w:widowControl/>
        <w:spacing w:line="400" w:lineRule="exact"/>
        <w:ind w:firstLineChars="200" w:firstLine="420"/>
        <w:jc w:val="left"/>
        <w:outlineLvl w:val="4"/>
        <w:rPr>
          <w:rFonts w:ascii="微软雅黑" w:eastAsia="微软雅黑" w:hAnsi="微软雅黑"/>
          <w:b/>
          <w:szCs w:val="21"/>
        </w:rPr>
      </w:pPr>
      <w:r w:rsidRPr="009D423B">
        <w:rPr>
          <w:rFonts w:ascii="微软雅黑" w:eastAsia="微软雅黑" w:hAnsi="微软雅黑" w:hint="eastAsia"/>
          <w:b/>
          <w:szCs w:val="21"/>
        </w:rPr>
        <w:t>（5）最常用App排行</w:t>
      </w:r>
    </w:p>
    <w:p w:rsidR="00786257" w:rsidRPr="009D423B" w:rsidRDefault="00786257" w:rsidP="00786257">
      <w:pPr>
        <w:snapToGrid w:val="0"/>
        <w:spacing w:line="400" w:lineRule="exact"/>
        <w:ind w:firstLineChars="202" w:firstLine="424"/>
        <w:rPr>
          <w:rFonts w:ascii="微软雅黑" w:eastAsia="微软雅黑" w:hAnsi="微软雅黑" w:cs="宋体"/>
          <w:bCs/>
          <w:szCs w:val="21"/>
        </w:rPr>
      </w:pPr>
      <w:r>
        <w:rPr>
          <w:rFonts w:ascii="微软雅黑" w:eastAsia="微软雅黑" w:hAnsi="微软雅黑" w:hint="eastAsia"/>
          <w:szCs w:val="21"/>
        </w:rPr>
        <w:t>2017年</w:t>
      </w:r>
      <w:r w:rsidRPr="009D423B">
        <w:rPr>
          <w:rFonts w:ascii="微软雅黑" w:eastAsia="微软雅黑" w:hAnsi="微软雅黑" w:hint="eastAsia"/>
          <w:szCs w:val="21"/>
        </w:rPr>
        <w:t>12月，</w:t>
      </w:r>
      <w:r>
        <w:rPr>
          <w:rFonts w:ascii="微软雅黑" w:eastAsia="微软雅黑" w:hAnsi="微软雅黑" w:hint="eastAsia"/>
          <w:szCs w:val="21"/>
        </w:rPr>
        <w:t>陕西省网民</w:t>
      </w:r>
      <w:r w:rsidRPr="009D423B">
        <w:rPr>
          <w:rFonts w:ascii="微软雅黑" w:eastAsia="微软雅黑" w:hAnsi="微软雅黑" w:hint="eastAsia"/>
          <w:szCs w:val="21"/>
        </w:rPr>
        <w:t>使用的主要综合资讯类APP</w:t>
      </w:r>
      <w:r>
        <w:rPr>
          <w:rFonts w:ascii="微软雅黑" w:eastAsia="微软雅黑" w:hAnsi="微软雅黑" w:hint="eastAsia"/>
          <w:szCs w:val="21"/>
        </w:rPr>
        <w:t>中，腾讯新闻、今日头条分列前两位，</w:t>
      </w:r>
      <w:r>
        <w:rPr>
          <w:rFonts w:ascii="微软雅黑" w:eastAsia="微软雅黑" w:hAnsi="微软雅黑"/>
          <w:szCs w:val="21"/>
        </w:rPr>
        <w:t>月独立设备数比例均在</w:t>
      </w:r>
      <w:r>
        <w:rPr>
          <w:rFonts w:ascii="微软雅黑" w:eastAsia="微软雅黑" w:hAnsi="微软雅黑" w:hint="eastAsia"/>
          <w:szCs w:val="21"/>
        </w:rPr>
        <w:t>30%以上，处于第一梯队行列。值得注意的是，在2017年，陕西省使用今日头条的用户增长迅速，月独立设备数从2016年12月的370.0万台增加至2017年12月的688.1万台。而新浪新闻、网易新闻等传统门户的APP应用用户增长也比较显著，分列综合资讯类第三和第四。</w:t>
      </w:r>
    </w:p>
    <w:p w:rsidR="00786257" w:rsidRPr="009D423B" w:rsidRDefault="00786257" w:rsidP="00786257">
      <w:pPr>
        <w:jc w:val="center"/>
        <w:rPr>
          <w:szCs w:val="21"/>
        </w:rPr>
      </w:pPr>
      <w:r>
        <w:rPr>
          <w:noProof/>
        </w:rPr>
        <w:drawing>
          <wp:inline distT="0" distB="0" distL="0" distR="0">
            <wp:extent cx="4809600" cy="3240000"/>
            <wp:effectExtent l="0" t="0" r="10160" b="17780"/>
            <wp:docPr id="91" name="图表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86257" w:rsidRDefault="00C564F4" w:rsidP="00786257">
      <w:pPr>
        <w:pStyle w:val="ab"/>
      </w:pPr>
      <w:bookmarkStart w:id="308" w:name="_Toc491880427"/>
      <w:bookmarkStart w:id="309" w:name="_Toc524418203"/>
      <w:r>
        <w:rPr>
          <w:rFonts w:hint="eastAsia"/>
        </w:rPr>
        <w:t>图4-</w:t>
      </w:r>
      <w:r w:rsidR="00786257">
        <w:rPr>
          <w:rFonts w:hint="eastAsia"/>
        </w:rPr>
        <w:t>5</w:t>
      </w:r>
      <w:r w:rsidR="00014228">
        <w:rPr>
          <w:rFonts w:hint="eastAsia"/>
        </w:rPr>
        <w:t>8</w:t>
      </w:r>
      <w:r w:rsidR="00786257" w:rsidRPr="009D423B">
        <w:t xml:space="preserve">  </w:t>
      </w:r>
      <w:r w:rsidR="00786257">
        <w:rPr>
          <w:rFonts w:hint="eastAsia"/>
        </w:rPr>
        <w:t>2017年</w:t>
      </w:r>
      <w:r w:rsidR="00786257" w:rsidRPr="009D423B">
        <w:rPr>
          <w:rFonts w:hint="eastAsia"/>
        </w:rPr>
        <w:t>1</w:t>
      </w:r>
      <w:r w:rsidR="00786257" w:rsidRPr="009D423B">
        <w:t>2</w:t>
      </w:r>
      <w:r w:rsidR="00786257" w:rsidRPr="009D423B">
        <w:rPr>
          <w:rFonts w:hint="eastAsia"/>
        </w:rPr>
        <w:t>月</w:t>
      </w:r>
      <w:r w:rsidR="00786257">
        <w:rPr>
          <w:rFonts w:hint="eastAsia"/>
        </w:rPr>
        <w:t>陕西省网民</w:t>
      </w:r>
      <w:r w:rsidR="00786257" w:rsidRPr="009D423B">
        <w:rPr>
          <w:rFonts w:hint="eastAsia"/>
        </w:rPr>
        <w:t>常用综合资讯类APP</w:t>
      </w:r>
      <w:bookmarkEnd w:id="308"/>
      <w:bookmarkEnd w:id="309"/>
    </w:p>
    <w:p w:rsidR="00786257" w:rsidRDefault="00786257" w:rsidP="00786257"/>
    <w:p w:rsidR="00786257" w:rsidRDefault="00786257" w:rsidP="005D6979">
      <w:pPr>
        <w:spacing w:line="400" w:lineRule="exact"/>
        <w:rPr>
          <w:rFonts w:ascii="微软雅黑" w:eastAsia="微软雅黑" w:hAnsi="微软雅黑"/>
          <w:szCs w:val="21"/>
        </w:rPr>
      </w:pPr>
    </w:p>
    <w:p w:rsidR="005D6979" w:rsidRDefault="005D6979" w:rsidP="005D6979">
      <w:pPr>
        <w:spacing w:line="400" w:lineRule="exact"/>
        <w:rPr>
          <w:rFonts w:ascii="微软雅黑" w:eastAsia="微软雅黑" w:hAnsi="微软雅黑"/>
          <w:szCs w:val="21"/>
        </w:rPr>
      </w:pPr>
      <w:r>
        <w:rPr>
          <w:rFonts w:ascii="微软雅黑" w:eastAsia="微软雅黑" w:hAnsi="微软雅黑"/>
          <w:szCs w:val="21"/>
        </w:rPr>
        <w:br w:type="page"/>
      </w:r>
    </w:p>
    <w:p w:rsidR="005D6979" w:rsidRDefault="00C564F4" w:rsidP="005D6979">
      <w:pPr>
        <w:spacing w:line="360" w:lineRule="auto"/>
        <w:outlineLvl w:val="1"/>
        <w:rPr>
          <w:rFonts w:ascii="微软雅黑" w:eastAsia="微软雅黑" w:hAnsi="微软雅黑"/>
          <w:b/>
        </w:rPr>
      </w:pPr>
      <w:bookmarkStart w:id="310" w:name="_Toc491880229"/>
      <w:bookmarkStart w:id="311" w:name="_Toc524418005"/>
      <w:r>
        <w:rPr>
          <w:rFonts w:ascii="微软雅黑" w:eastAsia="微软雅黑" w:hAnsi="微软雅黑" w:hint="eastAsia"/>
          <w:b/>
        </w:rPr>
        <w:t>五</w:t>
      </w:r>
      <w:r w:rsidR="005D6979">
        <w:rPr>
          <w:rFonts w:ascii="微软雅黑" w:eastAsia="微软雅黑" w:hAnsi="微软雅黑"/>
          <w:b/>
        </w:rPr>
        <w:t>、陕西省</w:t>
      </w:r>
      <w:r w:rsidR="005D6979">
        <w:rPr>
          <w:rFonts w:ascii="微软雅黑" w:eastAsia="微软雅黑" w:hAnsi="微软雅黑" w:hint="eastAsia"/>
          <w:b/>
        </w:rPr>
        <w:t>通信业运营统计概况</w:t>
      </w:r>
      <w:bookmarkEnd w:id="310"/>
      <w:bookmarkEnd w:id="311"/>
    </w:p>
    <w:p w:rsidR="005D6979" w:rsidRDefault="00E664AC" w:rsidP="005D6979">
      <w:pPr>
        <w:spacing w:line="400" w:lineRule="exact"/>
        <w:outlineLvl w:val="2"/>
        <w:rPr>
          <w:rFonts w:ascii="微软雅黑" w:eastAsia="微软雅黑" w:hAnsi="微软雅黑"/>
          <w:b/>
          <w:szCs w:val="21"/>
        </w:rPr>
      </w:pPr>
      <w:bookmarkStart w:id="312" w:name="_Toc491880230"/>
      <w:bookmarkStart w:id="313" w:name="_Toc447029466"/>
      <w:bookmarkStart w:id="314" w:name="_Toc524418006"/>
      <w:bookmarkStart w:id="315" w:name="_Toc447029481"/>
      <w:r>
        <w:rPr>
          <w:rFonts w:ascii="微软雅黑" w:eastAsia="微软雅黑" w:hAnsi="微软雅黑"/>
          <w:b/>
          <w:szCs w:val="21"/>
        </w:rPr>
        <w:t>（一）</w:t>
      </w:r>
      <w:r w:rsidR="005D6979">
        <w:rPr>
          <w:rFonts w:ascii="微软雅黑" w:eastAsia="微软雅黑" w:hAnsi="微软雅黑"/>
          <w:b/>
          <w:szCs w:val="21"/>
        </w:rPr>
        <w:t>互联网资源状况</w:t>
      </w:r>
      <w:bookmarkEnd w:id="312"/>
      <w:bookmarkEnd w:id="313"/>
      <w:bookmarkEnd w:id="314"/>
    </w:p>
    <w:p w:rsidR="005D6979" w:rsidRDefault="005D6979" w:rsidP="005D6979">
      <w:pPr>
        <w:spacing w:line="400" w:lineRule="exact"/>
        <w:outlineLvl w:val="3"/>
        <w:rPr>
          <w:rFonts w:ascii="微软雅黑" w:eastAsia="微软雅黑" w:hAnsi="微软雅黑"/>
          <w:b/>
        </w:rPr>
      </w:pPr>
      <w:bookmarkStart w:id="316" w:name="_Toc447029467"/>
      <w:bookmarkStart w:id="317" w:name="_Toc491880231"/>
      <w:bookmarkStart w:id="318" w:name="_Toc524418007"/>
      <w:r>
        <w:rPr>
          <w:rFonts w:ascii="微软雅黑" w:eastAsia="微软雅黑" w:hAnsi="微软雅黑" w:hint="eastAsia"/>
          <w:b/>
        </w:rPr>
        <w:t>1.光缆线路长度</w:t>
      </w:r>
      <w:bookmarkEnd w:id="316"/>
      <w:bookmarkEnd w:id="317"/>
      <w:bookmarkEnd w:id="318"/>
    </w:p>
    <w:p w:rsidR="005D6979" w:rsidRDefault="008665F3" w:rsidP="00786257">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截至</w:t>
      </w:r>
      <w:r w:rsidR="005D6979">
        <w:rPr>
          <w:rFonts w:ascii="微软雅黑" w:eastAsia="微软雅黑" w:hAnsi="微软雅黑"/>
          <w:szCs w:val="21"/>
        </w:rPr>
        <w:t>201</w:t>
      </w:r>
      <w:r w:rsidR="005D6979">
        <w:rPr>
          <w:rFonts w:ascii="微软雅黑" w:eastAsia="微软雅黑" w:hAnsi="微软雅黑" w:hint="eastAsia"/>
          <w:szCs w:val="21"/>
        </w:rPr>
        <w:t>7</w:t>
      </w:r>
      <w:r w:rsidR="005D6979">
        <w:rPr>
          <w:rFonts w:ascii="微软雅黑" w:eastAsia="微软雅黑" w:hAnsi="微软雅黑"/>
          <w:szCs w:val="21"/>
        </w:rPr>
        <w:t>年12月，</w:t>
      </w:r>
      <w:r w:rsidR="005D6979">
        <w:rPr>
          <w:rFonts w:ascii="微软雅黑" w:eastAsia="微软雅黑" w:hAnsi="微软雅黑" w:hint="eastAsia"/>
          <w:szCs w:val="21"/>
        </w:rPr>
        <w:t>陕西省光缆线路总长度达到</w:t>
      </w:r>
      <w:bookmarkStart w:id="319" w:name="OLE_LINK2"/>
      <w:bookmarkStart w:id="320" w:name="OLE_LINK3"/>
      <w:r w:rsidR="005D6979">
        <w:rPr>
          <w:rFonts w:ascii="微软雅黑" w:eastAsia="微软雅黑" w:hAnsi="微软雅黑" w:hint="eastAsia"/>
          <w:szCs w:val="21"/>
        </w:rPr>
        <w:t>108.7万公里</w:t>
      </w:r>
      <w:bookmarkEnd w:id="319"/>
      <w:bookmarkEnd w:id="320"/>
      <w:r w:rsidR="005D6979">
        <w:rPr>
          <w:rFonts w:ascii="微软雅黑" w:eastAsia="微软雅黑" w:hAnsi="微软雅黑" w:hint="eastAsia"/>
          <w:szCs w:val="21"/>
        </w:rPr>
        <w:t>，比上年末增加19.1</w:t>
      </w:r>
      <w:r w:rsidR="005D6979">
        <w:rPr>
          <w:rFonts w:ascii="微软雅黑" w:eastAsia="微软雅黑" w:hAnsi="微软雅黑"/>
          <w:szCs w:val="21"/>
        </w:rPr>
        <w:t>万公里，增长率达</w:t>
      </w:r>
      <w:r w:rsidR="005D6979">
        <w:rPr>
          <w:rFonts w:ascii="微软雅黑" w:eastAsia="微软雅黑" w:hAnsi="微软雅黑" w:hint="eastAsia"/>
          <w:szCs w:val="21"/>
        </w:rPr>
        <w:t>21.3</w:t>
      </w:r>
      <w:r w:rsidR="005D6979">
        <w:rPr>
          <w:rFonts w:ascii="微软雅黑" w:eastAsia="微软雅黑" w:hAnsi="微软雅黑"/>
          <w:szCs w:val="21"/>
        </w:rPr>
        <w:t>%</w:t>
      </w:r>
      <w:r w:rsidR="005D6979">
        <w:rPr>
          <w:rFonts w:ascii="微软雅黑" w:eastAsia="微软雅黑" w:hAnsi="微软雅黑" w:hint="eastAsia"/>
          <w:szCs w:val="21"/>
        </w:rPr>
        <w:t>，</w:t>
      </w:r>
      <w:r w:rsidR="005D6979">
        <w:rPr>
          <w:rFonts w:ascii="微软雅黑" w:eastAsia="微软雅黑" w:hAnsi="微软雅黑"/>
          <w:szCs w:val="21"/>
        </w:rPr>
        <w:t>连续</w:t>
      </w:r>
      <w:r w:rsidR="005D6979">
        <w:rPr>
          <w:rFonts w:ascii="微软雅黑" w:eastAsia="微软雅黑" w:hAnsi="微软雅黑" w:hint="eastAsia"/>
          <w:szCs w:val="21"/>
        </w:rPr>
        <w:t>三</w:t>
      </w:r>
      <w:r w:rsidR="005D6979">
        <w:rPr>
          <w:rFonts w:ascii="微软雅黑" w:eastAsia="微软雅黑" w:hAnsi="微软雅黑"/>
          <w:szCs w:val="21"/>
        </w:rPr>
        <w:t>年保持</w:t>
      </w:r>
      <w:r w:rsidR="005D6979">
        <w:rPr>
          <w:rFonts w:ascii="微软雅黑" w:eastAsia="微软雅黑" w:hAnsi="微软雅黑" w:hint="eastAsia"/>
          <w:szCs w:val="21"/>
        </w:rPr>
        <w:t>20%以上增速</w:t>
      </w:r>
      <w:r w:rsidR="005D6979">
        <w:rPr>
          <w:rFonts w:ascii="微软雅黑" w:eastAsia="微软雅黑" w:hAnsi="微软雅黑"/>
          <w:szCs w:val="21"/>
        </w:rPr>
        <w:t>。</w:t>
      </w:r>
    </w:p>
    <w:p w:rsidR="00786257" w:rsidRDefault="00786257" w:rsidP="005D6979">
      <w:pPr>
        <w:jc w:val="center"/>
        <w:rPr>
          <w:rFonts w:ascii="微软雅黑" w:eastAsia="微软雅黑" w:hAnsi="微软雅黑"/>
          <w:szCs w:val="21"/>
        </w:rPr>
      </w:pPr>
      <w:r>
        <w:rPr>
          <w:noProof/>
        </w:rPr>
        <w:drawing>
          <wp:inline distT="0" distB="0" distL="0" distR="0">
            <wp:extent cx="4795156" cy="2880000"/>
            <wp:effectExtent l="0" t="0" r="24765" b="15875"/>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D6979" w:rsidRDefault="00C564F4" w:rsidP="005D6979">
      <w:pPr>
        <w:pStyle w:val="ab"/>
      </w:pPr>
      <w:bookmarkStart w:id="321" w:name="_Toc524418204"/>
      <w:r>
        <w:rPr>
          <w:rFonts w:hint="eastAsia"/>
        </w:rPr>
        <w:t>图5-</w:t>
      </w:r>
      <w:r w:rsidR="005D6979">
        <w:t>1  201</w:t>
      </w:r>
      <w:r w:rsidR="005D6979">
        <w:rPr>
          <w:rFonts w:hint="eastAsia"/>
        </w:rPr>
        <w:t>4</w:t>
      </w:r>
      <w:r w:rsidR="005D6979">
        <w:t>-201</w:t>
      </w:r>
      <w:r w:rsidR="005D6979">
        <w:rPr>
          <w:rFonts w:hint="eastAsia"/>
        </w:rPr>
        <w:t>7年陕西省光缆线路长度</w:t>
      </w:r>
      <w:bookmarkEnd w:id="321"/>
    </w:p>
    <w:p w:rsidR="005D6979" w:rsidRDefault="005D6979" w:rsidP="005D6979">
      <w:pPr>
        <w:spacing w:line="400" w:lineRule="exact"/>
        <w:outlineLvl w:val="3"/>
        <w:rPr>
          <w:rFonts w:ascii="微软雅黑" w:eastAsia="微软雅黑" w:hAnsi="微软雅黑"/>
          <w:b/>
        </w:rPr>
      </w:pPr>
      <w:bookmarkStart w:id="322" w:name="_Toc447029469"/>
      <w:bookmarkStart w:id="323" w:name="_Toc491880232"/>
      <w:bookmarkStart w:id="324" w:name="_Toc524418008"/>
      <w:r>
        <w:rPr>
          <w:rFonts w:ascii="微软雅黑" w:eastAsia="微软雅黑" w:hAnsi="微软雅黑" w:hint="eastAsia"/>
          <w:b/>
        </w:rPr>
        <w:t>2.互联网宽带接入端口数量</w:t>
      </w:r>
      <w:bookmarkEnd w:id="322"/>
      <w:bookmarkEnd w:id="323"/>
      <w:bookmarkEnd w:id="324"/>
    </w:p>
    <w:p w:rsidR="005D6979" w:rsidRDefault="005D6979" w:rsidP="005D6979">
      <w:pPr>
        <w:spacing w:line="400" w:lineRule="exact"/>
        <w:ind w:firstLineChars="200" w:firstLine="420"/>
        <w:rPr>
          <w:rFonts w:ascii="微软雅黑" w:eastAsia="微软雅黑" w:hAnsi="微软雅黑" w:cs="宋体"/>
          <w:kern w:val="0"/>
          <w:szCs w:val="21"/>
          <w:highlight w:val="yellow"/>
        </w:rPr>
      </w:pPr>
      <w:r>
        <w:rPr>
          <w:rFonts w:ascii="微软雅黑" w:eastAsia="微软雅黑" w:hAnsi="微软雅黑" w:cs="宋体"/>
          <w:kern w:val="0"/>
          <w:szCs w:val="21"/>
        </w:rPr>
        <w:t>201</w:t>
      </w:r>
      <w:r>
        <w:rPr>
          <w:rFonts w:ascii="微软雅黑" w:eastAsia="微软雅黑" w:hAnsi="微软雅黑" w:cs="宋体" w:hint="eastAsia"/>
          <w:kern w:val="0"/>
          <w:szCs w:val="21"/>
        </w:rPr>
        <w:t>7</w:t>
      </w:r>
      <w:r>
        <w:rPr>
          <w:rFonts w:ascii="微软雅黑" w:eastAsia="微软雅黑" w:hAnsi="微软雅黑" w:cs="宋体"/>
          <w:kern w:val="0"/>
          <w:szCs w:val="21"/>
        </w:rPr>
        <w:t>年</w:t>
      </w:r>
      <w:r>
        <w:rPr>
          <w:rFonts w:ascii="微软雅黑" w:eastAsia="微软雅黑" w:hAnsi="微软雅黑" w:cs="宋体" w:hint="eastAsia"/>
          <w:kern w:val="0"/>
          <w:szCs w:val="21"/>
        </w:rPr>
        <w:t>陕西省</w:t>
      </w:r>
      <w:r>
        <w:rPr>
          <w:rFonts w:ascii="微软雅黑" w:eastAsia="微软雅黑" w:hAnsi="微软雅黑" w:cs="宋体"/>
          <w:kern w:val="0"/>
          <w:szCs w:val="21"/>
        </w:rPr>
        <w:t>互联网</w:t>
      </w:r>
      <w:r>
        <w:rPr>
          <w:rFonts w:ascii="微软雅黑" w:eastAsia="微软雅黑" w:hAnsi="微软雅黑" w:cs="宋体" w:hint="eastAsia"/>
          <w:kern w:val="0"/>
          <w:szCs w:val="21"/>
        </w:rPr>
        <w:t>宽带接入端口数量达到1993.2万个，</w:t>
      </w:r>
      <w:r w:rsidR="008665F3">
        <w:rPr>
          <w:rFonts w:ascii="微软雅黑" w:eastAsia="微软雅黑" w:hAnsi="微软雅黑" w:cs="宋体" w:hint="eastAsia"/>
          <w:kern w:val="0"/>
          <w:szCs w:val="21"/>
        </w:rPr>
        <w:t>较2016年增加</w:t>
      </w:r>
      <w:r>
        <w:rPr>
          <w:rFonts w:ascii="微软雅黑" w:eastAsia="微软雅黑" w:hAnsi="微软雅黑" w:cs="宋体" w:hint="eastAsia"/>
          <w:kern w:val="0"/>
          <w:szCs w:val="21"/>
        </w:rPr>
        <w:t>121.5万个，增长</w:t>
      </w:r>
      <w:r w:rsidR="008665F3">
        <w:rPr>
          <w:rFonts w:ascii="微软雅黑" w:eastAsia="微软雅黑" w:hAnsi="微软雅黑" w:cs="宋体" w:hint="eastAsia"/>
          <w:kern w:val="0"/>
          <w:szCs w:val="21"/>
        </w:rPr>
        <w:t>幅度为</w:t>
      </w:r>
      <w:r>
        <w:rPr>
          <w:rFonts w:ascii="微软雅黑" w:eastAsia="微软雅黑" w:hAnsi="微软雅黑" w:cs="宋体" w:hint="eastAsia"/>
          <w:kern w:val="0"/>
          <w:szCs w:val="21"/>
        </w:rPr>
        <w:t>6.5%。</w:t>
      </w:r>
    </w:p>
    <w:p w:rsidR="005D6979" w:rsidRDefault="005D6979" w:rsidP="005D6979">
      <w:pPr>
        <w:jc w:val="center"/>
        <w:rPr>
          <w:rFonts w:ascii="微软雅黑" w:eastAsia="微软雅黑" w:hAnsi="微软雅黑" w:cs="宋体"/>
          <w:kern w:val="0"/>
          <w:szCs w:val="21"/>
        </w:rPr>
      </w:pPr>
      <w:r>
        <w:rPr>
          <w:noProof/>
        </w:rPr>
        <w:drawing>
          <wp:inline distT="0" distB="0" distL="114300" distR="114300">
            <wp:extent cx="4809490" cy="3086100"/>
            <wp:effectExtent l="0" t="0" r="10160" b="19050"/>
            <wp:docPr id="97480"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D6979" w:rsidRDefault="00C564F4" w:rsidP="005D6979">
      <w:pPr>
        <w:pStyle w:val="ab"/>
      </w:pPr>
      <w:bookmarkStart w:id="325" w:name="_Toc524418205"/>
      <w:r>
        <w:rPr>
          <w:rFonts w:hint="eastAsia"/>
        </w:rPr>
        <w:t>图5-</w:t>
      </w:r>
      <w:r w:rsidR="005D6979">
        <w:rPr>
          <w:rFonts w:hint="eastAsia"/>
        </w:rPr>
        <w:t>2</w:t>
      </w:r>
      <w:r w:rsidR="005D6979">
        <w:t xml:space="preserve">  201</w:t>
      </w:r>
      <w:r w:rsidR="005D6979">
        <w:rPr>
          <w:rFonts w:hint="eastAsia"/>
        </w:rPr>
        <w:t>7年陕西省互联网宽带接入端口数量构成</w:t>
      </w:r>
      <w:bookmarkEnd w:id="325"/>
    </w:p>
    <w:p w:rsidR="005D6979" w:rsidRDefault="005D6979" w:rsidP="005D6979">
      <w:pPr>
        <w:spacing w:line="400" w:lineRule="exact"/>
        <w:outlineLvl w:val="3"/>
        <w:rPr>
          <w:rFonts w:ascii="微软雅黑" w:eastAsia="微软雅黑" w:hAnsi="微软雅黑"/>
          <w:b/>
        </w:rPr>
      </w:pPr>
      <w:bookmarkStart w:id="326" w:name="_Toc447029470"/>
      <w:bookmarkStart w:id="327" w:name="_Toc491880233"/>
      <w:bookmarkStart w:id="328" w:name="_Toc524418009"/>
      <w:r>
        <w:rPr>
          <w:rFonts w:ascii="微软雅黑" w:eastAsia="微软雅黑" w:hAnsi="微软雅黑" w:cs="宋体"/>
          <w:b/>
          <w:kern w:val="0"/>
          <w:szCs w:val="21"/>
        </w:rPr>
        <w:t>3</w:t>
      </w:r>
      <w:r>
        <w:rPr>
          <w:rFonts w:ascii="微软雅黑" w:eastAsia="微软雅黑" w:hAnsi="微软雅黑" w:hint="eastAsia"/>
          <w:b/>
        </w:rPr>
        <w:t>.IPv4地址数量</w:t>
      </w:r>
      <w:bookmarkEnd w:id="326"/>
      <w:bookmarkEnd w:id="327"/>
      <w:bookmarkEnd w:id="328"/>
    </w:p>
    <w:p w:rsidR="005D6979" w:rsidRDefault="005D6979" w:rsidP="005D6979">
      <w:pPr>
        <w:spacing w:line="400" w:lineRule="exact"/>
        <w:ind w:firstLineChars="200" w:firstLine="420"/>
        <w:rPr>
          <w:rFonts w:ascii="微软雅黑" w:eastAsia="微软雅黑" w:hAnsi="微软雅黑"/>
          <w:szCs w:val="21"/>
        </w:rPr>
      </w:pPr>
      <w:r>
        <w:rPr>
          <w:rFonts w:ascii="微软雅黑" w:eastAsia="微软雅黑" w:hAnsi="微软雅黑"/>
          <w:szCs w:val="21"/>
        </w:rPr>
        <w:t>201</w:t>
      </w:r>
      <w:r>
        <w:rPr>
          <w:rFonts w:ascii="微软雅黑" w:eastAsia="微软雅黑" w:hAnsi="微软雅黑" w:hint="eastAsia"/>
          <w:szCs w:val="21"/>
        </w:rPr>
        <w:t>7</w:t>
      </w:r>
      <w:r>
        <w:rPr>
          <w:rFonts w:ascii="微软雅黑" w:eastAsia="微软雅黑" w:hAnsi="微软雅黑"/>
          <w:szCs w:val="21"/>
        </w:rPr>
        <w:t>年，</w:t>
      </w:r>
      <w:r>
        <w:rPr>
          <w:rFonts w:ascii="微软雅黑" w:eastAsia="微软雅黑" w:hAnsi="微软雅黑" w:hint="eastAsia"/>
          <w:szCs w:val="21"/>
        </w:rPr>
        <w:t>陕西省</w:t>
      </w:r>
      <w:r>
        <w:rPr>
          <w:rFonts w:ascii="微软雅黑" w:eastAsia="微软雅黑" w:hAnsi="微软雅黑"/>
          <w:szCs w:val="21"/>
        </w:rPr>
        <w:t>IPv4地址数量为</w:t>
      </w:r>
      <w:r>
        <w:rPr>
          <w:rFonts w:ascii="微软雅黑" w:eastAsia="微软雅黑" w:hAnsi="微软雅黑" w:hint="eastAsia"/>
          <w:szCs w:val="21"/>
        </w:rPr>
        <w:t>552.1万个</w:t>
      </w:r>
      <w:r>
        <w:rPr>
          <w:rFonts w:ascii="微软雅黑" w:eastAsia="微软雅黑" w:hAnsi="微软雅黑"/>
          <w:szCs w:val="21"/>
        </w:rPr>
        <w:t>，同比增长</w:t>
      </w:r>
      <w:r>
        <w:rPr>
          <w:rFonts w:ascii="微软雅黑" w:eastAsia="微软雅黑" w:hAnsi="微软雅黑" w:hint="eastAsia"/>
          <w:szCs w:val="21"/>
        </w:rPr>
        <w:t>1万个，</w:t>
      </w:r>
      <w:r>
        <w:rPr>
          <w:rFonts w:ascii="微软雅黑" w:eastAsia="微软雅黑" w:hAnsi="微软雅黑"/>
          <w:szCs w:val="21"/>
        </w:rPr>
        <w:t>约占全国IPv4地址</w:t>
      </w:r>
      <w:r>
        <w:rPr>
          <w:rFonts w:ascii="微软雅黑" w:eastAsia="微软雅黑" w:hAnsi="微软雅黑" w:hint="eastAsia"/>
          <w:szCs w:val="21"/>
        </w:rPr>
        <w:t>的</w:t>
      </w:r>
      <w:r>
        <w:rPr>
          <w:rFonts w:ascii="微软雅黑" w:eastAsia="微软雅黑" w:hAnsi="微软雅黑"/>
          <w:szCs w:val="21"/>
        </w:rPr>
        <w:t>1</w:t>
      </w:r>
      <w:r>
        <w:rPr>
          <w:rFonts w:ascii="微软雅黑" w:eastAsia="微软雅黑" w:hAnsi="微软雅黑" w:hint="eastAsia"/>
          <w:szCs w:val="21"/>
        </w:rPr>
        <w:t>.</w:t>
      </w:r>
      <w:r>
        <w:rPr>
          <w:rFonts w:ascii="微软雅黑" w:eastAsia="微软雅黑" w:hAnsi="微软雅黑"/>
          <w:szCs w:val="21"/>
        </w:rPr>
        <w:t>6</w:t>
      </w:r>
      <w:r>
        <w:rPr>
          <w:rFonts w:ascii="微软雅黑" w:eastAsia="微软雅黑" w:hAnsi="微软雅黑" w:hint="eastAsia"/>
          <w:szCs w:val="21"/>
        </w:rPr>
        <w:t>3</w:t>
      </w:r>
      <w:r>
        <w:rPr>
          <w:rFonts w:ascii="微软雅黑" w:eastAsia="微软雅黑" w:hAnsi="微软雅黑"/>
          <w:szCs w:val="21"/>
        </w:rPr>
        <w:t>%。</w:t>
      </w:r>
    </w:p>
    <w:p w:rsidR="005D6979" w:rsidRDefault="005D6979" w:rsidP="005D6979">
      <w:pPr>
        <w:jc w:val="center"/>
        <w:rPr>
          <w:rFonts w:ascii="微软雅黑" w:eastAsia="微软雅黑" w:hAnsi="微软雅黑"/>
          <w:szCs w:val="21"/>
        </w:rPr>
      </w:pPr>
      <w:r>
        <w:t xml:space="preserve"> </w:t>
      </w:r>
      <w:r>
        <w:rPr>
          <w:noProof/>
        </w:rPr>
        <w:drawing>
          <wp:inline distT="0" distB="0" distL="114300" distR="114300">
            <wp:extent cx="4794885" cy="3202940"/>
            <wp:effectExtent l="4445" t="4445" r="20320" b="1206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D6979" w:rsidRDefault="00C564F4" w:rsidP="005D6979">
      <w:pPr>
        <w:pStyle w:val="ab"/>
      </w:pPr>
      <w:bookmarkStart w:id="329" w:name="_Toc524418206"/>
      <w:r>
        <w:rPr>
          <w:rFonts w:hint="eastAsia"/>
        </w:rPr>
        <w:t>图5-</w:t>
      </w:r>
      <w:r w:rsidR="005D6979">
        <w:rPr>
          <w:rFonts w:hint="eastAsia"/>
        </w:rPr>
        <w:t>3</w:t>
      </w:r>
      <w:r w:rsidR="005D6979">
        <w:t xml:space="preserve">  20</w:t>
      </w:r>
      <w:r w:rsidR="005D6979">
        <w:rPr>
          <w:rFonts w:hint="eastAsia"/>
        </w:rPr>
        <w:t>13</w:t>
      </w:r>
      <w:r w:rsidR="005D6979">
        <w:t>-201</w:t>
      </w:r>
      <w:r w:rsidR="005D6979">
        <w:rPr>
          <w:rFonts w:hint="eastAsia"/>
        </w:rPr>
        <w:t>7</w:t>
      </w:r>
      <w:r w:rsidR="005D6979">
        <w:t>年</w:t>
      </w:r>
      <w:r w:rsidR="005D6979">
        <w:rPr>
          <w:rFonts w:hint="eastAsia"/>
        </w:rPr>
        <w:t>陕西省</w:t>
      </w:r>
      <w:r w:rsidR="005D6979">
        <w:t>IPv4地址数量</w:t>
      </w:r>
      <w:r w:rsidR="005D6979">
        <w:rPr>
          <w:rFonts w:hint="eastAsia"/>
        </w:rPr>
        <w:t>及占全国比例</w:t>
      </w:r>
      <w:bookmarkEnd w:id="329"/>
      <w:r w:rsidR="005D6979">
        <w:rPr>
          <w:rFonts w:hint="eastAsia"/>
        </w:rPr>
        <w:t xml:space="preserve"> </w:t>
      </w:r>
    </w:p>
    <w:p w:rsidR="005D6979" w:rsidRDefault="005D6979" w:rsidP="005D6979">
      <w:pPr>
        <w:spacing w:line="400" w:lineRule="exact"/>
        <w:outlineLvl w:val="3"/>
        <w:rPr>
          <w:rFonts w:ascii="微软雅黑" w:eastAsia="微软雅黑" w:hAnsi="微软雅黑"/>
          <w:b/>
        </w:rPr>
      </w:pPr>
      <w:bookmarkStart w:id="330" w:name="_Toc491880234"/>
      <w:bookmarkStart w:id="331" w:name="_Toc447029471"/>
      <w:bookmarkStart w:id="332" w:name="_Toc524418010"/>
      <w:r>
        <w:rPr>
          <w:rFonts w:ascii="微软雅黑" w:eastAsia="微软雅黑" w:hAnsi="微软雅黑" w:hint="eastAsia"/>
          <w:b/>
        </w:rPr>
        <w:t>4.固定电话用户规模</w:t>
      </w:r>
      <w:bookmarkEnd w:id="330"/>
      <w:bookmarkEnd w:id="331"/>
      <w:bookmarkEnd w:id="332"/>
    </w:p>
    <w:p w:rsidR="005D6979" w:rsidRDefault="005D6979" w:rsidP="005D6979">
      <w:pPr>
        <w:spacing w:line="400" w:lineRule="exact"/>
        <w:ind w:firstLineChars="200" w:firstLine="420"/>
        <w:rPr>
          <w:rFonts w:ascii="微软雅黑" w:eastAsia="微软雅黑" w:hAnsi="微软雅黑"/>
          <w:szCs w:val="21"/>
          <w:highlight w:val="yellow"/>
        </w:rPr>
      </w:pPr>
      <w:r>
        <w:rPr>
          <w:rFonts w:ascii="微软雅黑" w:eastAsia="微软雅黑" w:hAnsi="微软雅黑" w:hint="eastAsia"/>
          <w:szCs w:val="21"/>
        </w:rPr>
        <w:t>2017年陕西省固定电话用户规模持续下降，这主要是受到移动电话</w:t>
      </w:r>
      <w:r w:rsidR="008665F3">
        <w:rPr>
          <w:rFonts w:ascii="微软雅黑" w:eastAsia="微软雅黑" w:hAnsi="微软雅黑" w:hint="eastAsia"/>
          <w:szCs w:val="21"/>
        </w:rPr>
        <w:t>的</w:t>
      </w:r>
      <w:r>
        <w:rPr>
          <w:rFonts w:ascii="微软雅黑" w:eastAsia="微软雅黑" w:hAnsi="微软雅黑" w:hint="eastAsia"/>
          <w:szCs w:val="21"/>
        </w:rPr>
        <w:t>普及</w:t>
      </w:r>
      <w:r w:rsidR="001C3427">
        <w:rPr>
          <w:rFonts w:ascii="微软雅黑" w:eastAsia="微软雅黑" w:hAnsi="微软雅黑" w:hint="eastAsia"/>
          <w:szCs w:val="21"/>
        </w:rPr>
        <w:t>率不断提升的影响</w:t>
      </w:r>
      <w:r>
        <w:rPr>
          <w:rFonts w:ascii="微软雅黑" w:eastAsia="微软雅黑" w:hAnsi="微软雅黑" w:hint="eastAsia"/>
          <w:szCs w:val="21"/>
        </w:rPr>
        <w:t>所致。根据统计数据，</w:t>
      </w:r>
      <w:r w:rsidR="008665F3">
        <w:rPr>
          <w:rFonts w:ascii="微软雅黑" w:eastAsia="微软雅黑" w:hAnsi="微软雅黑" w:hint="eastAsia"/>
          <w:szCs w:val="21"/>
        </w:rPr>
        <w:t>截至</w:t>
      </w:r>
      <w:r>
        <w:rPr>
          <w:rFonts w:ascii="微软雅黑" w:eastAsia="微软雅黑" w:hAnsi="微软雅黑"/>
          <w:szCs w:val="21"/>
        </w:rPr>
        <w:t>201</w:t>
      </w:r>
      <w:r>
        <w:rPr>
          <w:rFonts w:ascii="微软雅黑" w:eastAsia="微软雅黑" w:hAnsi="微软雅黑" w:hint="eastAsia"/>
          <w:szCs w:val="21"/>
        </w:rPr>
        <w:t>7</w:t>
      </w:r>
      <w:r>
        <w:rPr>
          <w:rFonts w:ascii="微软雅黑" w:eastAsia="微软雅黑" w:hAnsi="微软雅黑"/>
          <w:szCs w:val="21"/>
        </w:rPr>
        <w:t>年</w:t>
      </w:r>
      <w:r>
        <w:rPr>
          <w:rFonts w:ascii="微软雅黑" w:eastAsia="微软雅黑" w:hAnsi="微软雅黑" w:hint="eastAsia"/>
          <w:szCs w:val="21"/>
        </w:rPr>
        <w:t>12</w:t>
      </w:r>
      <w:r w:rsidR="008665F3">
        <w:rPr>
          <w:rFonts w:ascii="微软雅黑" w:eastAsia="微软雅黑" w:hAnsi="微软雅黑" w:hint="eastAsia"/>
          <w:szCs w:val="21"/>
        </w:rPr>
        <w:t>月</w:t>
      </w:r>
      <w:r>
        <w:rPr>
          <w:rFonts w:ascii="微软雅黑" w:eastAsia="微软雅黑" w:hAnsi="微软雅黑"/>
          <w:szCs w:val="21"/>
        </w:rPr>
        <w:t>，</w:t>
      </w:r>
      <w:r w:rsidR="008665F3">
        <w:rPr>
          <w:rFonts w:ascii="微软雅黑" w:eastAsia="微软雅黑" w:hAnsi="微软雅黑" w:hint="eastAsia"/>
          <w:szCs w:val="21"/>
        </w:rPr>
        <w:t>陕西</w:t>
      </w:r>
      <w:r>
        <w:rPr>
          <w:rFonts w:ascii="微软雅黑" w:eastAsia="微软雅黑" w:hAnsi="微软雅黑"/>
          <w:szCs w:val="21"/>
        </w:rPr>
        <w:t>省</w:t>
      </w:r>
      <w:r>
        <w:rPr>
          <w:rFonts w:ascii="微软雅黑" w:eastAsia="微软雅黑" w:hAnsi="微软雅黑" w:hint="eastAsia"/>
          <w:szCs w:val="21"/>
        </w:rPr>
        <w:t>固定电话用户规模为622.8</w:t>
      </w:r>
      <w:r>
        <w:rPr>
          <w:rFonts w:ascii="微软雅黑" w:eastAsia="微软雅黑" w:hAnsi="微软雅黑"/>
          <w:szCs w:val="21"/>
        </w:rPr>
        <w:t>万户，</w:t>
      </w:r>
      <w:r>
        <w:rPr>
          <w:rFonts w:ascii="微软雅黑" w:eastAsia="微软雅黑" w:hAnsi="微软雅黑" w:hint="eastAsia"/>
          <w:szCs w:val="21"/>
        </w:rPr>
        <w:t>同比减少57.1万户，降幅为8.4%。</w:t>
      </w:r>
    </w:p>
    <w:p w:rsidR="005D6979" w:rsidRDefault="005D6979" w:rsidP="005D6979">
      <w:pPr>
        <w:jc w:val="center"/>
        <w:rPr>
          <w:rFonts w:ascii="微软雅黑" w:eastAsia="微软雅黑" w:hAnsi="微软雅黑"/>
          <w:szCs w:val="21"/>
        </w:rPr>
      </w:pPr>
      <w:r>
        <w:rPr>
          <w:noProof/>
        </w:rPr>
        <w:drawing>
          <wp:inline distT="0" distB="0" distL="114300" distR="114300">
            <wp:extent cx="4810125" cy="2880000"/>
            <wp:effectExtent l="0" t="0" r="9525" b="15875"/>
            <wp:docPr id="9748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D6979" w:rsidRDefault="00C564F4" w:rsidP="005D6979">
      <w:pPr>
        <w:pStyle w:val="ab"/>
      </w:pPr>
      <w:bookmarkStart w:id="333" w:name="_Toc524418207"/>
      <w:r>
        <w:rPr>
          <w:rFonts w:hint="eastAsia"/>
        </w:rPr>
        <w:t>图5-</w:t>
      </w:r>
      <w:r w:rsidR="005D6979">
        <w:rPr>
          <w:rFonts w:hint="eastAsia"/>
        </w:rPr>
        <w:t>4</w:t>
      </w:r>
      <w:r w:rsidR="005D6979">
        <w:t xml:space="preserve">  201</w:t>
      </w:r>
      <w:r w:rsidR="005D6979">
        <w:rPr>
          <w:rFonts w:hint="eastAsia"/>
        </w:rPr>
        <w:t>3</w:t>
      </w:r>
      <w:r w:rsidR="005D6979">
        <w:t>-201</w:t>
      </w:r>
      <w:r w:rsidR="005D6979">
        <w:rPr>
          <w:rFonts w:hint="eastAsia"/>
        </w:rPr>
        <w:t>7年陕西省固定电话用户规模</w:t>
      </w:r>
      <w:bookmarkEnd w:id="333"/>
    </w:p>
    <w:p w:rsidR="00004836" w:rsidRPr="00004836" w:rsidRDefault="00004836" w:rsidP="00004836"/>
    <w:p w:rsidR="005D6979" w:rsidRDefault="005D6979" w:rsidP="005D6979">
      <w:pPr>
        <w:spacing w:line="400" w:lineRule="exact"/>
        <w:outlineLvl w:val="3"/>
        <w:rPr>
          <w:rFonts w:ascii="微软雅黑" w:eastAsia="微软雅黑" w:hAnsi="微软雅黑"/>
          <w:b/>
        </w:rPr>
      </w:pPr>
      <w:bookmarkStart w:id="334" w:name="_Toc491880235"/>
      <w:bookmarkStart w:id="335" w:name="_Toc524418011"/>
      <w:r>
        <w:rPr>
          <w:rFonts w:ascii="微软雅黑" w:eastAsia="微软雅黑" w:hAnsi="微软雅黑" w:hint="eastAsia"/>
          <w:b/>
        </w:rPr>
        <w:t>5.（固定）互联网宽带接入用户</w:t>
      </w:r>
      <w:bookmarkEnd w:id="334"/>
      <w:bookmarkEnd w:id="335"/>
    </w:p>
    <w:p w:rsidR="005D6979" w:rsidRDefault="008665F3" w:rsidP="005D6979">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截至</w:t>
      </w:r>
      <w:r w:rsidR="005D6979">
        <w:rPr>
          <w:rFonts w:ascii="微软雅黑" w:eastAsia="微软雅黑" w:hAnsi="微软雅黑"/>
          <w:szCs w:val="21"/>
        </w:rPr>
        <w:t>201</w:t>
      </w:r>
      <w:r w:rsidR="005D6979">
        <w:rPr>
          <w:rFonts w:ascii="微软雅黑" w:eastAsia="微软雅黑" w:hAnsi="微软雅黑" w:hint="eastAsia"/>
          <w:szCs w:val="21"/>
        </w:rPr>
        <w:t>7</w:t>
      </w:r>
      <w:r w:rsidR="005D6979">
        <w:rPr>
          <w:rFonts w:ascii="微软雅黑" w:eastAsia="微软雅黑" w:hAnsi="微软雅黑"/>
          <w:szCs w:val="21"/>
        </w:rPr>
        <w:t>年</w:t>
      </w:r>
      <w:r w:rsidR="005D6979">
        <w:rPr>
          <w:rFonts w:ascii="微软雅黑" w:eastAsia="微软雅黑" w:hAnsi="微软雅黑" w:hint="eastAsia"/>
          <w:szCs w:val="21"/>
        </w:rPr>
        <w:t>12月</w:t>
      </w:r>
      <w:r w:rsidR="005D6979">
        <w:rPr>
          <w:rFonts w:ascii="微软雅黑" w:eastAsia="微软雅黑" w:hAnsi="微软雅黑"/>
          <w:szCs w:val="21"/>
        </w:rPr>
        <w:t>，</w:t>
      </w:r>
      <w:r w:rsidR="005D6979">
        <w:rPr>
          <w:rFonts w:ascii="微软雅黑" w:eastAsia="微软雅黑" w:hAnsi="微软雅黑" w:hint="eastAsia"/>
          <w:szCs w:val="21"/>
        </w:rPr>
        <w:t>陕西省电信企业（固定）互联网宽带接入用户达903.2万户，较2016年增加100.2万户，增长率为12.5%，</w:t>
      </w:r>
      <w:r w:rsidR="00004836">
        <w:rPr>
          <w:rFonts w:ascii="微软雅黑" w:eastAsia="微软雅黑" w:hAnsi="微软雅黑" w:hint="eastAsia"/>
          <w:szCs w:val="21"/>
        </w:rPr>
        <w:t>增速依然维持在较高水平</w:t>
      </w:r>
      <w:r w:rsidR="005D6979">
        <w:rPr>
          <w:rFonts w:ascii="微软雅黑" w:eastAsia="微软雅黑" w:hAnsi="微软雅黑" w:hint="eastAsia"/>
          <w:szCs w:val="21"/>
        </w:rPr>
        <w:t>。</w:t>
      </w:r>
    </w:p>
    <w:p w:rsidR="005D6979" w:rsidRDefault="005D6979" w:rsidP="005D6979">
      <w:pPr>
        <w:jc w:val="center"/>
        <w:rPr>
          <w:rFonts w:ascii="微软雅黑" w:eastAsia="微软雅黑" w:hAnsi="微软雅黑"/>
          <w:szCs w:val="21"/>
        </w:rPr>
      </w:pPr>
      <w:r>
        <w:rPr>
          <w:noProof/>
        </w:rPr>
        <w:drawing>
          <wp:inline distT="0" distB="0" distL="114300" distR="114300">
            <wp:extent cx="4786630" cy="2880000"/>
            <wp:effectExtent l="0" t="0" r="13970" b="1587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D6979" w:rsidRDefault="00C564F4" w:rsidP="005D6979">
      <w:pPr>
        <w:pStyle w:val="ab"/>
      </w:pPr>
      <w:bookmarkStart w:id="336" w:name="_Toc524418208"/>
      <w:r>
        <w:rPr>
          <w:rFonts w:hint="eastAsia"/>
        </w:rPr>
        <w:t>图5-</w:t>
      </w:r>
      <w:r w:rsidR="005D6979">
        <w:rPr>
          <w:rFonts w:hint="eastAsia"/>
        </w:rPr>
        <w:t>5  2013-2017年陕西省宽带用户规模</w:t>
      </w:r>
      <w:bookmarkEnd w:id="336"/>
    </w:p>
    <w:p w:rsidR="005D6979" w:rsidRDefault="005D6979" w:rsidP="00004836">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按带宽</w:t>
      </w:r>
      <w:r w:rsidR="00004836">
        <w:rPr>
          <w:rFonts w:ascii="微软雅黑" w:eastAsia="微软雅黑" w:hAnsi="微软雅黑" w:hint="eastAsia"/>
          <w:szCs w:val="21"/>
        </w:rPr>
        <w:t>接入速率</w:t>
      </w:r>
      <w:r>
        <w:rPr>
          <w:rFonts w:ascii="微软雅黑" w:eastAsia="微软雅黑" w:hAnsi="微软雅黑" w:hint="eastAsia"/>
          <w:szCs w:val="21"/>
        </w:rPr>
        <w:t>来看，</w:t>
      </w:r>
      <w:r w:rsidR="00004836">
        <w:rPr>
          <w:rFonts w:ascii="微软雅黑" w:eastAsia="微软雅黑" w:hAnsi="微软雅黑" w:hint="eastAsia"/>
          <w:szCs w:val="21"/>
        </w:rPr>
        <w:t>全省100M以上（固定）互联网宽带用户最多，占比达到34.8%，其次为50M-100M用户，占比为34.6%；另外20M-50M用户占比为23.0%</w:t>
      </w:r>
      <w:r w:rsidR="003C2E2E">
        <w:rPr>
          <w:rFonts w:ascii="微软雅黑" w:eastAsia="微软雅黑" w:hAnsi="微软雅黑" w:hint="eastAsia"/>
          <w:szCs w:val="21"/>
        </w:rPr>
        <w:t>，</w:t>
      </w:r>
      <w:r w:rsidR="00004836">
        <w:rPr>
          <w:rFonts w:ascii="微软雅黑" w:eastAsia="微软雅黑" w:hAnsi="微软雅黑" w:hint="eastAsia"/>
          <w:szCs w:val="21"/>
        </w:rPr>
        <w:t>20M以下用户占比仅7.6%。从用户的接入速率分布可以看出，</w:t>
      </w:r>
      <w:r w:rsidR="003C2E2E">
        <w:rPr>
          <w:rFonts w:ascii="微软雅黑" w:eastAsia="微软雅黑" w:hAnsi="微软雅黑" w:hint="eastAsia"/>
          <w:szCs w:val="21"/>
        </w:rPr>
        <w:t>2017年全省用户（固定）互联网宽带速率较2016年有显著提升，这与陕西省近年来不断</w:t>
      </w:r>
      <w:r w:rsidR="003C2E2E" w:rsidRPr="003C2E2E">
        <w:rPr>
          <w:rFonts w:ascii="微软雅黑" w:eastAsia="微软雅黑" w:hAnsi="微软雅黑" w:hint="eastAsia"/>
          <w:szCs w:val="21"/>
        </w:rPr>
        <w:t>加快</w:t>
      </w:r>
      <w:r w:rsidR="003C2E2E">
        <w:rPr>
          <w:rFonts w:ascii="微软雅黑" w:eastAsia="微软雅黑" w:hAnsi="微软雅黑" w:hint="eastAsia"/>
          <w:szCs w:val="21"/>
        </w:rPr>
        <w:t>通信基础设施建设，积极推进宽带提速降费是密切相关的。</w:t>
      </w:r>
    </w:p>
    <w:p w:rsidR="005D6979" w:rsidRDefault="005D6979" w:rsidP="005D6979">
      <w:pPr>
        <w:jc w:val="center"/>
        <w:rPr>
          <w:rFonts w:ascii="微软雅黑" w:eastAsia="微软雅黑" w:hAnsi="微软雅黑"/>
          <w:szCs w:val="21"/>
        </w:rPr>
      </w:pPr>
      <w:r>
        <w:rPr>
          <w:noProof/>
        </w:rPr>
        <w:drawing>
          <wp:inline distT="0" distB="0" distL="114300" distR="114300">
            <wp:extent cx="4806315" cy="2880000"/>
            <wp:effectExtent l="0" t="0" r="13335" b="15875"/>
            <wp:docPr id="9748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D6979" w:rsidRDefault="00C564F4" w:rsidP="005D6979">
      <w:pPr>
        <w:pStyle w:val="ab"/>
      </w:pPr>
      <w:bookmarkStart w:id="337" w:name="_Toc524418209"/>
      <w:r>
        <w:rPr>
          <w:rFonts w:hint="eastAsia"/>
        </w:rPr>
        <w:t>图5-</w:t>
      </w:r>
      <w:r w:rsidR="005D6979">
        <w:rPr>
          <w:rFonts w:hint="eastAsia"/>
        </w:rPr>
        <w:t>6  2017年12月（固定）互联网宽带用户接入速率</w:t>
      </w:r>
      <w:r w:rsidR="007F18A3">
        <w:rPr>
          <w:rFonts w:hint="eastAsia"/>
        </w:rPr>
        <w:t>分布</w:t>
      </w:r>
      <w:bookmarkEnd w:id="337"/>
    </w:p>
    <w:p w:rsidR="00A43F6A" w:rsidRDefault="00A43F6A" w:rsidP="007F18A3"/>
    <w:p w:rsidR="00A43F6A" w:rsidRDefault="00A43F6A" w:rsidP="007F18A3">
      <w:r>
        <w:br w:type="page"/>
      </w:r>
    </w:p>
    <w:p w:rsidR="005D6979" w:rsidRPr="00853ED2" w:rsidRDefault="005D6979" w:rsidP="005D6979">
      <w:pPr>
        <w:spacing w:line="400" w:lineRule="exact"/>
        <w:outlineLvl w:val="3"/>
        <w:rPr>
          <w:rFonts w:ascii="微软雅黑" w:eastAsia="微软雅黑" w:hAnsi="微软雅黑"/>
          <w:b/>
        </w:rPr>
      </w:pPr>
      <w:bookmarkStart w:id="338" w:name="_Toc491880236"/>
      <w:bookmarkStart w:id="339" w:name="_Toc447029472"/>
      <w:bookmarkStart w:id="340" w:name="_Toc524418012"/>
      <w:r>
        <w:rPr>
          <w:rFonts w:ascii="微软雅黑" w:eastAsia="微软雅黑" w:hAnsi="微软雅黑" w:hint="eastAsia"/>
          <w:b/>
        </w:rPr>
        <w:t>6</w:t>
      </w:r>
      <w:r w:rsidRPr="00853ED2">
        <w:rPr>
          <w:rFonts w:ascii="微软雅黑" w:eastAsia="微软雅黑" w:hAnsi="微软雅黑"/>
          <w:b/>
        </w:rPr>
        <w:t>.移动</w:t>
      </w:r>
      <w:r w:rsidRPr="00853ED2">
        <w:rPr>
          <w:rFonts w:ascii="微软雅黑" w:eastAsia="微软雅黑" w:hAnsi="微软雅黑" w:hint="eastAsia"/>
          <w:b/>
        </w:rPr>
        <w:t>基站情况</w:t>
      </w:r>
      <w:bookmarkEnd w:id="338"/>
      <w:bookmarkEnd w:id="339"/>
      <w:bookmarkEnd w:id="340"/>
    </w:p>
    <w:p w:rsidR="005D6979" w:rsidRDefault="008665F3" w:rsidP="005D6979">
      <w:pPr>
        <w:spacing w:line="400" w:lineRule="exact"/>
        <w:ind w:firstLineChars="200" w:firstLine="420"/>
        <w:rPr>
          <w:rFonts w:ascii="微软雅黑" w:eastAsia="微软雅黑" w:hAnsi="微软雅黑"/>
        </w:rPr>
      </w:pPr>
      <w:r>
        <w:rPr>
          <w:rFonts w:ascii="微软雅黑" w:eastAsia="微软雅黑" w:hAnsi="微软雅黑" w:hint="eastAsia"/>
          <w:szCs w:val="21"/>
        </w:rPr>
        <w:t>截至</w:t>
      </w:r>
      <w:r w:rsidR="005D6979" w:rsidRPr="00853ED2">
        <w:rPr>
          <w:rFonts w:ascii="微软雅黑" w:eastAsia="微软雅黑" w:hAnsi="微软雅黑"/>
          <w:szCs w:val="21"/>
        </w:rPr>
        <w:t>201</w:t>
      </w:r>
      <w:r w:rsidR="005D6979">
        <w:rPr>
          <w:rFonts w:ascii="微软雅黑" w:eastAsia="微软雅黑" w:hAnsi="微软雅黑" w:hint="eastAsia"/>
          <w:szCs w:val="21"/>
        </w:rPr>
        <w:t>7</w:t>
      </w:r>
      <w:r w:rsidR="005D6979" w:rsidRPr="00853ED2">
        <w:rPr>
          <w:rFonts w:ascii="微软雅黑" w:eastAsia="微软雅黑" w:hAnsi="微软雅黑" w:hint="eastAsia"/>
          <w:szCs w:val="21"/>
        </w:rPr>
        <w:t>年</w:t>
      </w:r>
      <w:r w:rsidR="005D6979" w:rsidRPr="00853ED2">
        <w:rPr>
          <w:rFonts w:ascii="微软雅黑" w:eastAsia="微软雅黑" w:hAnsi="微软雅黑"/>
          <w:szCs w:val="21"/>
        </w:rPr>
        <w:t>12月，</w:t>
      </w:r>
      <w:r w:rsidR="005D6979" w:rsidRPr="00853ED2">
        <w:rPr>
          <w:rFonts w:ascii="微软雅黑" w:eastAsia="微软雅黑" w:hAnsi="微软雅黑" w:hint="eastAsia"/>
          <w:szCs w:val="21"/>
        </w:rPr>
        <w:t>陕西省移动电话</w:t>
      </w:r>
      <w:r w:rsidR="005D6979" w:rsidRPr="00853ED2">
        <w:rPr>
          <w:rFonts w:ascii="微软雅黑" w:eastAsia="微软雅黑" w:hAnsi="微软雅黑"/>
          <w:szCs w:val="21"/>
        </w:rPr>
        <w:t>基站</w:t>
      </w:r>
      <w:r w:rsidR="005D6979" w:rsidRPr="00853ED2">
        <w:rPr>
          <w:rFonts w:ascii="微软雅黑" w:eastAsia="微软雅黑" w:hAnsi="微软雅黑" w:hint="eastAsia"/>
          <w:szCs w:val="21"/>
        </w:rPr>
        <w:t>数达到</w:t>
      </w:r>
      <w:r w:rsidR="005D6979" w:rsidRPr="00853ED2">
        <w:rPr>
          <w:rFonts w:ascii="微软雅黑" w:eastAsia="微软雅黑" w:hAnsi="微软雅黑"/>
          <w:szCs w:val="21"/>
        </w:rPr>
        <w:t>23.8</w:t>
      </w:r>
      <w:r w:rsidR="005D6979" w:rsidRPr="00853ED2">
        <w:rPr>
          <w:rFonts w:ascii="微软雅黑" w:eastAsia="微软雅黑" w:hAnsi="微软雅黑" w:hint="eastAsia"/>
          <w:szCs w:val="21"/>
        </w:rPr>
        <w:t>万个</w:t>
      </w:r>
      <w:r w:rsidR="005D6979" w:rsidRPr="00853ED2">
        <w:rPr>
          <w:rFonts w:ascii="微软雅黑" w:eastAsia="微软雅黑" w:hAnsi="微软雅黑"/>
          <w:szCs w:val="21"/>
        </w:rPr>
        <w:t>，较201</w:t>
      </w:r>
      <w:r w:rsidR="005D6979">
        <w:rPr>
          <w:rFonts w:ascii="微软雅黑" w:eastAsia="微软雅黑" w:hAnsi="微软雅黑" w:hint="eastAsia"/>
          <w:szCs w:val="21"/>
        </w:rPr>
        <w:t>6</w:t>
      </w:r>
      <w:r w:rsidR="005D6979" w:rsidRPr="00853ED2">
        <w:rPr>
          <w:rFonts w:ascii="微软雅黑" w:eastAsia="微软雅黑" w:hAnsi="微软雅黑" w:hint="eastAsia"/>
          <w:szCs w:val="21"/>
        </w:rPr>
        <w:t>年</w:t>
      </w:r>
      <w:r w:rsidR="005D6979" w:rsidRPr="00853ED2">
        <w:rPr>
          <w:rFonts w:ascii="微软雅黑" w:eastAsia="微软雅黑" w:hAnsi="微软雅黑"/>
          <w:szCs w:val="21"/>
        </w:rPr>
        <w:t>净增</w:t>
      </w:r>
      <w:r w:rsidR="005D6979">
        <w:rPr>
          <w:rFonts w:ascii="微软雅黑" w:eastAsia="微软雅黑" w:hAnsi="微软雅黑" w:hint="eastAsia"/>
          <w:szCs w:val="21"/>
        </w:rPr>
        <w:t>6.8</w:t>
      </w:r>
      <w:r w:rsidR="005D6979" w:rsidRPr="00853ED2">
        <w:rPr>
          <w:rFonts w:ascii="微软雅黑" w:eastAsia="微软雅黑" w:hAnsi="微软雅黑"/>
          <w:szCs w:val="21"/>
        </w:rPr>
        <w:t>万个，</w:t>
      </w:r>
      <w:r w:rsidR="005D6979" w:rsidRPr="00853ED2">
        <w:rPr>
          <w:rFonts w:ascii="微软雅黑" w:eastAsia="微软雅黑" w:hAnsi="微软雅黑" w:hint="eastAsia"/>
          <w:szCs w:val="21"/>
        </w:rPr>
        <w:t>增幅为</w:t>
      </w:r>
      <w:r w:rsidR="005D6979">
        <w:rPr>
          <w:rFonts w:ascii="微软雅黑" w:eastAsia="微软雅黑" w:hAnsi="微软雅黑" w:hint="eastAsia"/>
        </w:rPr>
        <w:t>40</w:t>
      </w:r>
      <w:r w:rsidR="00A43F6A">
        <w:rPr>
          <w:rFonts w:ascii="微软雅黑" w:eastAsia="微软雅黑" w:hAnsi="微软雅黑" w:hint="eastAsia"/>
        </w:rPr>
        <w:t>.0</w:t>
      </w:r>
      <w:r w:rsidR="005D6979" w:rsidRPr="00853ED2">
        <w:rPr>
          <w:rFonts w:ascii="微软雅黑" w:eastAsia="微软雅黑" w:hAnsi="微软雅黑"/>
        </w:rPr>
        <w:t>%。</w:t>
      </w:r>
    </w:p>
    <w:p w:rsidR="00A43F6A" w:rsidRPr="00853ED2" w:rsidRDefault="00A43F6A" w:rsidP="00A43F6A">
      <w:pPr>
        <w:jc w:val="center"/>
        <w:rPr>
          <w:rFonts w:ascii="微软雅黑" w:eastAsia="微软雅黑" w:hAnsi="微软雅黑"/>
          <w:szCs w:val="21"/>
        </w:rPr>
      </w:pPr>
      <w:r>
        <w:rPr>
          <w:noProof/>
        </w:rPr>
        <w:drawing>
          <wp:inline distT="0" distB="0" distL="0" distR="0">
            <wp:extent cx="4795156" cy="2880000"/>
            <wp:effectExtent l="0" t="0" r="24765" b="15875"/>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D6979" w:rsidRPr="00853ED2" w:rsidRDefault="00C564F4" w:rsidP="005D6979">
      <w:pPr>
        <w:pStyle w:val="ab"/>
      </w:pPr>
      <w:bookmarkStart w:id="341" w:name="_Toc524418210"/>
      <w:r>
        <w:rPr>
          <w:rFonts w:hint="eastAsia"/>
        </w:rPr>
        <w:t>图5-</w:t>
      </w:r>
      <w:r w:rsidR="005D6979">
        <w:rPr>
          <w:rFonts w:hint="eastAsia"/>
        </w:rPr>
        <w:t>7</w:t>
      </w:r>
      <w:r w:rsidR="005D6979" w:rsidRPr="00853ED2">
        <w:t xml:space="preserve">  2014-2017</w:t>
      </w:r>
      <w:r w:rsidR="005D6979" w:rsidRPr="00853ED2">
        <w:rPr>
          <w:rFonts w:hint="eastAsia"/>
        </w:rPr>
        <w:t>年陕西省移动基站</w:t>
      </w:r>
      <w:r w:rsidR="005D6979" w:rsidRPr="00853ED2">
        <w:t>数量</w:t>
      </w:r>
      <w:bookmarkEnd w:id="341"/>
    </w:p>
    <w:p w:rsidR="005D6979" w:rsidRDefault="005D6979" w:rsidP="005D6979">
      <w:pPr>
        <w:spacing w:line="400" w:lineRule="exact"/>
        <w:outlineLvl w:val="3"/>
        <w:rPr>
          <w:rFonts w:ascii="微软雅黑" w:eastAsia="微软雅黑" w:hAnsi="微软雅黑"/>
          <w:b/>
        </w:rPr>
      </w:pPr>
      <w:bookmarkStart w:id="342" w:name="_Toc491880237"/>
      <w:bookmarkStart w:id="343" w:name="_Toc447029473"/>
      <w:bookmarkStart w:id="344" w:name="_Toc524418013"/>
      <w:r>
        <w:rPr>
          <w:rFonts w:ascii="微软雅黑" w:eastAsia="微软雅黑" w:hAnsi="微软雅黑" w:hint="eastAsia"/>
          <w:b/>
        </w:rPr>
        <w:t>7.移动电话用户规模</w:t>
      </w:r>
      <w:bookmarkEnd w:id="342"/>
      <w:bookmarkEnd w:id="343"/>
      <w:bookmarkEnd w:id="344"/>
    </w:p>
    <w:p w:rsidR="005D6979" w:rsidRDefault="008665F3" w:rsidP="005D6979">
      <w:pPr>
        <w:spacing w:line="380" w:lineRule="exact"/>
        <w:ind w:firstLineChars="200" w:firstLine="420"/>
        <w:rPr>
          <w:rFonts w:ascii="微软雅黑" w:eastAsia="微软雅黑" w:hAnsi="微软雅黑"/>
          <w:szCs w:val="21"/>
          <w:highlight w:val="yellow"/>
        </w:rPr>
      </w:pPr>
      <w:r>
        <w:rPr>
          <w:rFonts w:ascii="微软雅黑" w:eastAsia="微软雅黑" w:hAnsi="微软雅黑" w:hint="eastAsia"/>
          <w:szCs w:val="21"/>
        </w:rPr>
        <w:t>截至</w:t>
      </w:r>
      <w:r w:rsidR="005D6979">
        <w:rPr>
          <w:rFonts w:ascii="微软雅黑" w:eastAsia="微软雅黑" w:hAnsi="微软雅黑"/>
          <w:szCs w:val="21"/>
        </w:rPr>
        <w:t>201</w:t>
      </w:r>
      <w:r w:rsidR="005D6979">
        <w:rPr>
          <w:rFonts w:ascii="微软雅黑" w:eastAsia="微软雅黑" w:hAnsi="微软雅黑" w:hint="eastAsia"/>
          <w:szCs w:val="21"/>
        </w:rPr>
        <w:t>7</w:t>
      </w:r>
      <w:r w:rsidR="005D6979">
        <w:rPr>
          <w:rFonts w:ascii="微软雅黑" w:eastAsia="微软雅黑" w:hAnsi="微软雅黑"/>
          <w:szCs w:val="21"/>
        </w:rPr>
        <w:t>年</w:t>
      </w:r>
      <w:r w:rsidR="005D6979">
        <w:rPr>
          <w:rFonts w:ascii="微软雅黑" w:eastAsia="微软雅黑" w:hAnsi="微软雅黑" w:hint="eastAsia"/>
          <w:szCs w:val="21"/>
        </w:rPr>
        <w:t>12月</w:t>
      </w:r>
      <w:r w:rsidR="005D6979">
        <w:rPr>
          <w:rFonts w:ascii="微软雅黑" w:eastAsia="微软雅黑" w:hAnsi="微软雅黑"/>
          <w:szCs w:val="21"/>
        </w:rPr>
        <w:t>，</w:t>
      </w:r>
      <w:r w:rsidR="005D6979">
        <w:rPr>
          <w:rFonts w:ascii="微软雅黑" w:eastAsia="微软雅黑" w:hAnsi="微软雅黑" w:hint="eastAsia"/>
          <w:szCs w:val="21"/>
        </w:rPr>
        <w:t>陕西省移动电话用户规模达4220.6万户，较2016年增长10.7</w:t>
      </w:r>
      <w:r w:rsidR="005D6979">
        <w:rPr>
          <w:rFonts w:ascii="微软雅黑" w:eastAsia="微软雅黑" w:hAnsi="微软雅黑"/>
          <w:szCs w:val="21"/>
        </w:rPr>
        <w:t>%</w:t>
      </w:r>
      <w:r w:rsidR="005D6979">
        <w:rPr>
          <w:rFonts w:ascii="微软雅黑" w:eastAsia="微软雅黑" w:hAnsi="微软雅黑" w:hint="eastAsia"/>
          <w:szCs w:val="21"/>
        </w:rPr>
        <w:t>，</w:t>
      </w:r>
      <w:r w:rsidR="005D6979">
        <w:rPr>
          <w:rFonts w:ascii="微软雅黑" w:eastAsia="微软雅黑" w:hAnsi="微软雅黑"/>
          <w:szCs w:val="21"/>
        </w:rPr>
        <w:t>增速</w:t>
      </w:r>
      <w:r w:rsidR="005D6979">
        <w:rPr>
          <w:rFonts w:ascii="微软雅黑" w:eastAsia="微软雅黑" w:hAnsi="微软雅黑" w:hint="eastAsia"/>
          <w:szCs w:val="21"/>
        </w:rPr>
        <w:t>有所回升</w:t>
      </w:r>
      <w:r w:rsidR="005D6979">
        <w:rPr>
          <w:rFonts w:ascii="微软雅黑" w:eastAsia="微软雅黑" w:hAnsi="微软雅黑"/>
          <w:szCs w:val="21"/>
        </w:rPr>
        <w:t>。</w:t>
      </w:r>
    </w:p>
    <w:p w:rsidR="005D6979" w:rsidRDefault="005D6979" w:rsidP="005D6979">
      <w:pPr>
        <w:jc w:val="center"/>
        <w:rPr>
          <w:rFonts w:ascii="微软雅黑" w:eastAsia="微软雅黑" w:hAnsi="微软雅黑"/>
          <w:szCs w:val="21"/>
        </w:rPr>
      </w:pPr>
      <w:r>
        <w:rPr>
          <w:noProof/>
        </w:rPr>
        <w:drawing>
          <wp:inline distT="0" distB="0" distL="114300" distR="114300">
            <wp:extent cx="4780280" cy="3042920"/>
            <wp:effectExtent l="0" t="0" r="20320" b="2413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D6979" w:rsidRDefault="00C564F4" w:rsidP="005D6979">
      <w:pPr>
        <w:pStyle w:val="ab"/>
      </w:pPr>
      <w:bookmarkStart w:id="345" w:name="_Toc524418211"/>
      <w:r>
        <w:rPr>
          <w:rFonts w:hint="eastAsia"/>
        </w:rPr>
        <w:t>图5-</w:t>
      </w:r>
      <w:r w:rsidR="005D6979">
        <w:rPr>
          <w:rFonts w:hint="eastAsia"/>
        </w:rPr>
        <w:t>8</w:t>
      </w:r>
      <w:r w:rsidR="005D6979">
        <w:t xml:space="preserve">  201</w:t>
      </w:r>
      <w:r w:rsidR="005D6979">
        <w:rPr>
          <w:rFonts w:hint="eastAsia"/>
        </w:rPr>
        <w:t>3</w:t>
      </w:r>
      <w:r w:rsidR="005D6979">
        <w:t>-201</w:t>
      </w:r>
      <w:r w:rsidR="005D6979">
        <w:rPr>
          <w:rFonts w:hint="eastAsia"/>
        </w:rPr>
        <w:t>7</w:t>
      </w:r>
      <w:r w:rsidR="005D6979">
        <w:t>年</w:t>
      </w:r>
      <w:r w:rsidR="005D6979">
        <w:rPr>
          <w:rFonts w:hint="eastAsia"/>
        </w:rPr>
        <w:t>陕西省移动电话用户规模</w:t>
      </w:r>
      <w:bookmarkEnd w:id="345"/>
    </w:p>
    <w:p w:rsidR="005D6979" w:rsidRDefault="009B05F7" w:rsidP="005D6979">
      <w:pPr>
        <w:spacing w:line="380" w:lineRule="exact"/>
        <w:ind w:firstLineChars="200" w:firstLine="420"/>
        <w:rPr>
          <w:rFonts w:ascii="微软雅黑" w:eastAsia="微软雅黑" w:hAnsi="微软雅黑"/>
          <w:szCs w:val="21"/>
        </w:rPr>
      </w:pPr>
      <w:bookmarkStart w:id="346" w:name="_Toc491880238"/>
      <w:bookmarkStart w:id="347" w:name="_Toc447029474"/>
      <w:r w:rsidRPr="009B05F7">
        <w:rPr>
          <w:rFonts w:ascii="微软雅黑" w:eastAsia="微软雅黑" w:hAnsi="微软雅黑" w:hint="eastAsia"/>
          <w:szCs w:val="21"/>
        </w:rPr>
        <w:t>从移动电话</w:t>
      </w:r>
      <w:r w:rsidR="005D6979" w:rsidRPr="009B05F7">
        <w:rPr>
          <w:rFonts w:ascii="微软雅黑" w:eastAsia="微软雅黑" w:hAnsi="微软雅黑" w:hint="eastAsia"/>
          <w:szCs w:val="21"/>
        </w:rPr>
        <w:t>用户类型</w:t>
      </w:r>
      <w:bookmarkEnd w:id="346"/>
      <w:bookmarkEnd w:id="347"/>
      <w:r w:rsidRPr="009B05F7">
        <w:rPr>
          <w:rFonts w:ascii="微软雅黑" w:eastAsia="微软雅黑" w:hAnsi="微软雅黑" w:hint="eastAsia"/>
          <w:szCs w:val="21"/>
        </w:rPr>
        <w:t>来看，</w:t>
      </w:r>
      <w:r w:rsidR="005D6979">
        <w:rPr>
          <w:rFonts w:ascii="微软雅黑" w:eastAsia="微软雅黑" w:hAnsi="微软雅黑" w:hint="eastAsia"/>
          <w:szCs w:val="21"/>
        </w:rPr>
        <w:t>2017</w:t>
      </w:r>
      <w:r>
        <w:rPr>
          <w:rFonts w:ascii="微软雅黑" w:eastAsia="微软雅黑" w:hAnsi="微软雅黑" w:hint="eastAsia"/>
          <w:szCs w:val="21"/>
        </w:rPr>
        <w:t>年全</w:t>
      </w:r>
      <w:r w:rsidR="005D6979">
        <w:rPr>
          <w:rFonts w:ascii="微软雅黑" w:eastAsia="微软雅黑" w:hAnsi="微软雅黑" w:hint="eastAsia"/>
          <w:szCs w:val="21"/>
        </w:rPr>
        <w:t>省4G用户持续增长</w:t>
      </w:r>
      <w:r>
        <w:rPr>
          <w:rFonts w:ascii="微软雅黑" w:eastAsia="微软雅黑" w:hAnsi="微软雅黑" w:hint="eastAsia"/>
          <w:szCs w:val="21"/>
        </w:rPr>
        <w:t>，</w:t>
      </w:r>
      <w:r w:rsidR="00546E6D">
        <w:rPr>
          <w:rFonts w:ascii="微软雅黑" w:eastAsia="微软雅黑" w:hAnsi="微软雅黑" w:hint="eastAsia"/>
          <w:szCs w:val="21"/>
        </w:rPr>
        <w:t>3G和2G用户则不断减少。根据统计数据，</w:t>
      </w:r>
      <w:r w:rsidR="008665F3">
        <w:rPr>
          <w:rFonts w:ascii="微软雅黑" w:eastAsia="微软雅黑" w:hAnsi="微软雅黑"/>
          <w:szCs w:val="21"/>
        </w:rPr>
        <w:t>截至</w:t>
      </w:r>
      <w:r w:rsidR="005D6979">
        <w:rPr>
          <w:rFonts w:ascii="微软雅黑" w:eastAsia="微软雅黑" w:hAnsi="微软雅黑" w:hint="eastAsia"/>
          <w:szCs w:val="21"/>
        </w:rPr>
        <w:t>12月</w:t>
      </w:r>
      <w:r w:rsidR="00DE59F7">
        <w:rPr>
          <w:rFonts w:ascii="微软雅黑" w:eastAsia="微软雅黑" w:hAnsi="微软雅黑" w:hint="eastAsia"/>
          <w:szCs w:val="21"/>
        </w:rPr>
        <w:t>，全省</w:t>
      </w:r>
      <w:r w:rsidR="005D6979">
        <w:rPr>
          <w:rFonts w:ascii="微软雅黑" w:eastAsia="微软雅黑" w:hAnsi="微软雅黑" w:hint="eastAsia"/>
          <w:szCs w:val="21"/>
        </w:rPr>
        <w:t>4G用户到达</w:t>
      </w:r>
      <w:r>
        <w:rPr>
          <w:rFonts w:ascii="微软雅黑" w:eastAsia="微软雅黑" w:hAnsi="微软雅黑" w:hint="eastAsia"/>
          <w:szCs w:val="21"/>
        </w:rPr>
        <w:t>3</w:t>
      </w:r>
      <w:r w:rsidR="005D6979">
        <w:rPr>
          <w:rFonts w:ascii="微软雅黑" w:eastAsia="微软雅黑" w:hAnsi="微软雅黑" w:hint="eastAsia"/>
          <w:szCs w:val="21"/>
        </w:rPr>
        <w:t>169.6万户</w:t>
      </w:r>
      <w:r w:rsidR="00546E6D">
        <w:rPr>
          <w:rFonts w:ascii="微软雅黑" w:eastAsia="微软雅黑" w:hAnsi="微软雅黑" w:hint="eastAsia"/>
          <w:szCs w:val="21"/>
        </w:rPr>
        <w:t>，</w:t>
      </w:r>
      <w:r w:rsidR="00DE59F7">
        <w:rPr>
          <w:rFonts w:ascii="微软雅黑" w:eastAsia="微软雅黑" w:hAnsi="微软雅黑" w:hint="eastAsia"/>
          <w:szCs w:val="21"/>
        </w:rPr>
        <w:t>较2016年增加672.9万户，增幅为27</w:t>
      </w:r>
      <w:r w:rsidR="00702B7B">
        <w:rPr>
          <w:rFonts w:ascii="微软雅黑" w:eastAsia="微软雅黑" w:hAnsi="微软雅黑" w:hint="eastAsia"/>
          <w:szCs w:val="21"/>
        </w:rPr>
        <w:t>.0</w:t>
      </w:r>
      <w:r w:rsidR="00DE59F7">
        <w:rPr>
          <w:rFonts w:ascii="微软雅黑" w:eastAsia="微软雅黑" w:hAnsi="微软雅黑" w:hint="eastAsia"/>
          <w:szCs w:val="21"/>
        </w:rPr>
        <w:t>%；</w:t>
      </w:r>
      <w:r w:rsidR="005D6979">
        <w:rPr>
          <w:rFonts w:ascii="微软雅黑" w:eastAsia="微软雅黑" w:hAnsi="微软雅黑" w:hint="eastAsia"/>
          <w:szCs w:val="21"/>
        </w:rPr>
        <w:t>全省3G移动用户累计为349.9万户，减少91.8万户；</w:t>
      </w:r>
      <w:r w:rsidR="005D6979">
        <w:rPr>
          <w:rFonts w:ascii="微软雅黑" w:eastAsia="微软雅黑" w:hAnsi="微软雅黑"/>
          <w:szCs w:val="21"/>
        </w:rPr>
        <w:t>2G</w:t>
      </w:r>
      <w:r w:rsidR="005D6979">
        <w:rPr>
          <w:rFonts w:ascii="微软雅黑" w:eastAsia="微软雅黑" w:hAnsi="微软雅黑" w:hint="eastAsia"/>
          <w:szCs w:val="21"/>
        </w:rPr>
        <w:t>移动</w:t>
      </w:r>
      <w:r w:rsidR="005D6979">
        <w:rPr>
          <w:rFonts w:ascii="微软雅黑" w:eastAsia="微软雅黑" w:hAnsi="微软雅黑"/>
          <w:szCs w:val="21"/>
        </w:rPr>
        <w:t>用户数为</w:t>
      </w:r>
      <w:r w:rsidR="005D6979">
        <w:rPr>
          <w:rFonts w:ascii="微软雅黑" w:eastAsia="微软雅黑" w:hAnsi="微软雅黑" w:hint="eastAsia"/>
          <w:szCs w:val="21"/>
        </w:rPr>
        <w:t>701.1万户，减少173.8万户。</w:t>
      </w:r>
    </w:p>
    <w:p w:rsidR="009B05F7" w:rsidRDefault="009B05F7" w:rsidP="005D6979">
      <w:pPr>
        <w:jc w:val="center"/>
        <w:rPr>
          <w:rFonts w:ascii="微软雅黑" w:eastAsia="微软雅黑" w:hAnsi="微软雅黑"/>
          <w:szCs w:val="21"/>
        </w:rPr>
      </w:pPr>
      <w:r>
        <w:rPr>
          <w:noProof/>
        </w:rPr>
        <w:drawing>
          <wp:inline distT="0" distB="0" distL="0" distR="0">
            <wp:extent cx="4809600" cy="2880000"/>
            <wp:effectExtent l="0" t="0" r="10160" b="15875"/>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D6979" w:rsidRDefault="00C564F4" w:rsidP="00DE59F7">
      <w:pPr>
        <w:pStyle w:val="ab"/>
      </w:pPr>
      <w:bookmarkStart w:id="348" w:name="_Toc524418212"/>
      <w:r>
        <w:rPr>
          <w:rFonts w:hint="eastAsia"/>
        </w:rPr>
        <w:t>图5-</w:t>
      </w:r>
      <w:r w:rsidR="005D6979">
        <w:rPr>
          <w:rFonts w:hint="eastAsia"/>
        </w:rPr>
        <w:t>9</w:t>
      </w:r>
      <w:r w:rsidR="005D6979">
        <w:t xml:space="preserve">  201</w:t>
      </w:r>
      <w:r w:rsidR="005D6979">
        <w:rPr>
          <w:rFonts w:hint="eastAsia"/>
        </w:rPr>
        <w:t>5-2017年陕西省移动电话用户类型</w:t>
      </w:r>
      <w:bookmarkEnd w:id="348"/>
    </w:p>
    <w:p w:rsidR="005D6979" w:rsidRDefault="00DE59F7" w:rsidP="00DE59F7">
      <w:pPr>
        <w:spacing w:line="400" w:lineRule="exact"/>
        <w:outlineLvl w:val="3"/>
        <w:rPr>
          <w:rFonts w:ascii="微软雅黑" w:eastAsia="微软雅黑" w:hAnsi="微软雅黑"/>
          <w:b/>
        </w:rPr>
      </w:pPr>
      <w:bookmarkStart w:id="349" w:name="_Toc447029476"/>
      <w:bookmarkStart w:id="350" w:name="_Toc524418014"/>
      <w:r>
        <w:rPr>
          <w:rFonts w:ascii="微软雅黑" w:eastAsia="微软雅黑" w:hAnsi="微软雅黑" w:hint="eastAsia"/>
          <w:b/>
        </w:rPr>
        <w:t>8</w:t>
      </w:r>
      <w:r w:rsidR="005D6979">
        <w:rPr>
          <w:rFonts w:ascii="微软雅黑" w:eastAsia="微软雅黑" w:hAnsi="微软雅黑" w:hint="eastAsia"/>
          <w:b/>
        </w:rPr>
        <w:t>.域名数量</w:t>
      </w:r>
      <w:bookmarkEnd w:id="349"/>
      <w:bookmarkEnd w:id="350"/>
    </w:p>
    <w:p w:rsidR="000B1BC1" w:rsidRPr="00EC7EF9" w:rsidRDefault="000949E6" w:rsidP="005D6979">
      <w:pPr>
        <w:spacing w:line="400" w:lineRule="exact"/>
        <w:ind w:firstLineChars="200" w:firstLine="420"/>
        <w:rPr>
          <w:rFonts w:ascii="微软雅黑" w:eastAsia="微软雅黑" w:hAnsi="微软雅黑"/>
          <w:szCs w:val="21"/>
        </w:rPr>
      </w:pPr>
      <w:r w:rsidRPr="00EC7EF9">
        <w:rPr>
          <w:rFonts w:ascii="微软雅黑" w:eastAsia="微软雅黑" w:hAnsi="微软雅黑"/>
          <w:szCs w:val="21"/>
        </w:rPr>
        <w:t>2017年，</w:t>
      </w:r>
      <w:r w:rsidR="000B1BC1" w:rsidRPr="00EC7EF9">
        <w:rPr>
          <w:rFonts w:ascii="微软雅黑" w:eastAsia="微软雅黑" w:hAnsi="微软雅黑" w:hint="eastAsia"/>
          <w:szCs w:val="21"/>
        </w:rPr>
        <w:t>陕西省</w:t>
      </w:r>
      <w:r w:rsidRPr="00EC7EF9">
        <w:rPr>
          <w:rFonts w:ascii="微软雅黑" w:eastAsia="微软雅黑" w:hAnsi="微软雅黑"/>
          <w:szCs w:val="21"/>
        </w:rPr>
        <w:t>域名总量为</w:t>
      </w:r>
      <w:r w:rsidR="000B1BC1" w:rsidRPr="00EC7EF9">
        <w:rPr>
          <w:rFonts w:ascii="微软雅黑" w:eastAsia="微软雅黑" w:hAnsi="微软雅黑" w:hint="eastAsia"/>
          <w:szCs w:val="21"/>
        </w:rPr>
        <w:t>39.6万个，较2016年减少8.1%，但</w:t>
      </w:r>
      <w:r w:rsidR="00EC7EF9" w:rsidRPr="00EC7EF9">
        <w:rPr>
          <w:rFonts w:ascii="微软雅黑" w:eastAsia="微软雅黑" w:hAnsi="微软雅黑" w:hint="eastAsia"/>
          <w:szCs w:val="21"/>
        </w:rPr>
        <w:t>全省域名总量</w:t>
      </w:r>
      <w:r w:rsidR="000B1BC1" w:rsidRPr="00EC7EF9">
        <w:rPr>
          <w:rFonts w:ascii="微软雅黑" w:eastAsia="微软雅黑" w:hAnsi="微软雅黑" w:hint="eastAsia"/>
          <w:szCs w:val="21"/>
        </w:rPr>
        <w:t>占全国的比重仍维持在1.0%水平。</w:t>
      </w:r>
    </w:p>
    <w:p w:rsidR="000949E6" w:rsidRDefault="000949E6" w:rsidP="000949E6">
      <w:pPr>
        <w:jc w:val="center"/>
        <w:rPr>
          <w:rFonts w:ascii="微软雅黑" w:eastAsia="微软雅黑" w:hAnsi="微软雅黑"/>
          <w:szCs w:val="21"/>
        </w:rPr>
      </w:pPr>
      <w:r>
        <w:rPr>
          <w:noProof/>
        </w:rPr>
        <w:drawing>
          <wp:inline distT="0" distB="0" distL="0" distR="0">
            <wp:extent cx="4810125" cy="2880000"/>
            <wp:effectExtent l="0" t="0" r="9525" b="15875"/>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B1BC1" w:rsidRDefault="00C564F4" w:rsidP="000B1BC1">
      <w:pPr>
        <w:pStyle w:val="ab"/>
      </w:pPr>
      <w:bookmarkStart w:id="351" w:name="_Toc524418213"/>
      <w:r>
        <w:rPr>
          <w:rFonts w:hint="eastAsia"/>
        </w:rPr>
        <w:t>图5-</w:t>
      </w:r>
      <w:r w:rsidR="000B1BC1">
        <w:rPr>
          <w:rFonts w:hint="eastAsia"/>
        </w:rPr>
        <w:t>10</w:t>
      </w:r>
      <w:r w:rsidR="000B1BC1">
        <w:t xml:space="preserve">  201</w:t>
      </w:r>
      <w:r w:rsidR="000B1BC1">
        <w:rPr>
          <w:rFonts w:hint="eastAsia"/>
        </w:rPr>
        <w:t>3-2017年陕西省域名数量</w:t>
      </w:r>
      <w:r w:rsidR="00EC7EF9">
        <w:rPr>
          <w:rFonts w:hint="eastAsia"/>
        </w:rPr>
        <w:t>及占全国比例</w:t>
      </w:r>
      <w:bookmarkEnd w:id="351"/>
    </w:p>
    <w:p w:rsidR="008036CA" w:rsidRDefault="000949E6" w:rsidP="005D6979">
      <w:pPr>
        <w:spacing w:line="400" w:lineRule="exact"/>
        <w:ind w:firstLineChars="200" w:firstLine="420"/>
        <w:rPr>
          <w:rFonts w:ascii="微软雅黑" w:eastAsia="微软雅黑" w:hAnsi="微软雅黑"/>
          <w:szCs w:val="21"/>
        </w:rPr>
      </w:pPr>
      <w:r>
        <w:rPr>
          <w:rFonts w:ascii="微软雅黑" w:eastAsia="微软雅黑" w:hAnsi="微软雅黑"/>
          <w:szCs w:val="21"/>
        </w:rPr>
        <w:t>从域名</w:t>
      </w:r>
      <w:r w:rsidR="008036CA">
        <w:rPr>
          <w:rFonts w:ascii="微软雅黑" w:eastAsia="微软雅黑" w:hAnsi="微软雅黑" w:hint="eastAsia"/>
          <w:szCs w:val="21"/>
        </w:rPr>
        <w:t>绝对数量</w:t>
      </w:r>
      <w:r w:rsidR="008036CA">
        <w:rPr>
          <w:rFonts w:ascii="微软雅黑" w:eastAsia="微软雅黑" w:hAnsi="微软雅黑"/>
          <w:szCs w:val="21"/>
        </w:rPr>
        <w:t>来看</w:t>
      </w:r>
      <w:r w:rsidR="008036CA">
        <w:rPr>
          <w:rFonts w:ascii="微软雅黑" w:eastAsia="微软雅黑" w:hAnsi="微软雅黑" w:hint="eastAsia"/>
          <w:szCs w:val="21"/>
        </w:rPr>
        <w:t>，在全省</w:t>
      </w:r>
      <w:r w:rsidR="008036CA" w:rsidRPr="00EC7EF9">
        <w:rPr>
          <w:rFonts w:ascii="微软雅黑" w:eastAsia="微软雅黑" w:hAnsi="微软雅黑" w:hint="eastAsia"/>
          <w:szCs w:val="21"/>
        </w:rPr>
        <w:t>全省域名总量</w:t>
      </w:r>
      <w:r w:rsidR="008036CA">
        <w:rPr>
          <w:rFonts w:ascii="微软雅黑" w:eastAsia="微软雅黑" w:hAnsi="微软雅黑" w:hint="eastAsia"/>
          <w:szCs w:val="21"/>
        </w:rPr>
        <w:t>下降的情况下，陕西省·CN和·中国域名依然保持增长。</w:t>
      </w:r>
      <w:r w:rsidR="008036CA">
        <w:rPr>
          <w:rFonts w:ascii="微软雅黑" w:eastAsia="微软雅黑" w:hAnsi="微软雅黑"/>
          <w:szCs w:val="21"/>
        </w:rPr>
        <w:t>截至201</w:t>
      </w:r>
      <w:r w:rsidR="008036CA">
        <w:rPr>
          <w:rFonts w:ascii="微软雅黑" w:eastAsia="微软雅黑" w:hAnsi="微软雅黑" w:hint="eastAsia"/>
          <w:szCs w:val="21"/>
        </w:rPr>
        <w:t>7</w:t>
      </w:r>
      <w:r w:rsidR="008036CA">
        <w:rPr>
          <w:rFonts w:ascii="微软雅黑" w:eastAsia="微软雅黑" w:hAnsi="微软雅黑"/>
          <w:szCs w:val="21"/>
        </w:rPr>
        <w:t>年</w:t>
      </w:r>
      <w:r w:rsidR="008036CA">
        <w:rPr>
          <w:rFonts w:ascii="微软雅黑" w:eastAsia="微软雅黑" w:hAnsi="微软雅黑" w:hint="eastAsia"/>
          <w:szCs w:val="21"/>
        </w:rPr>
        <w:t>12月，陕西省.</w:t>
      </w:r>
      <w:r w:rsidR="008036CA">
        <w:rPr>
          <w:rFonts w:ascii="微软雅黑" w:eastAsia="微软雅黑" w:hAnsi="微软雅黑"/>
          <w:szCs w:val="21"/>
        </w:rPr>
        <w:t>CN域名总量为</w:t>
      </w:r>
      <w:r w:rsidR="008036CA">
        <w:rPr>
          <w:rFonts w:ascii="微软雅黑" w:eastAsia="微软雅黑" w:hAnsi="微软雅黑" w:hint="eastAsia"/>
          <w:szCs w:val="21"/>
        </w:rPr>
        <w:t>16.7万个，占全国.CN域名的比重为</w:t>
      </w:r>
      <w:r w:rsidR="008036CA">
        <w:rPr>
          <w:rFonts w:ascii="微软雅黑" w:eastAsia="微软雅黑" w:hAnsi="微软雅黑"/>
          <w:szCs w:val="21"/>
        </w:rPr>
        <w:t>0.</w:t>
      </w:r>
      <w:r w:rsidR="008036CA">
        <w:rPr>
          <w:rFonts w:ascii="微软雅黑" w:eastAsia="微软雅黑" w:hAnsi="微软雅黑" w:hint="eastAsia"/>
          <w:szCs w:val="21"/>
        </w:rPr>
        <w:t>8</w:t>
      </w:r>
      <w:r w:rsidR="008036CA">
        <w:rPr>
          <w:rFonts w:ascii="微软雅黑" w:eastAsia="微软雅黑" w:hAnsi="微软雅黑"/>
          <w:szCs w:val="21"/>
        </w:rPr>
        <w:t>%</w:t>
      </w:r>
      <w:r w:rsidR="008036CA">
        <w:rPr>
          <w:rFonts w:ascii="微软雅黑" w:eastAsia="微软雅黑" w:hAnsi="微软雅黑" w:hint="eastAsia"/>
          <w:szCs w:val="21"/>
        </w:rPr>
        <w:t>；“·中国”域名数量</w:t>
      </w:r>
      <w:r w:rsidR="008036CA">
        <w:rPr>
          <w:rFonts w:ascii="微软雅黑" w:eastAsia="微软雅黑" w:hAnsi="微软雅黑"/>
          <w:szCs w:val="21"/>
        </w:rPr>
        <w:t>4</w:t>
      </w:r>
      <w:r w:rsidR="008036CA">
        <w:rPr>
          <w:rFonts w:ascii="微软雅黑" w:eastAsia="微软雅黑" w:hAnsi="微软雅黑" w:hint="eastAsia"/>
          <w:szCs w:val="21"/>
        </w:rPr>
        <w:t>597个，占“·中国”域名的比重为0.2%。从域名整体结构来看，.</w:t>
      </w:r>
      <w:r w:rsidR="008036CA">
        <w:rPr>
          <w:rFonts w:ascii="微软雅黑" w:eastAsia="微软雅黑" w:hAnsi="微软雅黑"/>
          <w:szCs w:val="21"/>
        </w:rPr>
        <w:t>CN域名已占到全省域名总量的</w:t>
      </w:r>
      <w:r w:rsidR="008036CA">
        <w:rPr>
          <w:rFonts w:ascii="微软雅黑" w:eastAsia="微软雅黑" w:hAnsi="微软雅黑" w:hint="eastAsia"/>
          <w:szCs w:val="21"/>
        </w:rPr>
        <w:t>42.1%，·中国域名占比相对较低，仅1.2%，而其他域名合计占比为56.8%。</w:t>
      </w:r>
    </w:p>
    <w:p w:rsidR="000949E6" w:rsidRDefault="000949E6" w:rsidP="005D6979">
      <w:pPr>
        <w:jc w:val="center"/>
        <w:rPr>
          <w:rFonts w:ascii="微软雅黑" w:eastAsia="微软雅黑" w:hAnsi="微软雅黑"/>
          <w:szCs w:val="21"/>
        </w:rPr>
      </w:pPr>
      <w:r>
        <w:rPr>
          <w:noProof/>
        </w:rPr>
        <w:drawing>
          <wp:inline distT="0" distB="0" distL="0" distR="0">
            <wp:extent cx="4809600" cy="2880000"/>
            <wp:effectExtent l="0" t="0" r="10160" b="15875"/>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5D6979" w:rsidRDefault="00C564F4" w:rsidP="005D6979">
      <w:pPr>
        <w:pStyle w:val="ab"/>
      </w:pPr>
      <w:bookmarkStart w:id="352" w:name="_Toc524418214"/>
      <w:r>
        <w:rPr>
          <w:rFonts w:hint="eastAsia"/>
        </w:rPr>
        <w:t>图5-</w:t>
      </w:r>
      <w:r w:rsidR="005D6979">
        <w:rPr>
          <w:rFonts w:hint="eastAsia"/>
        </w:rPr>
        <w:t>11</w:t>
      </w:r>
      <w:r w:rsidR="005D6979">
        <w:t xml:space="preserve">  201</w:t>
      </w:r>
      <w:r w:rsidR="005D6979">
        <w:rPr>
          <w:rFonts w:hint="eastAsia"/>
        </w:rPr>
        <w:t>7</w:t>
      </w:r>
      <w:r w:rsidR="005D6979">
        <w:t>年</w:t>
      </w:r>
      <w:r w:rsidR="005D6979">
        <w:rPr>
          <w:rFonts w:hint="eastAsia"/>
        </w:rPr>
        <w:t>陕西省域名构成情况</w:t>
      </w:r>
      <w:bookmarkEnd w:id="352"/>
    </w:p>
    <w:p w:rsidR="00987182" w:rsidRDefault="006F1E64" w:rsidP="00987182">
      <w:pPr>
        <w:spacing w:line="400" w:lineRule="exact"/>
        <w:outlineLvl w:val="2"/>
        <w:rPr>
          <w:rFonts w:ascii="微软雅黑" w:eastAsia="微软雅黑" w:hAnsi="微软雅黑" w:cs="STHeiti"/>
          <w:b/>
          <w:szCs w:val="21"/>
        </w:rPr>
      </w:pPr>
      <w:bookmarkStart w:id="353" w:name="_Toc524418015"/>
      <w:bookmarkStart w:id="354" w:name="_Toc491880244"/>
      <w:bookmarkEnd w:id="315"/>
      <w:r>
        <w:rPr>
          <w:rFonts w:ascii="微软雅黑" w:eastAsia="微软雅黑" w:hAnsi="微软雅黑" w:cs="STHeiti"/>
          <w:b/>
          <w:szCs w:val="21"/>
        </w:rPr>
        <w:t>（二）</w:t>
      </w:r>
      <w:r w:rsidR="00987182">
        <w:rPr>
          <w:rFonts w:ascii="微软雅黑" w:eastAsia="微软雅黑" w:hAnsi="微软雅黑" w:cs="STHeiti"/>
          <w:b/>
          <w:szCs w:val="21"/>
        </w:rPr>
        <w:t>网站备案及接入情况</w:t>
      </w:r>
      <w:bookmarkEnd w:id="353"/>
    </w:p>
    <w:p w:rsidR="00987182" w:rsidRDefault="00987182" w:rsidP="00987182">
      <w:pPr>
        <w:spacing w:line="400" w:lineRule="exact"/>
        <w:outlineLvl w:val="3"/>
        <w:rPr>
          <w:rFonts w:ascii="微软雅黑" w:eastAsia="微软雅黑" w:hAnsi="微软雅黑"/>
          <w:b/>
        </w:rPr>
      </w:pPr>
      <w:bookmarkStart w:id="355" w:name="_Toc524418016"/>
      <w:r>
        <w:rPr>
          <w:rFonts w:ascii="微软雅黑" w:eastAsia="微软雅黑" w:hAnsi="微软雅黑" w:hint="eastAsia"/>
          <w:b/>
        </w:rPr>
        <w:t>1.备案网站情况统计</w:t>
      </w:r>
      <w:bookmarkEnd w:id="355"/>
    </w:p>
    <w:p w:rsidR="00987182" w:rsidRDefault="000F1EE7" w:rsidP="00FE125A">
      <w:pPr>
        <w:snapToGrid w:val="0"/>
        <w:spacing w:line="400" w:lineRule="exact"/>
        <w:ind w:firstLineChars="202" w:firstLine="424"/>
      </w:pPr>
      <w:r>
        <w:rPr>
          <w:rFonts w:ascii="微软雅黑" w:eastAsia="微软雅黑" w:hAnsi="微软雅黑" w:hint="eastAsia"/>
          <w:szCs w:val="21"/>
        </w:rPr>
        <w:t>截至</w:t>
      </w:r>
      <w:r w:rsidR="003B42A4" w:rsidRPr="00F66D54">
        <w:rPr>
          <w:rFonts w:ascii="微软雅黑" w:eastAsia="微软雅黑" w:hAnsi="微软雅黑" w:hint="eastAsia"/>
          <w:szCs w:val="21"/>
        </w:rPr>
        <w:t>2017年</w:t>
      </w:r>
      <w:r>
        <w:rPr>
          <w:rFonts w:ascii="微软雅黑" w:eastAsia="微软雅黑" w:hAnsi="微软雅黑" w:hint="eastAsia"/>
          <w:szCs w:val="21"/>
        </w:rPr>
        <w:t>12月</w:t>
      </w:r>
      <w:r w:rsidR="003B42A4" w:rsidRPr="00F66D54">
        <w:rPr>
          <w:rFonts w:ascii="微软雅黑" w:eastAsia="微软雅黑" w:hAnsi="微软雅黑" w:hint="eastAsia"/>
          <w:szCs w:val="21"/>
        </w:rPr>
        <w:t>，陕西省网站备案总数为103618个</w:t>
      </w:r>
      <w:r w:rsidR="00A7175D">
        <w:rPr>
          <w:rFonts w:ascii="微软雅黑" w:eastAsia="微软雅黑" w:hAnsi="微软雅黑" w:hint="eastAsia"/>
          <w:szCs w:val="21"/>
        </w:rPr>
        <w:t>，较2016年12月增长18.5%</w:t>
      </w:r>
      <w:r w:rsidR="00CB244E">
        <w:rPr>
          <w:rFonts w:ascii="微软雅黑" w:eastAsia="微软雅黑" w:hAnsi="微软雅黑" w:hint="eastAsia"/>
          <w:szCs w:val="21"/>
        </w:rPr>
        <w:t>，备案网站总量增长明显</w:t>
      </w:r>
      <w:r w:rsidR="003B42A4" w:rsidRPr="00F66D54">
        <w:rPr>
          <w:rFonts w:ascii="微软雅黑" w:eastAsia="微软雅黑" w:hAnsi="微软雅黑" w:hint="eastAsia"/>
          <w:szCs w:val="21"/>
        </w:rPr>
        <w:t>。其中</w:t>
      </w:r>
      <w:r>
        <w:rPr>
          <w:rFonts w:ascii="微软雅黑" w:eastAsia="微软雅黑" w:hAnsi="微软雅黑" w:hint="eastAsia"/>
          <w:szCs w:val="21"/>
        </w:rPr>
        <w:t>，</w:t>
      </w:r>
      <w:r w:rsidR="003B42A4" w:rsidRPr="00F66D54">
        <w:rPr>
          <w:rFonts w:ascii="微软雅黑" w:eastAsia="微软雅黑" w:hAnsi="微软雅黑" w:hint="eastAsia"/>
          <w:szCs w:val="21"/>
        </w:rPr>
        <w:t>接入地信息在陕西的数量为37240个</w:t>
      </w:r>
      <w:r w:rsidR="00CB244E">
        <w:rPr>
          <w:rFonts w:ascii="微软雅黑" w:eastAsia="微软雅黑" w:hAnsi="微软雅黑" w:hint="eastAsia"/>
          <w:szCs w:val="21"/>
        </w:rPr>
        <w:t>，较2016年12月增长19.7%，</w:t>
      </w:r>
      <w:r w:rsidR="003B42A4" w:rsidRPr="00F66D54">
        <w:rPr>
          <w:rFonts w:ascii="微软雅黑" w:eastAsia="微软雅黑" w:hAnsi="微软雅黑" w:hint="eastAsia"/>
          <w:szCs w:val="21"/>
        </w:rPr>
        <w:t>占</w:t>
      </w:r>
      <w:r w:rsidR="00CB244E">
        <w:rPr>
          <w:rFonts w:ascii="微软雅黑" w:eastAsia="微软雅黑" w:hAnsi="微软雅黑" w:hint="eastAsia"/>
          <w:szCs w:val="21"/>
        </w:rPr>
        <w:t>2017年接入网站总量的比重为</w:t>
      </w:r>
      <w:r w:rsidR="006673AC">
        <w:rPr>
          <w:rFonts w:ascii="微软雅黑" w:eastAsia="微软雅黑" w:hAnsi="微软雅黑" w:hint="eastAsia"/>
          <w:szCs w:val="21"/>
        </w:rPr>
        <w:t>35.9</w:t>
      </w:r>
      <w:r w:rsidR="003B42A4" w:rsidRPr="00F66D54">
        <w:rPr>
          <w:rFonts w:ascii="微软雅黑" w:eastAsia="微软雅黑" w:hAnsi="微软雅黑" w:hint="eastAsia"/>
          <w:szCs w:val="21"/>
        </w:rPr>
        <w:t>%</w:t>
      </w:r>
      <w:r w:rsidR="00CB244E">
        <w:rPr>
          <w:rFonts w:ascii="微软雅黑" w:eastAsia="微软雅黑" w:hAnsi="微软雅黑" w:hint="eastAsia"/>
          <w:szCs w:val="21"/>
        </w:rPr>
        <w:t>；</w:t>
      </w:r>
      <w:r w:rsidR="003B42A4" w:rsidRPr="00F66D54">
        <w:rPr>
          <w:rFonts w:ascii="微软雅黑" w:eastAsia="微软雅黑" w:hAnsi="微软雅黑" w:hint="eastAsia"/>
          <w:szCs w:val="21"/>
        </w:rPr>
        <w:t>接入地信息在外省的数量为66378个，</w:t>
      </w:r>
      <w:r w:rsidR="00CB244E">
        <w:rPr>
          <w:rFonts w:ascii="微软雅黑" w:eastAsia="微软雅黑" w:hAnsi="微软雅黑" w:hint="eastAsia"/>
          <w:szCs w:val="21"/>
        </w:rPr>
        <w:t>较2016年12月增长17.9%，占2017年接入网站总量的比重为</w:t>
      </w:r>
      <w:r w:rsidR="006673AC">
        <w:rPr>
          <w:rFonts w:ascii="微软雅黑" w:eastAsia="微软雅黑" w:hAnsi="微软雅黑" w:hint="eastAsia"/>
          <w:szCs w:val="21"/>
        </w:rPr>
        <w:t>64.1</w:t>
      </w:r>
      <w:r w:rsidR="00CB244E" w:rsidRPr="00F66D54">
        <w:rPr>
          <w:rFonts w:ascii="微软雅黑" w:eastAsia="微软雅黑" w:hAnsi="微软雅黑" w:hint="eastAsia"/>
          <w:szCs w:val="21"/>
        </w:rPr>
        <w:t>%</w:t>
      </w:r>
      <w:r w:rsidR="00CB244E">
        <w:rPr>
          <w:rFonts w:ascii="微软雅黑" w:eastAsia="微软雅黑" w:hAnsi="微软雅黑" w:hint="eastAsia"/>
          <w:szCs w:val="21"/>
        </w:rPr>
        <w:t>。</w:t>
      </w:r>
      <w:r w:rsidR="00FE125A">
        <w:rPr>
          <w:rFonts w:ascii="微软雅黑" w:eastAsia="微软雅黑" w:hAnsi="微软雅黑" w:hint="eastAsia"/>
          <w:szCs w:val="21"/>
        </w:rPr>
        <w:t>整体来看，2017年</w:t>
      </w:r>
      <w:r w:rsidR="00FE125A" w:rsidRPr="00F66D54">
        <w:rPr>
          <w:rFonts w:ascii="微软雅黑" w:eastAsia="微软雅黑" w:hAnsi="微软雅黑" w:hint="eastAsia"/>
          <w:szCs w:val="21"/>
        </w:rPr>
        <w:t>接入地信息在陕西</w:t>
      </w:r>
      <w:r w:rsidR="00FE125A">
        <w:rPr>
          <w:rFonts w:ascii="微软雅黑" w:eastAsia="微软雅黑" w:hAnsi="微软雅黑" w:hint="eastAsia"/>
          <w:szCs w:val="21"/>
        </w:rPr>
        <w:t>省内的网站占比较2016年提升了0.3个百分点。</w:t>
      </w:r>
      <w:r w:rsidR="00CB244E">
        <w:rPr>
          <w:rFonts w:ascii="微软雅黑" w:eastAsia="微软雅黑" w:hAnsi="微软雅黑" w:hint="eastAsia"/>
          <w:szCs w:val="21"/>
        </w:rPr>
        <w:t>全省</w:t>
      </w:r>
      <w:r w:rsidR="003B42A4" w:rsidRPr="00F66D54">
        <w:rPr>
          <w:rFonts w:ascii="微软雅黑" w:eastAsia="微软雅黑" w:hAnsi="微软雅黑" w:hint="eastAsia"/>
          <w:szCs w:val="21"/>
        </w:rPr>
        <w:t>另有无接入信息空壳网站7个。</w:t>
      </w:r>
    </w:p>
    <w:p w:rsidR="004B4265" w:rsidRDefault="004B4265" w:rsidP="00987182">
      <w:pPr>
        <w:jc w:val="center"/>
        <w:rPr>
          <w:rFonts w:ascii="微软雅黑" w:eastAsia="微软雅黑" w:hAnsi="微软雅黑"/>
          <w:i/>
          <w:szCs w:val="21"/>
        </w:rPr>
      </w:pPr>
      <w:r>
        <w:rPr>
          <w:noProof/>
        </w:rPr>
        <w:drawing>
          <wp:inline distT="0" distB="0" distL="0" distR="0">
            <wp:extent cx="4809600" cy="2880000"/>
            <wp:effectExtent l="0" t="0" r="10160" b="15875"/>
            <wp:docPr id="97521" name="图表 97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87182" w:rsidRDefault="00C564F4" w:rsidP="00987182">
      <w:pPr>
        <w:pStyle w:val="ab"/>
      </w:pPr>
      <w:bookmarkStart w:id="356" w:name="_Toc491880441"/>
      <w:bookmarkStart w:id="357" w:name="_Toc524418215"/>
      <w:r>
        <w:rPr>
          <w:rFonts w:hint="eastAsia"/>
        </w:rPr>
        <w:t>图5-</w:t>
      </w:r>
      <w:r w:rsidR="00987182">
        <w:rPr>
          <w:rFonts w:hint="eastAsia"/>
        </w:rPr>
        <w:t>12</w:t>
      </w:r>
      <w:r w:rsidR="00987182">
        <w:t xml:space="preserve">  201</w:t>
      </w:r>
      <w:r w:rsidR="00987182">
        <w:rPr>
          <w:rFonts w:hint="eastAsia"/>
        </w:rPr>
        <w:t>7</w:t>
      </w:r>
      <w:r w:rsidR="00987182">
        <w:t>年</w:t>
      </w:r>
      <w:r w:rsidR="00987182">
        <w:rPr>
          <w:rFonts w:hint="eastAsia"/>
        </w:rPr>
        <w:t>陕西省备案网站接入信息分布情况</w:t>
      </w:r>
      <w:bookmarkEnd w:id="356"/>
      <w:bookmarkEnd w:id="357"/>
    </w:p>
    <w:p w:rsidR="00E15EAE" w:rsidRDefault="003B42A4" w:rsidP="003B42A4">
      <w:pPr>
        <w:spacing w:line="400" w:lineRule="exact"/>
        <w:ind w:firstLine="420"/>
        <w:rPr>
          <w:rFonts w:ascii="微软雅黑" w:eastAsia="微软雅黑" w:hAnsi="微软雅黑"/>
          <w:szCs w:val="21"/>
        </w:rPr>
      </w:pPr>
      <w:r w:rsidRPr="00E15EAE">
        <w:rPr>
          <w:rFonts w:ascii="微软雅黑" w:eastAsia="微软雅黑" w:hAnsi="微软雅黑" w:hint="eastAsia"/>
          <w:szCs w:val="21"/>
        </w:rPr>
        <w:t>从接入网站备案主体分部情况来看，西安市备案网站主体数量最多，达到61802个，</w:t>
      </w:r>
      <w:r w:rsidR="00E15EAE" w:rsidRPr="00E15EAE">
        <w:rPr>
          <w:rFonts w:ascii="微软雅黑" w:eastAsia="微软雅黑" w:hAnsi="微软雅黑" w:hint="eastAsia"/>
          <w:szCs w:val="21"/>
        </w:rPr>
        <w:t>占全省备案网站主体的73.2%；宝鸡和咸阳分别排在第二和第三位，备案网站主体数为4729个和4490个，分别占全省的5.6%和5.3%。</w:t>
      </w:r>
    </w:p>
    <w:p w:rsidR="00E15EAE" w:rsidRDefault="00E15EAE" w:rsidP="00E15EAE">
      <w:pPr>
        <w:jc w:val="center"/>
        <w:rPr>
          <w:rFonts w:ascii="微软雅黑" w:eastAsia="微软雅黑" w:hAnsi="微软雅黑"/>
          <w:szCs w:val="21"/>
        </w:rPr>
      </w:pPr>
      <w:r>
        <w:rPr>
          <w:noProof/>
        </w:rPr>
        <w:drawing>
          <wp:inline distT="0" distB="0" distL="0" distR="0">
            <wp:extent cx="4809600" cy="2880000"/>
            <wp:effectExtent l="0" t="0" r="10160" b="15875"/>
            <wp:docPr id="97522" name="图表 97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987182" w:rsidRDefault="00C564F4" w:rsidP="00987182">
      <w:pPr>
        <w:pStyle w:val="ab"/>
      </w:pPr>
      <w:bookmarkStart w:id="358" w:name="_Toc491880442"/>
      <w:bookmarkStart w:id="359" w:name="_Toc524418216"/>
      <w:r>
        <w:rPr>
          <w:rFonts w:hint="eastAsia"/>
        </w:rPr>
        <w:t>图5-</w:t>
      </w:r>
      <w:r w:rsidR="00987182">
        <w:rPr>
          <w:rFonts w:hint="eastAsia"/>
        </w:rPr>
        <w:t>13  2017年</w:t>
      </w:r>
      <w:r w:rsidR="00987182">
        <w:t>陕西省备案网站主体数量分布情况</w:t>
      </w:r>
      <w:bookmarkEnd w:id="358"/>
      <w:bookmarkEnd w:id="359"/>
    </w:p>
    <w:p w:rsidR="00987182" w:rsidRDefault="00987182" w:rsidP="00987182">
      <w:pPr>
        <w:spacing w:line="400" w:lineRule="exact"/>
        <w:outlineLvl w:val="3"/>
        <w:rPr>
          <w:rFonts w:ascii="微软雅黑" w:eastAsia="微软雅黑" w:hAnsi="微软雅黑"/>
          <w:b/>
        </w:rPr>
      </w:pPr>
      <w:bookmarkStart w:id="360" w:name="_Toc491880241"/>
      <w:bookmarkStart w:id="361" w:name="_Toc447029479"/>
      <w:bookmarkStart w:id="362" w:name="_Toc524418017"/>
      <w:r>
        <w:rPr>
          <w:rFonts w:ascii="微软雅黑" w:eastAsia="微软雅黑" w:hAnsi="微软雅黑" w:hint="eastAsia"/>
          <w:b/>
        </w:rPr>
        <w:t>2.基础电信运营商接入网站情况</w:t>
      </w:r>
      <w:bookmarkEnd w:id="360"/>
      <w:bookmarkEnd w:id="361"/>
      <w:bookmarkEnd w:id="362"/>
    </w:p>
    <w:p w:rsidR="000F1EE7" w:rsidRDefault="000F1EE7" w:rsidP="00992549">
      <w:pPr>
        <w:spacing w:line="400" w:lineRule="exact"/>
        <w:ind w:firstLine="420"/>
        <w:rPr>
          <w:rFonts w:ascii="微软雅黑" w:eastAsia="微软雅黑" w:hAnsi="微软雅黑" w:cs="宋体"/>
          <w:bCs/>
          <w:szCs w:val="21"/>
        </w:rPr>
      </w:pPr>
      <w:r w:rsidRPr="00530B78">
        <w:rPr>
          <w:rFonts w:ascii="微软雅黑" w:eastAsia="微软雅黑" w:hAnsi="微软雅黑" w:hint="eastAsia"/>
          <w:szCs w:val="21"/>
        </w:rPr>
        <w:t>2017年，陕西电信、陕西移动、陕西联通三大基础运营商接入网站共计3121个，</w:t>
      </w:r>
      <w:r w:rsidR="006F1E64" w:rsidRPr="00530B78">
        <w:rPr>
          <w:rFonts w:ascii="微软雅黑" w:eastAsia="微软雅黑" w:hAnsi="微软雅黑" w:hint="eastAsia"/>
          <w:szCs w:val="21"/>
        </w:rPr>
        <w:t>接入网站的</w:t>
      </w:r>
      <w:r w:rsidRPr="00530B78">
        <w:rPr>
          <w:rFonts w:ascii="微软雅黑" w:eastAsia="微软雅黑" w:hAnsi="微软雅黑" w:hint="eastAsia"/>
          <w:szCs w:val="21"/>
        </w:rPr>
        <w:t>备案率</w:t>
      </w:r>
      <w:r w:rsidR="006F1E64" w:rsidRPr="00530B78">
        <w:rPr>
          <w:rFonts w:ascii="微软雅黑" w:eastAsia="微软雅黑" w:hAnsi="微软雅黑" w:hint="eastAsia"/>
          <w:szCs w:val="21"/>
        </w:rPr>
        <w:t>达到</w:t>
      </w:r>
      <w:r w:rsidRPr="00530B78">
        <w:rPr>
          <w:rFonts w:ascii="微软雅黑" w:eastAsia="微软雅黑" w:hAnsi="微软雅黑" w:hint="eastAsia"/>
          <w:szCs w:val="21"/>
        </w:rPr>
        <w:t>100%。其中，陕西电信接入网站总数为2455个，陕西联通为450个，陕西移动为216个</w:t>
      </w:r>
      <w:r w:rsidR="00BE06AC">
        <w:rPr>
          <w:rFonts w:ascii="微软雅黑" w:eastAsia="微软雅黑" w:hAnsi="微软雅黑" w:hint="eastAsia"/>
          <w:szCs w:val="21"/>
        </w:rPr>
        <w:t>，分别占基础运营商接入总量的78.7%、14.4%和6.9%。但从陕西</w:t>
      </w:r>
      <w:r w:rsidR="00BE06AC" w:rsidRPr="00530B78">
        <w:rPr>
          <w:rFonts w:ascii="微软雅黑" w:eastAsia="微软雅黑" w:hAnsi="微软雅黑" w:hint="eastAsia"/>
          <w:szCs w:val="21"/>
        </w:rPr>
        <w:t>全省</w:t>
      </w:r>
      <w:r w:rsidR="00BE06AC">
        <w:rPr>
          <w:rFonts w:ascii="微软雅黑" w:eastAsia="微软雅黑" w:hAnsi="微软雅黑" w:hint="eastAsia"/>
          <w:szCs w:val="21"/>
        </w:rPr>
        <w:t>的</w:t>
      </w:r>
      <w:r w:rsidR="00BE06AC" w:rsidRPr="00530B78">
        <w:rPr>
          <w:rFonts w:ascii="微软雅黑" w:eastAsia="微软雅黑" w:hAnsi="微软雅黑" w:hint="eastAsia"/>
          <w:szCs w:val="21"/>
        </w:rPr>
        <w:t>本地</w:t>
      </w:r>
      <w:r w:rsidR="00BE06AC">
        <w:rPr>
          <w:rFonts w:ascii="微软雅黑" w:eastAsia="微软雅黑" w:hAnsi="微软雅黑" w:hint="eastAsia"/>
          <w:szCs w:val="21"/>
        </w:rPr>
        <w:t>接入网站情况来看，三大基础电信运营商的接入比例较低，陕西电信、陕西移动和</w:t>
      </w:r>
      <w:r w:rsidR="00BE06AC" w:rsidRPr="00530B78">
        <w:rPr>
          <w:rFonts w:ascii="微软雅黑" w:eastAsia="微软雅黑" w:hAnsi="微软雅黑" w:hint="eastAsia"/>
          <w:szCs w:val="21"/>
        </w:rPr>
        <w:t>陕西联通</w:t>
      </w:r>
      <w:r w:rsidR="00BE06AC">
        <w:rPr>
          <w:rFonts w:ascii="微软雅黑" w:eastAsia="微软雅黑" w:hAnsi="微软雅黑" w:hint="eastAsia"/>
          <w:szCs w:val="21"/>
        </w:rPr>
        <w:t>接入量仅占</w:t>
      </w:r>
      <w:r w:rsidR="00530B78" w:rsidRPr="00530B78">
        <w:rPr>
          <w:rFonts w:ascii="微软雅黑" w:eastAsia="微软雅黑" w:hAnsi="微软雅黑" w:hint="eastAsia"/>
          <w:szCs w:val="21"/>
        </w:rPr>
        <w:t>全省本地</w:t>
      </w:r>
      <w:r w:rsidRPr="00530B78">
        <w:rPr>
          <w:rFonts w:ascii="微软雅黑" w:eastAsia="微软雅黑" w:hAnsi="微软雅黑" w:hint="eastAsia"/>
          <w:szCs w:val="21"/>
        </w:rPr>
        <w:t>接入</w:t>
      </w:r>
      <w:r w:rsidR="00BE06AC">
        <w:rPr>
          <w:rFonts w:ascii="微软雅黑" w:eastAsia="微软雅黑" w:hAnsi="微软雅黑" w:hint="eastAsia"/>
          <w:szCs w:val="21"/>
        </w:rPr>
        <w:t>量</w:t>
      </w:r>
      <w:r w:rsidRPr="00530B78">
        <w:rPr>
          <w:rFonts w:ascii="微软雅黑" w:eastAsia="微软雅黑" w:hAnsi="微软雅黑" w:hint="eastAsia"/>
          <w:szCs w:val="21"/>
        </w:rPr>
        <w:t>的</w:t>
      </w:r>
      <w:r w:rsidR="00530B78" w:rsidRPr="00530B78">
        <w:rPr>
          <w:rFonts w:ascii="微软雅黑" w:eastAsia="微软雅黑" w:hAnsi="微软雅黑" w:hint="eastAsia"/>
          <w:szCs w:val="21"/>
        </w:rPr>
        <w:t>6.6%</w:t>
      </w:r>
      <w:r w:rsidRPr="00530B78">
        <w:rPr>
          <w:rFonts w:ascii="微软雅黑" w:eastAsia="微软雅黑" w:hAnsi="微软雅黑" w:hint="eastAsia"/>
          <w:szCs w:val="21"/>
        </w:rPr>
        <w:t>、</w:t>
      </w:r>
      <w:r w:rsidR="00530B78" w:rsidRPr="00530B78">
        <w:rPr>
          <w:rFonts w:ascii="微软雅黑" w:eastAsia="微软雅黑" w:hAnsi="微软雅黑" w:hint="eastAsia"/>
          <w:szCs w:val="21"/>
        </w:rPr>
        <w:t>1.2</w:t>
      </w:r>
      <w:r w:rsidRPr="00530B78">
        <w:rPr>
          <w:rFonts w:ascii="微软雅黑" w:eastAsia="微软雅黑" w:hAnsi="微软雅黑" w:hint="eastAsia"/>
          <w:szCs w:val="21"/>
        </w:rPr>
        <w:t>%</w:t>
      </w:r>
      <w:r w:rsidR="00530B78" w:rsidRPr="00530B78">
        <w:rPr>
          <w:rFonts w:ascii="微软雅黑" w:eastAsia="微软雅黑" w:hAnsi="微软雅黑" w:hint="eastAsia"/>
          <w:szCs w:val="21"/>
        </w:rPr>
        <w:t>和0.6%</w:t>
      </w:r>
      <w:r w:rsidR="00B91507">
        <w:rPr>
          <w:rFonts w:ascii="微软雅黑" w:eastAsia="微软雅黑" w:hAnsi="微软雅黑" w:hint="eastAsia"/>
          <w:szCs w:val="21"/>
        </w:rPr>
        <w:t>，</w:t>
      </w:r>
      <w:r w:rsidR="00BE06AC">
        <w:rPr>
          <w:rFonts w:ascii="微软雅黑" w:eastAsia="微软雅黑" w:hAnsi="微软雅黑" w:hint="eastAsia"/>
          <w:szCs w:val="21"/>
        </w:rPr>
        <w:t>合计在</w:t>
      </w:r>
      <w:r w:rsidR="00B91507" w:rsidRPr="00530B78">
        <w:rPr>
          <w:rFonts w:ascii="微软雅黑" w:eastAsia="微软雅黑" w:hAnsi="微软雅黑" w:hint="eastAsia"/>
          <w:szCs w:val="21"/>
        </w:rPr>
        <w:t>本地接入网站</w:t>
      </w:r>
      <w:r w:rsidR="00B91507">
        <w:rPr>
          <w:rFonts w:ascii="微软雅黑" w:eastAsia="微软雅黑" w:hAnsi="微软雅黑" w:hint="eastAsia"/>
          <w:szCs w:val="21"/>
        </w:rPr>
        <w:t>的比例</w:t>
      </w:r>
      <w:r w:rsidR="00B71352">
        <w:rPr>
          <w:rFonts w:ascii="微软雅黑" w:eastAsia="微软雅黑" w:hAnsi="微软雅黑" w:hint="eastAsia"/>
          <w:szCs w:val="21"/>
        </w:rPr>
        <w:t>仅8.4</w:t>
      </w:r>
      <w:r w:rsidR="00530B78">
        <w:rPr>
          <w:rFonts w:ascii="微软雅黑" w:eastAsia="微软雅黑" w:hAnsi="微软雅黑" w:hint="eastAsia"/>
          <w:szCs w:val="21"/>
        </w:rPr>
        <w:t>%</w:t>
      </w:r>
      <w:r w:rsidR="00B71352">
        <w:rPr>
          <w:rFonts w:ascii="微软雅黑" w:eastAsia="微软雅黑" w:hAnsi="微软雅黑" w:hint="eastAsia"/>
          <w:szCs w:val="21"/>
        </w:rPr>
        <w:t>，占全省</w:t>
      </w:r>
      <w:r w:rsidR="00E63F1D">
        <w:rPr>
          <w:rFonts w:ascii="微软雅黑" w:eastAsia="微软雅黑" w:hAnsi="微软雅黑" w:hint="eastAsia"/>
          <w:szCs w:val="21"/>
        </w:rPr>
        <w:t>总的</w:t>
      </w:r>
      <w:r w:rsidR="00B71352">
        <w:rPr>
          <w:rFonts w:ascii="微软雅黑" w:eastAsia="微软雅黑" w:hAnsi="微软雅黑" w:hint="eastAsia"/>
          <w:szCs w:val="21"/>
        </w:rPr>
        <w:t>备案网站的比例仅</w:t>
      </w:r>
      <w:r w:rsidR="00E63F1D">
        <w:rPr>
          <w:rFonts w:ascii="微软雅黑" w:eastAsia="微软雅黑" w:hAnsi="微软雅黑" w:hint="eastAsia"/>
          <w:szCs w:val="21"/>
        </w:rPr>
        <w:t>为</w:t>
      </w:r>
      <w:r w:rsidR="00B71352">
        <w:rPr>
          <w:rFonts w:ascii="微软雅黑" w:eastAsia="微软雅黑" w:hAnsi="微软雅黑" w:hint="eastAsia"/>
          <w:szCs w:val="21"/>
        </w:rPr>
        <w:t>3.0%</w:t>
      </w:r>
      <w:r w:rsidR="00604F18">
        <w:rPr>
          <w:rFonts w:ascii="微软雅黑" w:eastAsia="微软雅黑" w:hAnsi="微软雅黑" w:hint="eastAsia"/>
          <w:szCs w:val="21"/>
        </w:rPr>
        <w:t>。</w:t>
      </w:r>
      <w:r w:rsidR="00BE06AC">
        <w:rPr>
          <w:rFonts w:ascii="微软雅黑" w:eastAsia="微软雅黑" w:hAnsi="微软雅黑" w:hint="eastAsia"/>
          <w:szCs w:val="21"/>
        </w:rPr>
        <w:t>基础电信运营商</w:t>
      </w:r>
      <w:r w:rsidR="00992549">
        <w:rPr>
          <w:rFonts w:ascii="微软雅黑" w:eastAsia="微软雅黑" w:hAnsi="微软雅黑" w:hint="eastAsia"/>
          <w:szCs w:val="21"/>
        </w:rPr>
        <w:t>整体接入比例不及增值电信服务商，这与</w:t>
      </w:r>
      <w:r w:rsidR="00BE06AC">
        <w:rPr>
          <w:rFonts w:ascii="微软雅黑" w:eastAsia="微软雅黑" w:hAnsi="微软雅黑" w:hint="eastAsia"/>
          <w:szCs w:val="21"/>
        </w:rPr>
        <w:t>其</w:t>
      </w:r>
      <w:r w:rsidR="00992549">
        <w:rPr>
          <w:rFonts w:ascii="微软雅黑" w:eastAsia="微软雅黑" w:hAnsi="微软雅黑" w:hint="eastAsia"/>
          <w:szCs w:val="21"/>
        </w:rPr>
        <w:t>业务重心</w:t>
      </w:r>
      <w:r w:rsidR="00653B7C">
        <w:rPr>
          <w:rFonts w:ascii="微软雅黑" w:eastAsia="微软雅黑" w:hAnsi="微软雅黑" w:hint="eastAsia"/>
          <w:szCs w:val="21"/>
        </w:rPr>
        <w:t>是</w:t>
      </w:r>
      <w:r w:rsidR="00992549">
        <w:rPr>
          <w:rFonts w:ascii="微软雅黑" w:eastAsia="微软雅黑" w:hAnsi="微软雅黑" w:hint="eastAsia"/>
          <w:szCs w:val="21"/>
        </w:rPr>
        <w:t>存在较大关系</w:t>
      </w:r>
      <w:r w:rsidR="00653B7C">
        <w:rPr>
          <w:rFonts w:ascii="微软雅黑" w:eastAsia="微软雅黑" w:hAnsi="微软雅黑" w:hint="eastAsia"/>
          <w:szCs w:val="21"/>
        </w:rPr>
        <w:t>的</w:t>
      </w:r>
      <w:r w:rsidR="00992549">
        <w:rPr>
          <w:rFonts w:ascii="微软雅黑" w:eastAsia="微软雅黑" w:hAnsi="微软雅黑" w:hint="eastAsia"/>
          <w:szCs w:val="21"/>
        </w:rPr>
        <w:t>。当前，基础电信运营商为</w:t>
      </w:r>
      <w:r w:rsidR="00507B37">
        <w:rPr>
          <w:rFonts w:ascii="微软雅黑" w:eastAsia="微软雅黑" w:hAnsi="微软雅黑" w:hint="eastAsia"/>
          <w:szCs w:val="21"/>
        </w:rPr>
        <w:t>巩固行业地位</w:t>
      </w:r>
      <w:r w:rsidR="00992549">
        <w:rPr>
          <w:rFonts w:ascii="微软雅黑" w:eastAsia="微软雅黑" w:hAnsi="微软雅黑" w:hint="eastAsia"/>
          <w:szCs w:val="21"/>
        </w:rPr>
        <w:t>，</w:t>
      </w:r>
      <w:r w:rsidR="00653B7C">
        <w:rPr>
          <w:rFonts w:ascii="微软雅黑" w:eastAsia="微软雅黑" w:hAnsi="微软雅黑" w:hint="eastAsia"/>
          <w:szCs w:val="21"/>
        </w:rPr>
        <w:t>将更多精力用于布局</w:t>
      </w:r>
      <w:r w:rsidR="00992549">
        <w:rPr>
          <w:rFonts w:ascii="微软雅黑" w:eastAsia="微软雅黑" w:hAnsi="微软雅黑" w:hint="eastAsia"/>
          <w:szCs w:val="21"/>
        </w:rPr>
        <w:t>语音、数据流量和宽带用户的拓展上，而对网站接入服务等增值业务</w:t>
      </w:r>
      <w:r w:rsidR="00653B7C">
        <w:rPr>
          <w:rFonts w:ascii="微软雅黑" w:eastAsia="微软雅黑" w:hAnsi="微软雅黑" w:hint="eastAsia"/>
          <w:szCs w:val="21"/>
        </w:rPr>
        <w:t>的</w:t>
      </w:r>
      <w:r w:rsidR="00507B37">
        <w:rPr>
          <w:rFonts w:ascii="微软雅黑" w:eastAsia="微软雅黑" w:hAnsi="微软雅黑" w:hint="eastAsia"/>
          <w:szCs w:val="21"/>
        </w:rPr>
        <w:t>重视程度</w:t>
      </w:r>
      <w:r w:rsidR="00653B7C">
        <w:rPr>
          <w:rFonts w:ascii="微软雅黑" w:eastAsia="微软雅黑" w:hAnsi="微软雅黑" w:hint="eastAsia"/>
          <w:szCs w:val="21"/>
        </w:rPr>
        <w:t>相对</w:t>
      </w:r>
      <w:r w:rsidR="006A0987">
        <w:rPr>
          <w:rFonts w:ascii="微软雅黑" w:eastAsia="微软雅黑" w:hAnsi="微软雅黑" w:hint="eastAsia"/>
          <w:szCs w:val="21"/>
        </w:rPr>
        <w:t>一般</w:t>
      </w:r>
      <w:r w:rsidR="00992549">
        <w:rPr>
          <w:rFonts w:ascii="微软雅黑" w:eastAsia="微软雅黑" w:hAnsi="微软雅黑" w:hint="eastAsia"/>
          <w:szCs w:val="21"/>
        </w:rPr>
        <w:t>。</w:t>
      </w:r>
      <w:bookmarkStart w:id="363" w:name="_GoBack"/>
      <w:bookmarkEnd w:id="363"/>
    </w:p>
    <w:p w:rsidR="00145972" w:rsidRDefault="00530B78" w:rsidP="00987182">
      <w:pPr>
        <w:jc w:val="center"/>
        <w:rPr>
          <w:rFonts w:ascii="微软雅黑" w:eastAsia="微软雅黑" w:hAnsi="微软雅黑" w:cs="宋体"/>
          <w:bCs/>
          <w:szCs w:val="21"/>
        </w:rPr>
      </w:pPr>
      <w:r>
        <w:rPr>
          <w:noProof/>
        </w:rPr>
        <w:drawing>
          <wp:inline distT="0" distB="0" distL="0" distR="0">
            <wp:extent cx="4800601" cy="2880000"/>
            <wp:effectExtent l="0" t="0" r="19050" b="15875"/>
            <wp:docPr id="97524" name="图表 97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987182" w:rsidRDefault="00C564F4" w:rsidP="00987182">
      <w:pPr>
        <w:pStyle w:val="ab"/>
      </w:pPr>
      <w:bookmarkStart w:id="364" w:name="_Toc491880443"/>
      <w:bookmarkStart w:id="365" w:name="_Toc524418217"/>
      <w:r>
        <w:rPr>
          <w:rFonts w:hint="eastAsia"/>
        </w:rPr>
        <w:t>图5-</w:t>
      </w:r>
      <w:r w:rsidR="00987182">
        <w:rPr>
          <w:rFonts w:hint="eastAsia"/>
        </w:rPr>
        <w:t>14  2017年陕西省基础运营商接入网站</w:t>
      </w:r>
      <w:bookmarkEnd w:id="364"/>
      <w:r w:rsidR="00346A99">
        <w:rPr>
          <w:rFonts w:hint="eastAsia"/>
        </w:rPr>
        <w:t>比较</w:t>
      </w:r>
      <w:bookmarkEnd w:id="365"/>
    </w:p>
    <w:p w:rsidR="00987182" w:rsidRDefault="00987182" w:rsidP="00987182">
      <w:pPr>
        <w:spacing w:line="400" w:lineRule="exact"/>
        <w:outlineLvl w:val="3"/>
        <w:rPr>
          <w:rFonts w:ascii="微软雅黑" w:eastAsia="微软雅黑" w:hAnsi="微软雅黑"/>
          <w:b/>
        </w:rPr>
      </w:pPr>
      <w:bookmarkStart w:id="366" w:name="_Toc491880242"/>
      <w:bookmarkStart w:id="367" w:name="_Toc524418018"/>
      <w:r>
        <w:rPr>
          <w:rFonts w:ascii="微软雅黑" w:eastAsia="微软雅黑" w:hAnsi="微软雅黑" w:hint="eastAsia"/>
          <w:b/>
        </w:rPr>
        <w:t>3.增值电信企业接入网站情况</w:t>
      </w:r>
      <w:bookmarkEnd w:id="366"/>
      <w:bookmarkEnd w:id="367"/>
    </w:p>
    <w:p w:rsidR="00D466F6" w:rsidRDefault="00D466F6" w:rsidP="00D466F6">
      <w:pPr>
        <w:spacing w:line="400" w:lineRule="exact"/>
        <w:ind w:firstLineChars="200" w:firstLine="420"/>
        <w:rPr>
          <w:rFonts w:ascii="微软雅黑" w:eastAsia="微软雅黑" w:hAnsi="微软雅黑"/>
          <w:szCs w:val="21"/>
        </w:rPr>
      </w:pPr>
      <w:r w:rsidRPr="00AC0CD6">
        <w:rPr>
          <w:rFonts w:ascii="微软雅黑" w:eastAsia="微软雅黑" w:hAnsi="微软雅黑"/>
          <w:szCs w:val="21"/>
        </w:rPr>
        <w:t>2017年，陕西省共有394家企业从事增值电信业务。从开展的具体业务类型来看，主要涉及互联网数据中心业务、互联网接入服务业务、在线数据处理与交易业务、国内多方通信服务业务、呼叫中心业务和信息服务业务等。其中从事信息服务业务的企业数量最多，达到333家，占从事增值电信业务企业的</w:t>
      </w:r>
      <w:r>
        <w:rPr>
          <w:rFonts w:ascii="微软雅黑" w:eastAsia="微软雅黑" w:hAnsi="微软雅黑" w:hint="eastAsia"/>
          <w:szCs w:val="21"/>
        </w:rPr>
        <w:t>84.5</w:t>
      </w:r>
      <w:r w:rsidRPr="00AC0CD6">
        <w:rPr>
          <w:rFonts w:ascii="微软雅黑" w:eastAsia="微软雅黑" w:hAnsi="微软雅黑"/>
          <w:szCs w:val="21"/>
        </w:rPr>
        <w:t>%。</w:t>
      </w:r>
    </w:p>
    <w:p w:rsidR="00D466F6" w:rsidRPr="00AC0CD6" w:rsidRDefault="00D466F6" w:rsidP="00D466F6">
      <w:pPr>
        <w:jc w:val="center"/>
        <w:rPr>
          <w:rFonts w:ascii="微软雅黑" w:eastAsia="微软雅黑" w:hAnsi="微软雅黑"/>
          <w:szCs w:val="21"/>
        </w:rPr>
      </w:pPr>
      <w:r>
        <w:rPr>
          <w:noProof/>
        </w:rPr>
        <w:drawing>
          <wp:inline distT="0" distB="0" distL="0" distR="0">
            <wp:extent cx="4791075" cy="2880000"/>
            <wp:effectExtent l="0" t="0" r="9525" b="15875"/>
            <wp:docPr id="109"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D466F6" w:rsidRDefault="00D466F6" w:rsidP="00D466F6">
      <w:pPr>
        <w:pStyle w:val="ab"/>
      </w:pPr>
      <w:bookmarkStart w:id="368" w:name="_Toc524418218"/>
      <w:r>
        <w:rPr>
          <w:rFonts w:hint="eastAsia"/>
        </w:rPr>
        <w:t>图5-15  2017年陕西省增值电信企业业务开展情况</w:t>
      </w:r>
      <w:bookmarkEnd w:id="368"/>
    </w:p>
    <w:p w:rsidR="00DE4F68" w:rsidRDefault="00021508" w:rsidP="00C16CE4">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2017年，陕西省共有37家企业从事</w:t>
      </w:r>
      <w:r w:rsidRPr="00AC0CD6">
        <w:rPr>
          <w:rFonts w:ascii="微软雅黑" w:eastAsia="微软雅黑" w:hAnsi="微软雅黑" w:hint="eastAsia"/>
          <w:szCs w:val="21"/>
        </w:rPr>
        <w:t>互联网接入服务业务</w:t>
      </w:r>
      <w:r w:rsidR="00705D01">
        <w:rPr>
          <w:rFonts w:ascii="微软雅黑" w:eastAsia="微软雅黑" w:hAnsi="微软雅黑" w:hint="eastAsia"/>
          <w:szCs w:val="21"/>
        </w:rPr>
        <w:t>。整体来看，互联网接入业务头部效应显著，</w:t>
      </w:r>
      <w:r w:rsidR="000F1EE7" w:rsidRPr="00AC0CD6">
        <w:rPr>
          <w:rFonts w:ascii="微软雅黑" w:eastAsia="微软雅黑" w:hAnsi="微软雅黑"/>
          <w:szCs w:val="21"/>
        </w:rPr>
        <w:t>前十位增值电信企业共接入网站14580个，占陕西省本地</w:t>
      </w:r>
      <w:r w:rsidR="00DE4F68">
        <w:rPr>
          <w:rFonts w:ascii="微软雅黑" w:eastAsia="微软雅黑" w:hAnsi="微软雅黑"/>
          <w:szCs w:val="21"/>
        </w:rPr>
        <w:t>增值电信服务商</w:t>
      </w:r>
      <w:r w:rsidR="000F1EE7" w:rsidRPr="00AC0CD6">
        <w:rPr>
          <w:rFonts w:ascii="微软雅黑" w:eastAsia="微软雅黑" w:hAnsi="微软雅黑"/>
          <w:szCs w:val="21"/>
        </w:rPr>
        <w:t>接入网站的96.2%</w:t>
      </w:r>
      <w:r w:rsidR="00E63F1D">
        <w:rPr>
          <w:rFonts w:ascii="微软雅黑" w:eastAsia="微软雅黑" w:hAnsi="微软雅黑" w:hint="eastAsia"/>
          <w:szCs w:val="21"/>
        </w:rPr>
        <w:t>。</w:t>
      </w:r>
      <w:r w:rsidR="000F1EE7" w:rsidRPr="00AC0CD6">
        <w:rPr>
          <w:rFonts w:ascii="微软雅黑" w:eastAsia="微软雅黑" w:hAnsi="微软雅黑"/>
          <w:szCs w:val="21"/>
        </w:rPr>
        <w:t>其中</w:t>
      </w:r>
      <w:r w:rsidR="00DE4F68">
        <w:rPr>
          <w:rFonts w:ascii="微软雅黑" w:eastAsia="微软雅黑" w:hAnsi="微软雅黑" w:hint="eastAsia"/>
          <w:szCs w:val="21"/>
        </w:rPr>
        <w:t>，</w:t>
      </w:r>
      <w:r w:rsidR="000F1EE7" w:rsidRPr="00AC0CD6">
        <w:rPr>
          <w:rFonts w:ascii="微软雅黑" w:eastAsia="微软雅黑" w:hAnsi="微软雅黑"/>
          <w:szCs w:val="21"/>
        </w:rPr>
        <w:t>西安天互通信有限公司、陕西正龙科技发展有限公司是增值电信企业中接入网站较多的两大服务商</w:t>
      </w:r>
      <w:r w:rsidR="007E60A8">
        <w:rPr>
          <w:rFonts w:ascii="微软雅黑" w:eastAsia="微软雅黑" w:hAnsi="微软雅黑" w:hint="eastAsia"/>
          <w:szCs w:val="21"/>
        </w:rPr>
        <w:t>。</w:t>
      </w:r>
      <w:r w:rsidR="000F1EE7">
        <w:rPr>
          <w:rFonts w:ascii="微软雅黑" w:eastAsia="微软雅黑" w:hAnsi="微软雅黑"/>
          <w:szCs w:val="21"/>
        </w:rPr>
        <w:t>截至</w:t>
      </w:r>
      <w:r w:rsidR="000F1EE7" w:rsidRPr="00AC0CD6">
        <w:rPr>
          <w:rFonts w:ascii="微软雅黑" w:eastAsia="微软雅黑" w:hAnsi="微软雅黑"/>
          <w:szCs w:val="21"/>
        </w:rPr>
        <w:t>2017年底</w:t>
      </w:r>
      <w:r w:rsidR="00DE4F68">
        <w:rPr>
          <w:rFonts w:ascii="微软雅黑" w:eastAsia="微软雅黑" w:hAnsi="微软雅黑" w:hint="eastAsia"/>
          <w:szCs w:val="21"/>
        </w:rPr>
        <w:t>，</w:t>
      </w:r>
      <w:r w:rsidR="00DE4F68">
        <w:rPr>
          <w:rFonts w:ascii="微软雅黑" w:eastAsia="微软雅黑" w:hAnsi="微软雅黑"/>
          <w:szCs w:val="21"/>
        </w:rPr>
        <w:t>两家企业</w:t>
      </w:r>
      <w:r w:rsidR="000F1EE7" w:rsidRPr="00AC0CD6">
        <w:rPr>
          <w:rFonts w:ascii="微软雅黑" w:eastAsia="微软雅黑" w:hAnsi="微软雅黑"/>
          <w:szCs w:val="21"/>
        </w:rPr>
        <w:t>接入的备案网站分别达7544个和5298个，</w:t>
      </w:r>
      <w:r w:rsidR="00C16CE4">
        <w:rPr>
          <w:rFonts w:ascii="微软雅黑" w:eastAsia="微软雅黑" w:hAnsi="微软雅黑"/>
          <w:szCs w:val="21"/>
        </w:rPr>
        <w:t>分别占本地</w:t>
      </w:r>
      <w:r w:rsidR="00C16CE4" w:rsidRPr="00C16CE4">
        <w:rPr>
          <w:rFonts w:ascii="微软雅黑" w:eastAsia="微软雅黑" w:hAnsi="微软雅黑" w:hint="eastAsia"/>
          <w:szCs w:val="21"/>
        </w:rPr>
        <w:t>接入网站的比重为20.</w:t>
      </w:r>
      <w:r w:rsidR="00C16CE4">
        <w:rPr>
          <w:rFonts w:ascii="微软雅黑" w:eastAsia="微软雅黑" w:hAnsi="微软雅黑" w:hint="eastAsia"/>
          <w:szCs w:val="21"/>
        </w:rPr>
        <w:t>3</w:t>
      </w:r>
      <w:r w:rsidR="00C16CE4" w:rsidRPr="00C16CE4">
        <w:rPr>
          <w:rFonts w:ascii="微软雅黑" w:eastAsia="微软雅黑" w:hAnsi="微软雅黑" w:hint="eastAsia"/>
          <w:szCs w:val="21"/>
        </w:rPr>
        <w:t>%和14.</w:t>
      </w:r>
      <w:r w:rsidR="00C16CE4">
        <w:rPr>
          <w:rFonts w:ascii="微软雅黑" w:eastAsia="微软雅黑" w:hAnsi="微软雅黑" w:hint="eastAsia"/>
          <w:szCs w:val="21"/>
        </w:rPr>
        <w:t>2</w:t>
      </w:r>
      <w:r w:rsidR="00C16CE4" w:rsidRPr="00C16CE4">
        <w:rPr>
          <w:rFonts w:ascii="微软雅黑" w:eastAsia="微软雅黑" w:hAnsi="微软雅黑" w:hint="eastAsia"/>
          <w:szCs w:val="21"/>
        </w:rPr>
        <w:t>%</w:t>
      </w:r>
      <w:r w:rsidR="00C16CE4">
        <w:rPr>
          <w:rFonts w:ascii="微软雅黑" w:eastAsia="微软雅黑" w:hAnsi="微软雅黑" w:hint="eastAsia"/>
          <w:szCs w:val="21"/>
        </w:rPr>
        <w:t>。</w:t>
      </w:r>
    </w:p>
    <w:p w:rsidR="00C16CE4" w:rsidRDefault="00C16CE4" w:rsidP="00987182">
      <w:pPr>
        <w:snapToGrid w:val="0"/>
        <w:jc w:val="center"/>
        <w:rPr>
          <w:rFonts w:ascii="微软雅黑" w:eastAsia="微软雅黑" w:hAnsi="微软雅黑"/>
          <w:szCs w:val="21"/>
        </w:rPr>
      </w:pPr>
      <w:r>
        <w:rPr>
          <w:noProof/>
        </w:rPr>
        <w:drawing>
          <wp:inline distT="0" distB="0" distL="0" distR="0">
            <wp:extent cx="4809600" cy="2880000"/>
            <wp:effectExtent l="19050" t="0" r="10050" b="0"/>
            <wp:docPr id="97532" name="图表 97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10A7E" w:rsidRDefault="00C564F4" w:rsidP="00CA2950">
      <w:pPr>
        <w:pStyle w:val="ab"/>
      </w:pPr>
      <w:bookmarkStart w:id="369" w:name="_Toc491880444"/>
      <w:bookmarkStart w:id="370" w:name="_Toc524418219"/>
      <w:r>
        <w:rPr>
          <w:rFonts w:hint="eastAsia"/>
        </w:rPr>
        <w:t>图5-</w:t>
      </w:r>
      <w:r w:rsidR="00987182">
        <w:rPr>
          <w:rFonts w:hint="eastAsia"/>
        </w:rPr>
        <w:t>1</w:t>
      </w:r>
      <w:r w:rsidR="00017CB4">
        <w:rPr>
          <w:rFonts w:hint="eastAsia"/>
        </w:rPr>
        <w:t>6</w:t>
      </w:r>
      <w:r w:rsidR="00987182">
        <w:rPr>
          <w:rFonts w:hint="eastAsia"/>
        </w:rPr>
        <w:t xml:space="preserve">  2017年陕西省</w:t>
      </w:r>
      <w:r w:rsidR="0069648E">
        <w:rPr>
          <w:rFonts w:hint="eastAsia"/>
        </w:rPr>
        <w:t>主要</w:t>
      </w:r>
      <w:r w:rsidR="00987182">
        <w:rPr>
          <w:rFonts w:hint="eastAsia"/>
        </w:rPr>
        <w:t>增值电信企业接入网站情况</w:t>
      </w:r>
      <w:bookmarkEnd w:id="369"/>
      <w:bookmarkEnd w:id="370"/>
    </w:p>
    <w:p w:rsidR="00D51FD4" w:rsidRDefault="00D51FD4" w:rsidP="00AC0CD6">
      <w:pPr>
        <w:spacing w:line="400" w:lineRule="exact"/>
        <w:rPr>
          <w:rFonts w:ascii="微软雅黑" w:eastAsia="微软雅黑" w:hAnsi="微软雅黑"/>
          <w:b/>
          <w:szCs w:val="21"/>
        </w:rPr>
      </w:pPr>
    </w:p>
    <w:p w:rsidR="005D6979" w:rsidRDefault="005D6979" w:rsidP="005D6979">
      <w:pPr>
        <w:spacing w:line="400" w:lineRule="exact"/>
        <w:outlineLvl w:val="1"/>
        <w:rPr>
          <w:rFonts w:ascii="微软雅黑" w:eastAsia="微软雅黑" w:hAnsi="微软雅黑"/>
          <w:b/>
          <w:szCs w:val="21"/>
        </w:rPr>
      </w:pPr>
      <w:r>
        <w:rPr>
          <w:rFonts w:ascii="微软雅黑" w:eastAsia="微软雅黑" w:hAnsi="微软雅黑"/>
          <w:b/>
          <w:szCs w:val="21"/>
        </w:rPr>
        <w:br w:type="page"/>
      </w:r>
    </w:p>
    <w:p w:rsidR="005D6979" w:rsidRDefault="00C564F4" w:rsidP="005D6979">
      <w:pPr>
        <w:spacing w:line="400" w:lineRule="exact"/>
        <w:outlineLvl w:val="1"/>
        <w:rPr>
          <w:rFonts w:ascii="微软雅黑" w:eastAsia="微软雅黑" w:hAnsi="微软雅黑"/>
          <w:b/>
          <w:szCs w:val="21"/>
        </w:rPr>
      </w:pPr>
      <w:bookmarkStart w:id="371" w:name="_Toc524418019"/>
      <w:r>
        <w:rPr>
          <w:rFonts w:ascii="微软雅黑" w:eastAsia="微软雅黑" w:hAnsi="微软雅黑" w:hint="eastAsia"/>
          <w:b/>
          <w:szCs w:val="21"/>
        </w:rPr>
        <w:t>六</w:t>
      </w:r>
      <w:r w:rsidR="005D6979">
        <w:rPr>
          <w:rFonts w:ascii="微软雅黑" w:eastAsia="微软雅黑" w:hAnsi="微软雅黑" w:hint="eastAsia"/>
          <w:b/>
          <w:szCs w:val="21"/>
        </w:rPr>
        <w:t>、</w:t>
      </w:r>
      <w:r w:rsidR="005D6979">
        <w:rPr>
          <w:rFonts w:ascii="微软雅黑" w:eastAsia="微软雅黑" w:hAnsi="微软雅黑" w:hint="eastAsia"/>
          <w:b/>
        </w:rPr>
        <w:t>陕西省</w:t>
      </w:r>
      <w:r w:rsidR="005D6979">
        <w:rPr>
          <w:rFonts w:ascii="微软雅黑" w:eastAsia="微软雅黑" w:hAnsi="微软雅黑"/>
          <w:b/>
        </w:rPr>
        <w:t>网络安全</w:t>
      </w:r>
      <w:r w:rsidR="005D6979">
        <w:rPr>
          <w:rFonts w:ascii="微软雅黑" w:eastAsia="微软雅黑" w:hAnsi="微软雅黑" w:hint="eastAsia"/>
          <w:b/>
        </w:rPr>
        <w:t>概</w:t>
      </w:r>
      <w:r w:rsidR="005D6979">
        <w:rPr>
          <w:rFonts w:ascii="微软雅黑" w:eastAsia="微软雅黑" w:hAnsi="微软雅黑"/>
          <w:b/>
        </w:rPr>
        <w:t>况</w:t>
      </w:r>
      <w:bookmarkEnd w:id="354"/>
      <w:bookmarkEnd w:id="371"/>
    </w:p>
    <w:p w:rsidR="005D6979" w:rsidRDefault="005D6979" w:rsidP="005D6979">
      <w:pPr>
        <w:spacing w:line="400" w:lineRule="exact"/>
        <w:outlineLvl w:val="2"/>
        <w:rPr>
          <w:rFonts w:ascii="微软雅黑" w:eastAsia="微软雅黑" w:hAnsi="微软雅黑"/>
          <w:b/>
        </w:rPr>
      </w:pPr>
      <w:bookmarkStart w:id="372" w:name="_Toc491880245"/>
      <w:bookmarkStart w:id="373" w:name="_Toc524418020"/>
      <w:r>
        <w:rPr>
          <w:rFonts w:ascii="微软雅黑" w:eastAsia="微软雅黑" w:hAnsi="微软雅黑" w:hint="eastAsia"/>
          <w:b/>
        </w:rPr>
        <w:t>（一）陕西省网络安全态势</w:t>
      </w:r>
      <w:bookmarkEnd w:id="372"/>
      <w:bookmarkEnd w:id="373"/>
    </w:p>
    <w:p w:rsidR="00112F2E" w:rsidRDefault="007F4654" w:rsidP="002D52A8">
      <w:pPr>
        <w:spacing w:line="400" w:lineRule="exact"/>
        <w:ind w:firstLineChars="200" w:firstLine="420"/>
        <w:rPr>
          <w:rFonts w:ascii="微软雅黑" w:eastAsia="微软雅黑" w:hAnsi="微软雅黑"/>
          <w:szCs w:val="21"/>
        </w:rPr>
      </w:pPr>
      <w:r w:rsidRPr="007F4654">
        <w:rPr>
          <w:rFonts w:ascii="微软雅黑" w:eastAsia="微软雅黑" w:hAnsi="微软雅黑"/>
          <w:szCs w:val="21"/>
        </w:rPr>
        <w:t>近年来，随着我国网络安全法律法规、管理制度的不断完善，我国在网络安全技术实力、人才队伍、国际合作等方面取得了明显的成效，网络安全产业发展迅速，网络安全防护能力得以提升。</w:t>
      </w:r>
    </w:p>
    <w:p w:rsidR="00465EDB" w:rsidRDefault="007F4654" w:rsidP="002D52A8">
      <w:pPr>
        <w:spacing w:line="400" w:lineRule="exact"/>
        <w:ind w:firstLineChars="200" w:firstLine="420"/>
        <w:rPr>
          <w:rFonts w:ascii="微软雅黑" w:eastAsia="微软雅黑" w:hAnsi="微软雅黑"/>
          <w:szCs w:val="21"/>
        </w:rPr>
      </w:pPr>
      <w:r w:rsidRPr="007F4654">
        <w:rPr>
          <w:rFonts w:ascii="微软雅黑" w:eastAsia="微软雅黑" w:hAnsi="微软雅黑" w:hint="eastAsia"/>
          <w:szCs w:val="21"/>
        </w:rPr>
        <w:t>2017年，陕西省</w:t>
      </w:r>
      <w:r w:rsidRPr="007F4654">
        <w:rPr>
          <w:rFonts w:ascii="微软雅黑" w:eastAsia="微软雅黑" w:hAnsi="微软雅黑"/>
          <w:szCs w:val="21"/>
        </w:rPr>
        <w:t>互联网基础设施运行平稳</w:t>
      </w:r>
      <w:r w:rsidRPr="007F4654">
        <w:rPr>
          <w:rFonts w:ascii="微软雅黑" w:eastAsia="微软雅黑" w:hAnsi="微软雅黑" w:hint="eastAsia"/>
          <w:szCs w:val="21"/>
        </w:rPr>
        <w:t>，</w:t>
      </w:r>
      <w:r>
        <w:rPr>
          <w:rFonts w:ascii="微软雅黑" w:eastAsia="微软雅黑" w:hAnsi="微软雅黑" w:hint="eastAsia"/>
          <w:szCs w:val="21"/>
        </w:rPr>
        <w:t>全省范围内未发生造成重大影响的基础设施运行安全事件</w:t>
      </w:r>
      <w:r w:rsidR="00E24733">
        <w:rPr>
          <w:rFonts w:ascii="微软雅黑" w:eastAsia="微软雅黑" w:hAnsi="微软雅黑" w:hint="eastAsia"/>
          <w:szCs w:val="21"/>
        </w:rPr>
        <w:t>。</w:t>
      </w:r>
      <w:r w:rsidR="00112F2E">
        <w:rPr>
          <w:rFonts w:ascii="微软雅黑" w:eastAsia="微软雅黑" w:hAnsi="微软雅黑" w:hint="eastAsia"/>
          <w:szCs w:val="21"/>
        </w:rPr>
        <w:t>2017年</w:t>
      </w:r>
      <w:r w:rsidR="00465EDB" w:rsidRPr="00465EDB">
        <w:rPr>
          <w:rFonts w:ascii="微软雅黑" w:eastAsia="微软雅黑" w:hAnsi="微软雅黑"/>
          <w:szCs w:val="21"/>
        </w:rPr>
        <w:t>1-12月，</w:t>
      </w:r>
      <w:r w:rsidR="00112F2E">
        <w:rPr>
          <w:rFonts w:ascii="微软雅黑" w:eastAsia="微软雅黑" w:hAnsi="微软雅黑" w:hint="eastAsia"/>
          <w:szCs w:val="21"/>
        </w:rPr>
        <w:t>陕西省互联网</w:t>
      </w:r>
      <w:r w:rsidR="00112F2E">
        <w:rPr>
          <w:rFonts w:ascii="微软雅黑" w:eastAsia="微软雅黑" w:hAnsi="微软雅黑"/>
          <w:szCs w:val="21"/>
        </w:rPr>
        <w:t>应急中心</w:t>
      </w:r>
      <w:r w:rsidR="00465EDB" w:rsidRPr="00465EDB">
        <w:rPr>
          <w:rFonts w:ascii="微软雅黑" w:eastAsia="微软雅黑" w:hAnsi="微软雅黑" w:hint="eastAsia"/>
          <w:szCs w:val="21"/>
        </w:rPr>
        <w:t>共协调处理各类网络安全事件</w:t>
      </w:r>
      <w:r w:rsidR="00465EDB">
        <w:rPr>
          <w:rFonts w:ascii="微软雅黑" w:eastAsia="微软雅黑" w:hAnsi="微软雅黑"/>
          <w:szCs w:val="21"/>
        </w:rPr>
        <w:t>144</w:t>
      </w:r>
      <w:r w:rsidR="00465EDB" w:rsidRPr="00465EDB">
        <w:rPr>
          <w:rFonts w:ascii="微软雅黑" w:eastAsia="微软雅黑" w:hAnsi="微软雅黑"/>
          <w:szCs w:val="21"/>
        </w:rPr>
        <w:t>109</w:t>
      </w:r>
      <w:r w:rsidR="00465EDB" w:rsidRPr="00465EDB">
        <w:rPr>
          <w:rFonts w:ascii="微软雅黑" w:eastAsia="微软雅黑" w:hAnsi="微软雅黑" w:hint="eastAsia"/>
          <w:szCs w:val="21"/>
        </w:rPr>
        <w:t>起，其中僵尸木马受控事件</w:t>
      </w:r>
      <w:r w:rsidR="00465EDB" w:rsidRPr="00465EDB">
        <w:rPr>
          <w:rFonts w:ascii="微软雅黑" w:eastAsia="微软雅黑" w:hAnsi="微软雅黑"/>
          <w:szCs w:val="21"/>
        </w:rPr>
        <w:t>101406</w:t>
      </w:r>
      <w:r w:rsidR="00465EDB" w:rsidRPr="00465EDB">
        <w:rPr>
          <w:rFonts w:ascii="微软雅黑" w:eastAsia="微软雅黑" w:hAnsi="微软雅黑" w:hint="eastAsia"/>
          <w:szCs w:val="21"/>
        </w:rPr>
        <w:t>起，僵尸木马控制事件</w:t>
      </w:r>
      <w:r w:rsidR="00465EDB">
        <w:rPr>
          <w:rFonts w:ascii="微软雅黑" w:eastAsia="微软雅黑" w:hAnsi="微软雅黑"/>
          <w:szCs w:val="21"/>
        </w:rPr>
        <w:t>1</w:t>
      </w:r>
      <w:r w:rsidR="00465EDB" w:rsidRPr="00465EDB">
        <w:rPr>
          <w:rFonts w:ascii="微软雅黑" w:eastAsia="微软雅黑" w:hAnsi="微软雅黑"/>
          <w:szCs w:val="21"/>
        </w:rPr>
        <w:t>120</w:t>
      </w:r>
      <w:r w:rsidR="00465EDB" w:rsidRPr="00465EDB">
        <w:rPr>
          <w:rFonts w:ascii="微软雅黑" w:eastAsia="微软雅黑" w:hAnsi="微软雅黑" w:hint="eastAsia"/>
          <w:szCs w:val="21"/>
        </w:rPr>
        <w:t>起，飞客蠕虫病毒事件</w:t>
      </w:r>
      <w:r w:rsidR="00465EDB" w:rsidRPr="00465EDB">
        <w:rPr>
          <w:rFonts w:ascii="微软雅黑" w:eastAsia="微软雅黑" w:hAnsi="微软雅黑"/>
          <w:szCs w:val="21"/>
        </w:rPr>
        <w:t>41091</w:t>
      </w:r>
      <w:r w:rsidR="00465EDB" w:rsidRPr="00465EDB">
        <w:rPr>
          <w:rFonts w:ascii="微软雅黑" w:eastAsia="微软雅黑" w:hAnsi="微软雅黑" w:hint="eastAsia"/>
          <w:szCs w:val="21"/>
        </w:rPr>
        <w:t>起，重要信息</w:t>
      </w:r>
      <w:r w:rsidR="00465EDB" w:rsidRPr="00465EDB">
        <w:rPr>
          <w:rFonts w:ascii="微软雅黑" w:eastAsia="微软雅黑" w:hAnsi="微软雅黑"/>
          <w:szCs w:val="21"/>
        </w:rPr>
        <w:t>系统</w:t>
      </w:r>
      <w:r w:rsidR="00465EDB" w:rsidRPr="00465EDB">
        <w:rPr>
          <w:rFonts w:ascii="微软雅黑" w:eastAsia="微软雅黑" w:hAnsi="微软雅黑" w:hint="eastAsia"/>
          <w:szCs w:val="21"/>
        </w:rPr>
        <w:t>安全事件</w:t>
      </w:r>
      <w:r w:rsidR="00465EDB" w:rsidRPr="00465EDB">
        <w:rPr>
          <w:rFonts w:ascii="微软雅黑" w:eastAsia="微软雅黑" w:hAnsi="微软雅黑"/>
          <w:szCs w:val="21"/>
        </w:rPr>
        <w:t>492</w:t>
      </w:r>
      <w:r w:rsidR="00465EDB" w:rsidRPr="00465EDB">
        <w:rPr>
          <w:rFonts w:ascii="微软雅黑" w:eastAsia="微软雅黑" w:hAnsi="微软雅黑" w:hint="eastAsia"/>
          <w:szCs w:val="21"/>
        </w:rPr>
        <w:t>起。</w:t>
      </w:r>
      <w:r w:rsidR="00112F2E">
        <w:rPr>
          <w:rFonts w:ascii="微软雅黑" w:eastAsia="微软雅黑" w:hAnsi="微软雅黑" w:hint="eastAsia"/>
          <w:szCs w:val="21"/>
        </w:rPr>
        <w:t>在</w:t>
      </w:r>
      <w:r w:rsidR="00465EDB" w:rsidRPr="00465EDB">
        <w:rPr>
          <w:rFonts w:ascii="微软雅黑" w:eastAsia="微软雅黑" w:hAnsi="微软雅黑" w:hint="eastAsia"/>
          <w:szCs w:val="21"/>
        </w:rPr>
        <w:t>陕西</w:t>
      </w:r>
      <w:r w:rsidR="00112F2E">
        <w:rPr>
          <w:rFonts w:ascii="微软雅黑" w:eastAsia="微软雅黑" w:hAnsi="微软雅黑" w:hint="eastAsia"/>
          <w:szCs w:val="21"/>
        </w:rPr>
        <w:t>省</w:t>
      </w:r>
      <w:r w:rsidR="00465EDB" w:rsidRPr="00465EDB">
        <w:rPr>
          <w:rFonts w:ascii="微软雅黑" w:eastAsia="微软雅黑" w:hAnsi="微软雅黑" w:hint="eastAsia"/>
          <w:szCs w:val="21"/>
        </w:rPr>
        <w:t>互联网应急中心</w:t>
      </w:r>
      <w:r w:rsidR="00112F2E">
        <w:rPr>
          <w:rFonts w:ascii="微软雅黑" w:eastAsia="微软雅黑" w:hAnsi="微软雅黑" w:hint="eastAsia"/>
          <w:szCs w:val="21"/>
        </w:rPr>
        <w:t>努力下，</w:t>
      </w:r>
      <w:r w:rsidR="00112F2E" w:rsidRPr="00465EDB">
        <w:rPr>
          <w:rFonts w:ascii="微软雅黑" w:eastAsia="微软雅黑" w:hAnsi="微软雅黑" w:hint="eastAsia"/>
          <w:szCs w:val="21"/>
        </w:rPr>
        <w:t>各类网络安全事件</w:t>
      </w:r>
      <w:r w:rsidR="00112F2E">
        <w:rPr>
          <w:rFonts w:ascii="微软雅黑" w:eastAsia="微软雅黑" w:hAnsi="微软雅黑" w:hint="eastAsia"/>
          <w:szCs w:val="21"/>
        </w:rPr>
        <w:t>均</w:t>
      </w:r>
      <w:r w:rsidR="00465EDB" w:rsidRPr="00465EDB">
        <w:rPr>
          <w:rFonts w:ascii="微软雅黑" w:eastAsia="微软雅黑" w:hAnsi="微软雅黑" w:hint="eastAsia"/>
          <w:szCs w:val="21"/>
        </w:rPr>
        <w:t>在最快时间内得到</w:t>
      </w:r>
      <w:r w:rsidR="00112F2E">
        <w:rPr>
          <w:rFonts w:ascii="微软雅黑" w:eastAsia="微软雅黑" w:hAnsi="微软雅黑" w:hint="eastAsia"/>
          <w:szCs w:val="21"/>
        </w:rPr>
        <w:t>了</w:t>
      </w:r>
      <w:r w:rsidR="00465EDB" w:rsidRPr="00465EDB">
        <w:rPr>
          <w:rFonts w:ascii="微软雅黑" w:eastAsia="微软雅黑" w:hAnsi="微软雅黑" w:hint="eastAsia"/>
          <w:szCs w:val="21"/>
        </w:rPr>
        <w:t>处理。</w:t>
      </w:r>
    </w:p>
    <w:p w:rsidR="005D6979" w:rsidRDefault="005D6979" w:rsidP="005D6979">
      <w:pPr>
        <w:spacing w:line="400" w:lineRule="exact"/>
        <w:outlineLvl w:val="2"/>
        <w:rPr>
          <w:rFonts w:ascii="微软雅黑" w:eastAsia="微软雅黑" w:hAnsi="微软雅黑"/>
          <w:b/>
        </w:rPr>
      </w:pPr>
      <w:bookmarkStart w:id="374" w:name="_Toc491880246"/>
      <w:bookmarkStart w:id="375" w:name="_Toc524418021"/>
      <w:r>
        <w:rPr>
          <w:rFonts w:ascii="微软雅黑" w:eastAsia="微软雅黑" w:hAnsi="微软雅黑" w:hint="eastAsia"/>
          <w:b/>
        </w:rPr>
        <w:t>（二）陕西省网络安全事件分析</w:t>
      </w:r>
      <w:bookmarkEnd w:id="374"/>
      <w:bookmarkEnd w:id="375"/>
    </w:p>
    <w:p w:rsidR="005D6979" w:rsidRDefault="005D6979" w:rsidP="005D6979">
      <w:pPr>
        <w:spacing w:line="400" w:lineRule="exact"/>
        <w:outlineLvl w:val="3"/>
        <w:rPr>
          <w:rFonts w:ascii="微软雅黑" w:eastAsia="微软雅黑" w:hAnsi="微软雅黑"/>
          <w:b/>
        </w:rPr>
      </w:pPr>
      <w:bookmarkStart w:id="376" w:name="_Toc447084626"/>
      <w:bookmarkStart w:id="377" w:name="_Toc491880247"/>
      <w:bookmarkStart w:id="378" w:name="_Toc524418022"/>
      <w:r>
        <w:rPr>
          <w:rFonts w:ascii="微软雅黑" w:eastAsia="微软雅黑" w:hAnsi="微软雅黑" w:hint="eastAsia"/>
          <w:b/>
        </w:rPr>
        <w:t>1.木马和僵尸网络事件分析</w:t>
      </w:r>
      <w:bookmarkEnd w:id="376"/>
      <w:bookmarkEnd w:id="377"/>
      <w:bookmarkEnd w:id="378"/>
    </w:p>
    <w:p w:rsidR="005D6979" w:rsidRDefault="005D6979" w:rsidP="005D6979">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2017年1</w:t>
      </w:r>
      <w:r>
        <w:rPr>
          <w:rFonts w:ascii="微软雅黑" w:eastAsia="微软雅黑" w:hAnsi="微软雅黑"/>
          <w:szCs w:val="21"/>
        </w:rPr>
        <w:t>-12</w:t>
      </w:r>
      <w:r>
        <w:rPr>
          <w:rFonts w:ascii="微软雅黑" w:eastAsia="微软雅黑" w:hAnsi="微软雅黑" w:hint="eastAsia"/>
          <w:szCs w:val="21"/>
        </w:rPr>
        <w:t>月，陕西省境内</w:t>
      </w:r>
      <w:r>
        <w:rPr>
          <w:rFonts w:ascii="微软雅黑" w:eastAsia="微软雅黑" w:hAnsi="微软雅黑"/>
          <w:szCs w:val="21"/>
        </w:rPr>
        <w:t>IP地址</w:t>
      </w:r>
      <w:r>
        <w:rPr>
          <w:rFonts w:ascii="微软雅黑" w:eastAsia="微软雅黑" w:hAnsi="微软雅黑" w:hint="eastAsia"/>
          <w:szCs w:val="21"/>
        </w:rPr>
        <w:t>对应</w:t>
      </w:r>
      <w:r w:rsidR="00E33B14">
        <w:rPr>
          <w:rFonts w:ascii="微软雅黑" w:eastAsia="微软雅黑" w:hAnsi="微软雅黑" w:hint="eastAsia"/>
          <w:szCs w:val="21"/>
        </w:rPr>
        <w:t>的</w:t>
      </w:r>
      <w:r>
        <w:rPr>
          <w:rFonts w:ascii="微软雅黑" w:eastAsia="微软雅黑" w:hAnsi="微软雅黑" w:hint="eastAsia"/>
          <w:szCs w:val="21"/>
        </w:rPr>
        <w:t>主机被境外黑客通过木马或僵尸程序控制情况</w:t>
      </w:r>
      <w:r>
        <w:rPr>
          <w:rFonts w:ascii="微软雅黑" w:eastAsia="微软雅黑" w:hAnsi="微软雅黑"/>
          <w:szCs w:val="21"/>
        </w:rPr>
        <w:t>如</w:t>
      </w:r>
      <w:r>
        <w:rPr>
          <w:rFonts w:ascii="微软雅黑" w:eastAsia="微软雅黑" w:hAnsi="微软雅黑" w:hint="eastAsia"/>
          <w:szCs w:val="21"/>
        </w:rPr>
        <w:t>下图</w:t>
      </w:r>
      <w:r>
        <w:rPr>
          <w:rFonts w:ascii="微软雅黑" w:eastAsia="微软雅黑" w:hAnsi="微软雅黑"/>
          <w:szCs w:val="21"/>
        </w:rPr>
        <w:t>所示。全年来看</w:t>
      </w:r>
      <w:r>
        <w:rPr>
          <w:rFonts w:ascii="微软雅黑" w:eastAsia="微软雅黑" w:hAnsi="微软雅黑" w:hint="eastAsia"/>
          <w:szCs w:val="21"/>
        </w:rPr>
        <w:t>，全省被木马控制主机IP数量达到34.1万个，其中</w:t>
      </w:r>
      <w:r>
        <w:rPr>
          <w:rFonts w:ascii="微软雅黑" w:eastAsia="微软雅黑" w:hAnsi="微软雅黑"/>
          <w:szCs w:val="21"/>
        </w:rPr>
        <w:t>以</w:t>
      </w:r>
      <w:r>
        <w:rPr>
          <w:rFonts w:ascii="微软雅黑" w:eastAsia="微软雅黑" w:hAnsi="微软雅黑" w:hint="eastAsia"/>
          <w:szCs w:val="21"/>
        </w:rPr>
        <w:t>6月份最高，达到1217</w:t>
      </w:r>
      <w:r w:rsidR="00E33B14">
        <w:rPr>
          <w:rFonts w:ascii="微软雅黑" w:eastAsia="微软雅黑" w:hAnsi="微软雅黑" w:hint="eastAsia"/>
          <w:szCs w:val="21"/>
        </w:rPr>
        <w:t>63</w:t>
      </w:r>
      <w:r>
        <w:rPr>
          <w:rFonts w:ascii="微软雅黑" w:eastAsia="微软雅黑" w:hAnsi="微软雅黑" w:hint="eastAsia"/>
          <w:szCs w:val="21"/>
        </w:rPr>
        <w:t>个</w:t>
      </w:r>
      <w:r w:rsidR="008A2EFD">
        <w:rPr>
          <w:rFonts w:ascii="微软雅黑" w:eastAsia="微软雅黑" w:hAnsi="微软雅黑" w:hint="eastAsia"/>
          <w:szCs w:val="21"/>
        </w:rPr>
        <w:t>，超过全年</w:t>
      </w:r>
      <w:r w:rsidR="00E33B14">
        <w:rPr>
          <w:rFonts w:ascii="微软雅黑" w:eastAsia="微软雅黑" w:hAnsi="微软雅黑" w:hint="eastAsia"/>
          <w:szCs w:val="21"/>
        </w:rPr>
        <w:t>总量</w:t>
      </w:r>
      <w:r w:rsidR="008A2EFD">
        <w:rPr>
          <w:rFonts w:ascii="微软雅黑" w:eastAsia="微软雅黑" w:hAnsi="微软雅黑" w:hint="eastAsia"/>
          <w:szCs w:val="21"/>
        </w:rPr>
        <w:t>的1/3</w:t>
      </w:r>
      <w:r>
        <w:rPr>
          <w:rFonts w:ascii="微软雅黑" w:eastAsia="微软雅黑" w:hAnsi="微软雅黑" w:hint="eastAsia"/>
          <w:szCs w:val="21"/>
        </w:rPr>
        <w:t>。</w:t>
      </w:r>
    </w:p>
    <w:p w:rsidR="005D6979" w:rsidRDefault="00E33B14" w:rsidP="005D6979">
      <w:pPr>
        <w:widowControl/>
        <w:jc w:val="center"/>
        <w:rPr>
          <w:rFonts w:ascii="仿宋_GB2312" w:eastAsia="仿宋_GB2312" w:hAnsi="宋体"/>
          <w:sz w:val="28"/>
        </w:rPr>
      </w:pPr>
      <w:r>
        <w:rPr>
          <w:noProof/>
        </w:rPr>
        <w:drawing>
          <wp:inline distT="0" distB="0" distL="0" distR="0">
            <wp:extent cx="4809600" cy="2880000"/>
            <wp:effectExtent l="0" t="0" r="10160" b="15875"/>
            <wp:docPr id="110" name="图表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5D6979" w:rsidRDefault="00C564F4" w:rsidP="005D6979">
      <w:pPr>
        <w:pStyle w:val="ab"/>
      </w:pPr>
      <w:bookmarkStart w:id="379" w:name="_Toc524418220"/>
      <w:r>
        <w:rPr>
          <w:rFonts w:hint="eastAsia"/>
        </w:rPr>
        <w:t>图6-</w:t>
      </w:r>
      <w:r w:rsidR="002852AC">
        <w:rPr>
          <w:rFonts w:hint="eastAsia"/>
        </w:rPr>
        <w:t>1  2017年</w:t>
      </w:r>
      <w:r w:rsidR="005D6979">
        <w:rPr>
          <w:rFonts w:hint="eastAsia"/>
        </w:rPr>
        <w:t>陕西</w:t>
      </w:r>
      <w:r w:rsidR="002852AC">
        <w:rPr>
          <w:rFonts w:hint="eastAsia"/>
        </w:rPr>
        <w:t>省</w:t>
      </w:r>
      <w:r w:rsidR="005D6979">
        <w:rPr>
          <w:rFonts w:hint="eastAsia"/>
        </w:rPr>
        <w:t>木马或僵尸程序受控主机IP数量月度统计</w:t>
      </w:r>
      <w:bookmarkEnd w:id="379"/>
    </w:p>
    <w:p w:rsidR="002852AC" w:rsidRDefault="002852AC" w:rsidP="002852AC">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2017年1-12月，陕西省境内IP地址对应的主机被用作木马和僵尸程序控制主机与境外进行通讯情况如下图所示。全年来看，陕西省主机被用作木马和僵尸程序控制主机的数量达到1383个。其中，6月是木马或僵尸程序控制服务器IP数量最多的月份，显著高于其他月份；且上半年木马和僵尸程序控制服务器IP数量多于下半年。</w:t>
      </w:r>
    </w:p>
    <w:p w:rsidR="002852AC" w:rsidRDefault="002852AC" w:rsidP="002852AC">
      <w:pPr>
        <w:jc w:val="center"/>
        <w:rPr>
          <w:rFonts w:ascii="微软雅黑" w:eastAsia="微软雅黑" w:hAnsi="微软雅黑"/>
          <w:szCs w:val="21"/>
        </w:rPr>
      </w:pPr>
      <w:r>
        <w:rPr>
          <w:noProof/>
        </w:rPr>
        <w:drawing>
          <wp:inline distT="0" distB="0" distL="114300" distR="114300">
            <wp:extent cx="4809600" cy="2880000"/>
            <wp:effectExtent l="0" t="0" r="10160" b="15875"/>
            <wp:docPr id="11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2852AC" w:rsidRDefault="002852AC" w:rsidP="002852AC">
      <w:pPr>
        <w:pStyle w:val="ab"/>
      </w:pPr>
      <w:bookmarkStart w:id="380" w:name="_Toc524418221"/>
      <w:r>
        <w:rPr>
          <w:rFonts w:hint="eastAsia"/>
        </w:rPr>
        <w:t>图6-2</w:t>
      </w:r>
      <w:r>
        <w:t xml:space="preserve"> </w:t>
      </w:r>
      <w:r>
        <w:rPr>
          <w:rFonts w:hint="eastAsia"/>
        </w:rPr>
        <w:t xml:space="preserve"> 2017年陕西省木马或僵尸程序控制服务器IP数量月度统计</w:t>
      </w:r>
      <w:bookmarkEnd w:id="380"/>
    </w:p>
    <w:p w:rsidR="005D6979" w:rsidRDefault="005D6979" w:rsidP="005D6979">
      <w:pPr>
        <w:spacing w:line="400" w:lineRule="exact"/>
        <w:outlineLvl w:val="3"/>
        <w:rPr>
          <w:rFonts w:ascii="微软雅黑" w:eastAsia="微软雅黑" w:hAnsi="微软雅黑"/>
          <w:b/>
        </w:rPr>
      </w:pPr>
      <w:bookmarkStart w:id="381" w:name="_Toc491880248"/>
      <w:bookmarkStart w:id="382" w:name="_Toc447084627"/>
      <w:bookmarkStart w:id="383" w:name="_Toc524418023"/>
      <w:r>
        <w:rPr>
          <w:rFonts w:ascii="微软雅黑" w:eastAsia="微软雅黑" w:hAnsi="微软雅黑" w:hint="eastAsia"/>
          <w:b/>
        </w:rPr>
        <w:t>2.飞客蠕虫病毒事件分析</w:t>
      </w:r>
      <w:bookmarkEnd w:id="381"/>
      <w:bookmarkEnd w:id="382"/>
      <w:bookmarkEnd w:id="383"/>
    </w:p>
    <w:p w:rsidR="005D6979" w:rsidRPr="00EF4E14" w:rsidRDefault="005D6979" w:rsidP="00EF4E14">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2017年1</w:t>
      </w:r>
      <w:r>
        <w:rPr>
          <w:rFonts w:ascii="微软雅黑" w:eastAsia="微软雅黑" w:hAnsi="微软雅黑"/>
          <w:szCs w:val="21"/>
        </w:rPr>
        <w:t>-12</w:t>
      </w:r>
      <w:r>
        <w:rPr>
          <w:rFonts w:ascii="微软雅黑" w:eastAsia="微软雅黑" w:hAnsi="微软雅黑" w:hint="eastAsia"/>
          <w:szCs w:val="21"/>
        </w:rPr>
        <w:t>月，陕西省感染飞客蠕虫的主机数量达到13.</w:t>
      </w:r>
      <w:r w:rsidR="002852AC">
        <w:rPr>
          <w:rFonts w:ascii="微软雅黑" w:eastAsia="微软雅黑" w:hAnsi="微软雅黑" w:hint="eastAsia"/>
          <w:szCs w:val="21"/>
        </w:rPr>
        <w:t>4</w:t>
      </w:r>
      <w:r>
        <w:rPr>
          <w:rFonts w:ascii="微软雅黑" w:eastAsia="微软雅黑" w:hAnsi="微软雅黑" w:hint="eastAsia"/>
          <w:szCs w:val="21"/>
        </w:rPr>
        <w:t>万起</w:t>
      </w:r>
      <w:r w:rsidR="00357C98">
        <w:rPr>
          <w:rFonts w:ascii="微软雅黑" w:eastAsia="微软雅黑" w:hAnsi="微软雅黑" w:hint="eastAsia"/>
          <w:szCs w:val="21"/>
        </w:rPr>
        <w:t>，较2016年度有所下降</w:t>
      </w:r>
      <w:r>
        <w:rPr>
          <w:rFonts w:ascii="微软雅黑" w:eastAsia="微软雅黑" w:hAnsi="微软雅黑" w:hint="eastAsia"/>
          <w:szCs w:val="21"/>
        </w:rPr>
        <w:t>。全年来看，</w:t>
      </w:r>
      <w:r w:rsidR="00357C98">
        <w:rPr>
          <w:rFonts w:ascii="微软雅黑" w:eastAsia="微软雅黑" w:hAnsi="微软雅黑" w:hint="eastAsia"/>
          <w:szCs w:val="21"/>
        </w:rPr>
        <w:t>上</w:t>
      </w:r>
      <w:r>
        <w:rPr>
          <w:rFonts w:ascii="微软雅黑" w:eastAsia="微软雅黑" w:hAnsi="微软雅黑" w:hint="eastAsia"/>
          <w:szCs w:val="21"/>
        </w:rPr>
        <w:t>半年感染</w:t>
      </w:r>
      <w:r w:rsidR="00357C98">
        <w:rPr>
          <w:rFonts w:ascii="微软雅黑" w:eastAsia="微软雅黑" w:hAnsi="微软雅黑" w:hint="eastAsia"/>
          <w:szCs w:val="21"/>
        </w:rPr>
        <w:t>飞客蠕虫的主机数量略多于下半年</w:t>
      </w:r>
      <w:r w:rsidR="00034A67">
        <w:rPr>
          <w:rFonts w:ascii="微软雅黑" w:eastAsia="微软雅黑" w:hAnsi="微软雅黑" w:hint="eastAsia"/>
          <w:szCs w:val="21"/>
        </w:rPr>
        <w:t>；这主要是受到上半年</w:t>
      </w:r>
      <w:r w:rsidR="00034A67" w:rsidRPr="00EF4E14">
        <w:rPr>
          <w:rFonts w:ascii="微软雅黑" w:eastAsia="微软雅黑" w:hAnsi="微软雅黑"/>
          <w:szCs w:val="21"/>
        </w:rPr>
        <w:t>4</w:t>
      </w:r>
      <w:r w:rsidR="00034A67" w:rsidRPr="00EF4E14">
        <w:rPr>
          <w:rFonts w:ascii="微软雅黑" w:eastAsia="微软雅黑" w:hAnsi="微软雅黑" w:hint="eastAsia"/>
          <w:szCs w:val="21"/>
        </w:rPr>
        <w:t>月-</w:t>
      </w:r>
      <w:r w:rsidR="00034A67" w:rsidRPr="00EF4E14">
        <w:rPr>
          <w:rFonts w:ascii="微软雅黑" w:eastAsia="微软雅黑" w:hAnsi="微软雅黑"/>
          <w:szCs w:val="21"/>
        </w:rPr>
        <w:t>5月国内</w:t>
      </w:r>
      <w:r w:rsidR="00034A67" w:rsidRPr="00EF4E14">
        <w:rPr>
          <w:rFonts w:ascii="微软雅黑" w:eastAsia="微软雅黑" w:hAnsi="微软雅黑" w:hint="eastAsia"/>
          <w:szCs w:val="21"/>
        </w:rPr>
        <w:t>“飞客”</w:t>
      </w:r>
      <w:r w:rsidR="00034A67" w:rsidRPr="00EF4E14">
        <w:rPr>
          <w:rFonts w:ascii="微软雅黑" w:eastAsia="微软雅黑" w:hAnsi="微软雅黑"/>
          <w:szCs w:val="21"/>
        </w:rPr>
        <w:t>蠕虫病毒大面积爆发的影响</w:t>
      </w:r>
      <w:r>
        <w:rPr>
          <w:rFonts w:ascii="微软雅黑" w:eastAsia="微软雅黑" w:hAnsi="微软雅黑" w:hint="eastAsia"/>
          <w:szCs w:val="21"/>
        </w:rPr>
        <w:t>。</w:t>
      </w:r>
    </w:p>
    <w:p w:rsidR="002852AC" w:rsidRDefault="002852AC" w:rsidP="005D6979">
      <w:pPr>
        <w:widowControl/>
        <w:jc w:val="center"/>
        <w:rPr>
          <w:rFonts w:ascii="仿宋_GB2312" w:eastAsia="仿宋_GB2312" w:hAnsi="宋体"/>
          <w:sz w:val="28"/>
        </w:rPr>
      </w:pPr>
      <w:r>
        <w:rPr>
          <w:noProof/>
        </w:rPr>
        <w:drawing>
          <wp:inline distT="0" distB="0" distL="0" distR="0">
            <wp:extent cx="4809600" cy="2880000"/>
            <wp:effectExtent l="0" t="0" r="10160" b="15875"/>
            <wp:docPr id="115" name="图表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D6979" w:rsidRDefault="00C564F4" w:rsidP="005D6979">
      <w:pPr>
        <w:pStyle w:val="ab"/>
      </w:pPr>
      <w:bookmarkStart w:id="384" w:name="_Toc524418222"/>
      <w:r>
        <w:rPr>
          <w:rFonts w:hint="eastAsia"/>
        </w:rPr>
        <w:t>图6-</w:t>
      </w:r>
      <w:r w:rsidR="005D6979">
        <w:rPr>
          <w:rFonts w:hint="eastAsia"/>
        </w:rPr>
        <w:t xml:space="preserve">3  </w:t>
      </w:r>
      <w:r w:rsidR="009263A4">
        <w:rPr>
          <w:rFonts w:hint="eastAsia"/>
        </w:rPr>
        <w:t>2017年</w:t>
      </w:r>
      <w:r w:rsidR="005D6979">
        <w:rPr>
          <w:rFonts w:hint="eastAsia"/>
        </w:rPr>
        <w:t>陕西省感染飞客蠕虫主机IP数量月度统计</w:t>
      </w:r>
      <w:bookmarkEnd w:id="384"/>
    </w:p>
    <w:p w:rsidR="005D6979" w:rsidRDefault="005D6979" w:rsidP="005D6979">
      <w:pPr>
        <w:spacing w:line="400" w:lineRule="exact"/>
        <w:outlineLvl w:val="3"/>
        <w:rPr>
          <w:rFonts w:ascii="微软雅黑" w:eastAsia="微软雅黑" w:hAnsi="微软雅黑"/>
          <w:b/>
        </w:rPr>
      </w:pPr>
      <w:bookmarkStart w:id="385" w:name="_Toc447084628"/>
      <w:bookmarkStart w:id="386" w:name="_Toc491880249"/>
      <w:bookmarkStart w:id="387" w:name="_Toc524418024"/>
      <w:r>
        <w:rPr>
          <w:rFonts w:ascii="微软雅黑" w:eastAsia="微软雅黑" w:hAnsi="微软雅黑" w:hint="eastAsia"/>
          <w:b/>
        </w:rPr>
        <w:t>3.网站</w:t>
      </w:r>
      <w:r w:rsidR="00813641">
        <w:rPr>
          <w:rFonts w:ascii="微软雅黑" w:eastAsia="微软雅黑" w:hAnsi="微软雅黑" w:hint="eastAsia"/>
          <w:b/>
        </w:rPr>
        <w:t>篡改事件</w:t>
      </w:r>
      <w:r>
        <w:rPr>
          <w:rFonts w:ascii="微软雅黑" w:eastAsia="微软雅黑" w:hAnsi="微软雅黑" w:hint="eastAsia"/>
          <w:b/>
        </w:rPr>
        <w:t>分析</w:t>
      </w:r>
      <w:bookmarkEnd w:id="385"/>
      <w:bookmarkEnd w:id="386"/>
      <w:bookmarkEnd w:id="387"/>
    </w:p>
    <w:p w:rsidR="005D6979" w:rsidRDefault="005D6979" w:rsidP="005D6979">
      <w:pPr>
        <w:spacing w:line="400" w:lineRule="exact"/>
        <w:ind w:firstLineChars="200" w:firstLine="420"/>
        <w:rPr>
          <w:rFonts w:ascii="微软雅黑" w:eastAsia="微软雅黑" w:hAnsi="微软雅黑" w:cs="宋体"/>
          <w:bCs/>
          <w:szCs w:val="21"/>
        </w:rPr>
      </w:pPr>
      <w:r>
        <w:rPr>
          <w:rFonts w:ascii="微软雅黑" w:eastAsia="微软雅黑" w:hAnsi="微软雅黑" w:hint="eastAsia"/>
          <w:szCs w:val="21"/>
        </w:rPr>
        <w:t>2017年1-12月，陕西省范围内</w:t>
      </w:r>
      <w:r w:rsidR="00813641">
        <w:rPr>
          <w:rFonts w:ascii="微软雅黑" w:eastAsia="微软雅黑" w:hAnsi="微软雅黑" w:hint="eastAsia"/>
          <w:szCs w:val="21"/>
        </w:rPr>
        <w:t>发生网站篡改事件</w:t>
      </w:r>
      <w:r>
        <w:rPr>
          <w:rFonts w:ascii="微软雅黑" w:eastAsia="微软雅黑" w:hAnsi="微软雅黑" w:hint="eastAsia"/>
          <w:szCs w:val="21"/>
        </w:rPr>
        <w:t>数量相对较少，全年共689个。从监测情数据来看，</w:t>
      </w:r>
      <w:r w:rsidR="00813641">
        <w:rPr>
          <w:rFonts w:ascii="微软雅黑" w:eastAsia="微软雅黑" w:hAnsi="微软雅黑" w:hint="eastAsia"/>
          <w:szCs w:val="21"/>
        </w:rPr>
        <w:t>月度网站篡改事件数量都在</w:t>
      </w:r>
      <w:r>
        <w:rPr>
          <w:rFonts w:ascii="微软雅黑" w:eastAsia="微软雅黑" w:hAnsi="微软雅黑" w:hint="eastAsia"/>
          <w:szCs w:val="21"/>
        </w:rPr>
        <w:t>100以内，其中</w:t>
      </w:r>
      <w:r w:rsidR="00B46B2C">
        <w:rPr>
          <w:rFonts w:ascii="微软雅黑" w:eastAsia="微软雅黑" w:hAnsi="微软雅黑" w:hint="eastAsia"/>
          <w:szCs w:val="21"/>
        </w:rPr>
        <w:t>1月、</w:t>
      </w:r>
      <w:r>
        <w:rPr>
          <w:rFonts w:ascii="微软雅黑" w:eastAsia="微软雅黑" w:hAnsi="微软雅黑" w:hint="eastAsia"/>
          <w:szCs w:val="21"/>
        </w:rPr>
        <w:t>3月</w:t>
      </w:r>
      <w:r w:rsidR="00B46B2C">
        <w:rPr>
          <w:rFonts w:ascii="微软雅黑" w:eastAsia="微软雅黑" w:hAnsi="微软雅黑" w:hint="eastAsia"/>
          <w:szCs w:val="21"/>
        </w:rPr>
        <w:t>和4月相对较多</w:t>
      </w:r>
      <w:r>
        <w:rPr>
          <w:rFonts w:ascii="微软雅黑" w:eastAsia="微软雅黑" w:hAnsi="微软雅黑" w:hint="eastAsia"/>
          <w:szCs w:val="21"/>
        </w:rPr>
        <w:t>，</w:t>
      </w:r>
      <w:r w:rsidR="00B46B2C">
        <w:rPr>
          <w:rFonts w:ascii="微软雅黑" w:eastAsia="微软雅黑" w:hAnsi="微软雅黑" w:hint="eastAsia"/>
          <w:szCs w:val="21"/>
        </w:rPr>
        <w:t>均在70以上</w:t>
      </w:r>
      <w:r>
        <w:rPr>
          <w:rFonts w:ascii="微软雅黑" w:eastAsia="微软雅黑" w:hAnsi="微软雅黑" w:hint="eastAsia"/>
          <w:szCs w:val="21"/>
        </w:rPr>
        <w:t>。</w:t>
      </w:r>
    </w:p>
    <w:p w:rsidR="00B46B2C" w:rsidRDefault="005D6979" w:rsidP="005D6979">
      <w:pPr>
        <w:jc w:val="center"/>
        <w:rPr>
          <w:rFonts w:ascii="微软雅黑" w:eastAsia="微软雅黑" w:hAnsi="微软雅黑" w:cs="宋体"/>
          <w:bCs/>
          <w:szCs w:val="21"/>
        </w:rPr>
      </w:pPr>
      <w:r>
        <w:t xml:space="preserve"> </w:t>
      </w:r>
      <w:r w:rsidR="00B46B2C">
        <w:rPr>
          <w:noProof/>
        </w:rPr>
        <w:drawing>
          <wp:inline distT="0" distB="0" distL="0" distR="0">
            <wp:extent cx="4809600" cy="2880000"/>
            <wp:effectExtent l="0" t="0" r="10160" b="15875"/>
            <wp:docPr id="116" name="图表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D6979" w:rsidRDefault="00C564F4" w:rsidP="00EF4E14">
      <w:pPr>
        <w:pStyle w:val="ab"/>
        <w:rPr>
          <w:b/>
        </w:rPr>
      </w:pPr>
      <w:bookmarkStart w:id="388" w:name="_Toc524418223"/>
      <w:r>
        <w:rPr>
          <w:rFonts w:hint="eastAsia"/>
        </w:rPr>
        <w:t>图6-</w:t>
      </w:r>
      <w:r w:rsidR="00E0182A">
        <w:rPr>
          <w:rFonts w:hint="eastAsia"/>
        </w:rPr>
        <w:t>4</w:t>
      </w:r>
      <w:r w:rsidR="005D6979">
        <w:rPr>
          <w:rFonts w:hint="eastAsia"/>
        </w:rPr>
        <w:t xml:space="preserve">  2017年陕西省</w:t>
      </w:r>
      <w:r w:rsidR="009263A4">
        <w:rPr>
          <w:rFonts w:hint="eastAsia"/>
        </w:rPr>
        <w:t>网站被篡改数量月度统计</w:t>
      </w:r>
      <w:bookmarkEnd w:id="388"/>
    </w:p>
    <w:p w:rsidR="005D6979" w:rsidRDefault="005D6979" w:rsidP="005D6979">
      <w:pPr>
        <w:spacing w:line="400" w:lineRule="exact"/>
        <w:ind w:firstLineChars="200" w:firstLine="420"/>
        <w:rPr>
          <w:rFonts w:ascii="微软雅黑" w:eastAsia="微软雅黑" w:hAnsi="微软雅黑"/>
          <w:szCs w:val="21"/>
        </w:rPr>
      </w:pPr>
      <w:r>
        <w:rPr>
          <w:rFonts w:ascii="微软雅黑" w:eastAsia="微软雅黑" w:hAnsi="微软雅黑"/>
          <w:szCs w:val="21"/>
        </w:rPr>
        <w:t>201</w:t>
      </w:r>
      <w:r>
        <w:rPr>
          <w:rFonts w:ascii="微软雅黑" w:eastAsia="微软雅黑" w:hAnsi="微软雅黑" w:hint="eastAsia"/>
          <w:szCs w:val="21"/>
        </w:rPr>
        <w:t>7</w:t>
      </w:r>
      <w:r>
        <w:rPr>
          <w:rFonts w:ascii="微软雅黑" w:eastAsia="微软雅黑" w:hAnsi="微软雅黑"/>
          <w:szCs w:val="21"/>
        </w:rPr>
        <w:t>年</w:t>
      </w:r>
      <w:r>
        <w:rPr>
          <w:rFonts w:ascii="微软雅黑" w:eastAsia="微软雅黑" w:hAnsi="微软雅黑" w:hint="eastAsia"/>
          <w:szCs w:val="21"/>
        </w:rPr>
        <w:t>1</w:t>
      </w:r>
      <w:r>
        <w:rPr>
          <w:rFonts w:ascii="微软雅黑" w:eastAsia="微软雅黑" w:hAnsi="微软雅黑"/>
          <w:szCs w:val="21"/>
        </w:rPr>
        <w:t>-12月，陕西</w:t>
      </w:r>
      <w:r>
        <w:rPr>
          <w:rFonts w:ascii="微软雅黑" w:eastAsia="微软雅黑" w:hAnsi="微软雅黑" w:hint="eastAsia"/>
          <w:szCs w:val="21"/>
        </w:rPr>
        <w:t>省</w:t>
      </w:r>
      <w:r>
        <w:rPr>
          <w:rFonts w:ascii="微软雅黑" w:eastAsia="微软雅黑" w:hAnsi="微软雅黑"/>
          <w:szCs w:val="21"/>
        </w:rPr>
        <w:t>监测发现的网站被植入后门数量累计为</w:t>
      </w:r>
      <w:r>
        <w:rPr>
          <w:rFonts w:ascii="微软雅黑" w:eastAsia="微软雅黑" w:hAnsi="微软雅黑" w:hint="eastAsia"/>
          <w:szCs w:val="21"/>
        </w:rPr>
        <w:t>506个。从月度</w:t>
      </w:r>
      <w:r>
        <w:rPr>
          <w:rFonts w:ascii="微软雅黑" w:eastAsia="微软雅黑" w:hAnsi="微软雅黑"/>
          <w:szCs w:val="21"/>
        </w:rPr>
        <w:t>统计情</w:t>
      </w:r>
      <w:r>
        <w:rPr>
          <w:rFonts w:ascii="微软雅黑" w:eastAsia="微软雅黑" w:hAnsi="微软雅黑" w:hint="eastAsia"/>
          <w:szCs w:val="21"/>
        </w:rPr>
        <w:t>来看，被植入后门网站数量分布</w:t>
      </w:r>
      <w:r w:rsidR="009263A4">
        <w:rPr>
          <w:rFonts w:ascii="微软雅黑" w:eastAsia="微软雅黑" w:hAnsi="微软雅黑" w:hint="eastAsia"/>
          <w:szCs w:val="21"/>
        </w:rPr>
        <w:t>以</w:t>
      </w:r>
      <w:r>
        <w:rPr>
          <w:rFonts w:ascii="微软雅黑" w:eastAsia="微软雅黑" w:hAnsi="微软雅黑" w:hint="eastAsia"/>
          <w:szCs w:val="21"/>
        </w:rPr>
        <w:t>3月份最多</w:t>
      </w:r>
      <w:r w:rsidR="009263A4">
        <w:rPr>
          <w:rFonts w:ascii="微软雅黑" w:eastAsia="微软雅黑" w:hAnsi="微软雅黑" w:hint="eastAsia"/>
          <w:szCs w:val="21"/>
        </w:rPr>
        <w:t>，达到</w:t>
      </w:r>
      <w:r>
        <w:rPr>
          <w:rFonts w:ascii="微软雅黑" w:eastAsia="微软雅黑" w:hAnsi="微软雅黑" w:hint="eastAsia"/>
          <w:szCs w:val="21"/>
        </w:rPr>
        <w:t>63个；其次为7月和8月，分别为58个和56个。</w:t>
      </w:r>
    </w:p>
    <w:p w:rsidR="005D6979" w:rsidRDefault="009263A4" w:rsidP="005D6979">
      <w:pPr>
        <w:widowControl/>
        <w:jc w:val="center"/>
        <w:rPr>
          <w:rFonts w:ascii="仿宋_GB2312" w:eastAsia="仿宋_GB2312" w:hAnsi="宋体"/>
          <w:sz w:val="28"/>
        </w:rPr>
      </w:pPr>
      <w:r>
        <w:rPr>
          <w:noProof/>
        </w:rPr>
        <w:drawing>
          <wp:inline distT="0" distB="0" distL="0" distR="0">
            <wp:extent cx="4809600" cy="2880000"/>
            <wp:effectExtent l="0" t="0" r="10160" b="15875"/>
            <wp:docPr id="117" name="图表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5D6979" w:rsidRDefault="00C564F4" w:rsidP="005D6979">
      <w:pPr>
        <w:pStyle w:val="ab"/>
      </w:pPr>
      <w:bookmarkStart w:id="389" w:name="_Toc524418224"/>
      <w:r>
        <w:rPr>
          <w:rFonts w:hint="eastAsia"/>
        </w:rPr>
        <w:t>图6-</w:t>
      </w:r>
      <w:r w:rsidR="00E0182A">
        <w:rPr>
          <w:rFonts w:hint="eastAsia"/>
        </w:rPr>
        <w:t>5</w:t>
      </w:r>
      <w:r w:rsidR="005D6979">
        <w:rPr>
          <w:rFonts w:hint="eastAsia"/>
        </w:rPr>
        <w:t xml:space="preserve">  </w:t>
      </w:r>
      <w:r w:rsidR="009263A4">
        <w:rPr>
          <w:rFonts w:hint="eastAsia"/>
        </w:rPr>
        <w:t>2017年</w:t>
      </w:r>
      <w:r w:rsidR="005D6979">
        <w:rPr>
          <w:rFonts w:hint="eastAsia"/>
        </w:rPr>
        <w:t>陕西</w:t>
      </w:r>
      <w:r w:rsidR="009263A4">
        <w:rPr>
          <w:rFonts w:hint="eastAsia"/>
        </w:rPr>
        <w:t>省</w:t>
      </w:r>
      <w:r w:rsidR="005D6979">
        <w:rPr>
          <w:rFonts w:hint="eastAsia"/>
        </w:rPr>
        <w:t>被植入后门网站</w:t>
      </w:r>
      <w:r w:rsidR="009263A4">
        <w:rPr>
          <w:rFonts w:hint="eastAsia"/>
        </w:rPr>
        <w:t>数量</w:t>
      </w:r>
      <w:r w:rsidR="005D6979">
        <w:rPr>
          <w:rFonts w:hint="eastAsia"/>
        </w:rPr>
        <w:t>月度</w:t>
      </w:r>
      <w:r w:rsidR="009263A4">
        <w:rPr>
          <w:rFonts w:hint="eastAsia"/>
        </w:rPr>
        <w:t>统计</w:t>
      </w:r>
      <w:bookmarkEnd w:id="389"/>
    </w:p>
    <w:p w:rsidR="008D37C2" w:rsidRPr="008D37C2" w:rsidRDefault="008D37C2" w:rsidP="008D37C2"/>
    <w:p w:rsidR="00AF6C38" w:rsidRDefault="00AF6C38" w:rsidP="007F63A6">
      <w:pPr>
        <w:pStyle w:val="ab"/>
      </w:pPr>
      <w:r>
        <w:br w:type="page"/>
      </w:r>
    </w:p>
    <w:p w:rsidR="00EB5288" w:rsidRPr="009D423B" w:rsidRDefault="00C564F4" w:rsidP="00EB5288">
      <w:pPr>
        <w:spacing w:line="360" w:lineRule="auto"/>
        <w:outlineLvl w:val="1"/>
        <w:rPr>
          <w:rFonts w:ascii="微软雅黑" w:eastAsia="微软雅黑" w:hAnsi="微软雅黑"/>
          <w:b/>
        </w:rPr>
      </w:pPr>
      <w:bookmarkStart w:id="390" w:name="_Toc524418025"/>
      <w:r>
        <w:rPr>
          <w:rFonts w:ascii="微软雅黑" w:eastAsia="微软雅黑" w:hAnsi="微软雅黑" w:hint="eastAsia"/>
          <w:b/>
        </w:rPr>
        <w:t>七</w:t>
      </w:r>
      <w:r w:rsidR="00EB5288" w:rsidRPr="009D423B">
        <w:rPr>
          <w:rFonts w:ascii="微软雅黑" w:eastAsia="微软雅黑" w:hAnsi="微软雅黑"/>
          <w:b/>
        </w:rPr>
        <w:t>、陕西省互联网发展现状及建议</w:t>
      </w:r>
      <w:bookmarkEnd w:id="390"/>
    </w:p>
    <w:p w:rsidR="00EB5288" w:rsidRPr="009D423B" w:rsidRDefault="00EB5288" w:rsidP="00EB5288">
      <w:pPr>
        <w:spacing w:line="400" w:lineRule="exact"/>
        <w:outlineLvl w:val="2"/>
        <w:rPr>
          <w:rFonts w:ascii="微软雅黑" w:eastAsia="微软雅黑" w:hAnsi="微软雅黑" w:cs="STHeiti"/>
          <w:b/>
          <w:szCs w:val="21"/>
        </w:rPr>
      </w:pPr>
      <w:bookmarkStart w:id="391" w:name="_Toc524418026"/>
      <w:r w:rsidRPr="009D423B">
        <w:rPr>
          <w:rFonts w:ascii="微软雅黑" w:eastAsia="微软雅黑" w:hAnsi="微软雅黑" w:cs="STHeiti" w:hint="eastAsia"/>
          <w:b/>
          <w:szCs w:val="21"/>
        </w:rPr>
        <w:t>（一）国内互联网发展现状及趋势</w:t>
      </w:r>
      <w:bookmarkEnd w:id="391"/>
    </w:p>
    <w:p w:rsidR="00EB5288" w:rsidRDefault="00EB5288" w:rsidP="00EB5288">
      <w:pPr>
        <w:spacing w:line="400" w:lineRule="exact"/>
        <w:ind w:firstLineChars="200" w:firstLine="420"/>
        <w:rPr>
          <w:rFonts w:ascii="微软雅黑" w:eastAsia="微软雅黑" w:hAnsi="微软雅黑"/>
          <w:szCs w:val="21"/>
        </w:rPr>
      </w:pPr>
      <w:r w:rsidRPr="009D423B">
        <w:rPr>
          <w:rFonts w:ascii="微软雅黑" w:eastAsia="微软雅黑" w:hAnsi="微软雅黑" w:hint="eastAsia"/>
          <w:szCs w:val="21"/>
        </w:rPr>
        <w:t>随着国内生产总值的稳步增长和城乡居民可支配收入的不断增加，我国</w:t>
      </w:r>
      <w:hyperlink r:id="rId147" w:tgtFrame="_blank" w:history="1">
        <w:r w:rsidRPr="009D423B">
          <w:rPr>
            <w:rFonts w:ascii="微软雅黑" w:eastAsia="微软雅黑" w:hAnsi="微软雅黑" w:hint="eastAsia"/>
            <w:szCs w:val="21"/>
          </w:rPr>
          <w:t>互联网</w:t>
        </w:r>
      </w:hyperlink>
      <w:r>
        <w:rPr>
          <w:rFonts w:ascii="微软雅黑" w:eastAsia="微软雅黑" w:hAnsi="微软雅黑" w:hint="eastAsia"/>
          <w:szCs w:val="21"/>
        </w:rPr>
        <w:t>在基础设施、用户规模和营收等方面都保持稳步</w:t>
      </w:r>
      <w:r w:rsidRPr="009D423B">
        <w:rPr>
          <w:rFonts w:ascii="微软雅黑" w:eastAsia="微软雅黑" w:hAnsi="微软雅黑" w:hint="eastAsia"/>
          <w:szCs w:val="21"/>
        </w:rPr>
        <w:t>增长</w:t>
      </w:r>
      <w:r>
        <w:rPr>
          <w:rFonts w:ascii="微软雅黑" w:eastAsia="微软雅黑" w:hAnsi="微软雅黑" w:hint="eastAsia"/>
          <w:szCs w:val="21"/>
        </w:rPr>
        <w:t>。当前，在“互联网+”行动计划指引下，互联网整加速与各行业的融合，这也使得互联网的行业热点不断涌现</w:t>
      </w:r>
      <w:r w:rsidRPr="009D423B">
        <w:rPr>
          <w:rFonts w:ascii="微软雅黑" w:eastAsia="微软雅黑" w:hAnsi="微软雅黑" w:hint="eastAsia"/>
          <w:szCs w:val="21"/>
        </w:rPr>
        <w:t>。</w:t>
      </w:r>
    </w:p>
    <w:p w:rsidR="00EB5288" w:rsidRPr="009D423B" w:rsidRDefault="00D50EDD" w:rsidP="00EB5288">
      <w:pPr>
        <w:spacing w:line="400" w:lineRule="exact"/>
        <w:outlineLvl w:val="3"/>
        <w:rPr>
          <w:rFonts w:ascii="微软雅黑" w:eastAsia="微软雅黑" w:hAnsi="微软雅黑"/>
          <w:b/>
        </w:rPr>
      </w:pPr>
      <w:bookmarkStart w:id="392" w:name="_Toc524418027"/>
      <w:r>
        <w:rPr>
          <w:rFonts w:ascii="微软雅黑" w:eastAsia="微软雅黑" w:hAnsi="微软雅黑" w:hint="eastAsia"/>
          <w:b/>
        </w:rPr>
        <w:t>1</w:t>
      </w:r>
      <w:r w:rsidR="00EB5288" w:rsidRPr="009D423B">
        <w:rPr>
          <w:rFonts w:ascii="微软雅黑" w:eastAsia="微软雅黑" w:hAnsi="微软雅黑" w:hint="eastAsia"/>
          <w:b/>
        </w:rPr>
        <w:t>.互联网用户规模</w:t>
      </w:r>
      <w:r w:rsidR="00B248C2">
        <w:rPr>
          <w:rFonts w:ascii="微软雅黑" w:eastAsia="微软雅黑" w:hAnsi="微软雅黑" w:hint="eastAsia"/>
          <w:b/>
        </w:rPr>
        <w:t>持续</w:t>
      </w:r>
      <w:r w:rsidR="00EB5288" w:rsidRPr="009D423B">
        <w:rPr>
          <w:rFonts w:ascii="微软雅黑" w:eastAsia="微软雅黑" w:hAnsi="微软雅黑" w:hint="eastAsia"/>
          <w:b/>
        </w:rPr>
        <w:t>增长</w:t>
      </w:r>
      <w:bookmarkEnd w:id="392"/>
    </w:p>
    <w:p w:rsidR="00DC6B9A" w:rsidRPr="003E0CE0" w:rsidRDefault="00DC6B9A" w:rsidP="00DC6B9A">
      <w:pPr>
        <w:spacing w:line="400" w:lineRule="exact"/>
        <w:ind w:firstLineChars="200" w:firstLine="420"/>
        <w:rPr>
          <w:rFonts w:ascii="微软雅黑" w:eastAsia="微软雅黑" w:hAnsi="微软雅黑"/>
          <w:szCs w:val="21"/>
        </w:rPr>
      </w:pPr>
      <w:r w:rsidRPr="003E0CE0">
        <w:rPr>
          <w:rFonts w:ascii="微软雅黑" w:eastAsia="微软雅黑" w:hAnsi="微软雅黑"/>
          <w:szCs w:val="21"/>
        </w:rPr>
        <w:t>2017年，我国互联网用户达到7.7亿，较2016年增长5.6%；互联网普及率达到55.8%,较2016年提升2.6个百分点。同期，我国手机网民规模达到7.5亿，较2016年增加0.6亿人，增幅为8.2%；网民中使用手机上网的人群占比也由2016年的95.1</w:t>
      </w:r>
      <w:r>
        <w:rPr>
          <w:rFonts w:ascii="微软雅黑" w:eastAsia="微软雅黑" w:hAnsi="微软雅黑" w:hint="eastAsia"/>
          <w:szCs w:val="21"/>
        </w:rPr>
        <w:t>%</w:t>
      </w:r>
      <w:r w:rsidRPr="003E0CE0">
        <w:rPr>
          <w:rFonts w:ascii="微软雅黑" w:eastAsia="微软雅黑" w:hAnsi="微软雅黑"/>
          <w:szCs w:val="21"/>
        </w:rPr>
        <w:t>提升至97.5</w:t>
      </w:r>
      <w:r>
        <w:rPr>
          <w:rFonts w:ascii="微软雅黑" w:eastAsia="微软雅黑" w:hAnsi="微软雅黑" w:hint="eastAsia"/>
          <w:szCs w:val="21"/>
        </w:rPr>
        <w:t>%</w:t>
      </w:r>
      <w:r w:rsidRPr="003E0CE0">
        <w:rPr>
          <w:rFonts w:ascii="微软雅黑" w:eastAsia="微软雅黑" w:hAnsi="微软雅黑"/>
          <w:szCs w:val="21"/>
        </w:rPr>
        <w:t>。</w:t>
      </w:r>
    </w:p>
    <w:p w:rsidR="00DC6B9A" w:rsidRPr="003E0CE0" w:rsidRDefault="00DC6B9A" w:rsidP="00DC6B9A">
      <w:pPr>
        <w:jc w:val="center"/>
        <w:rPr>
          <w:rFonts w:ascii="微软雅黑" w:eastAsia="微软雅黑" w:hAnsi="微软雅黑"/>
          <w:szCs w:val="21"/>
        </w:rPr>
      </w:pPr>
      <w:r w:rsidRPr="003E0CE0">
        <w:rPr>
          <w:rFonts w:ascii="微软雅黑" w:eastAsia="微软雅黑" w:hAnsi="微软雅黑"/>
          <w:noProof/>
        </w:rPr>
        <w:drawing>
          <wp:inline distT="0" distB="0" distL="0" distR="0">
            <wp:extent cx="4810125" cy="3600000"/>
            <wp:effectExtent l="0" t="0" r="9525" b="19685"/>
            <wp:docPr id="97502" name="图表 97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B5288" w:rsidRDefault="00C564F4" w:rsidP="00EB5288">
      <w:pPr>
        <w:pStyle w:val="ab"/>
      </w:pPr>
      <w:bookmarkStart w:id="393" w:name="_Toc524418225"/>
      <w:r>
        <w:rPr>
          <w:rFonts w:hint="eastAsia"/>
        </w:rPr>
        <w:t>图7-</w:t>
      </w:r>
      <w:r w:rsidR="00DC6B9A">
        <w:rPr>
          <w:rFonts w:hint="eastAsia"/>
        </w:rPr>
        <w:t>1  2013</w:t>
      </w:r>
      <w:r w:rsidR="00EB5288" w:rsidRPr="009D423B">
        <w:rPr>
          <w:rFonts w:hint="eastAsia"/>
        </w:rPr>
        <w:t>-</w:t>
      </w:r>
      <w:r w:rsidR="0050355B">
        <w:rPr>
          <w:rFonts w:hint="eastAsia"/>
        </w:rPr>
        <w:t>2017年</w:t>
      </w:r>
      <w:r w:rsidR="00EB5288" w:rsidRPr="009D423B">
        <w:rPr>
          <w:rFonts w:hint="eastAsia"/>
        </w:rPr>
        <w:t>我国网民总体规模及渗透率</w:t>
      </w:r>
      <w:bookmarkEnd w:id="393"/>
    </w:p>
    <w:p w:rsidR="00EB5288" w:rsidRPr="009D423B" w:rsidRDefault="00B248C2" w:rsidP="00EB5288">
      <w:pPr>
        <w:spacing w:line="400" w:lineRule="exact"/>
        <w:outlineLvl w:val="3"/>
        <w:rPr>
          <w:rFonts w:ascii="微软雅黑" w:eastAsia="微软雅黑" w:hAnsi="微软雅黑"/>
          <w:b/>
        </w:rPr>
      </w:pPr>
      <w:bookmarkStart w:id="394" w:name="_Toc524418028"/>
      <w:r>
        <w:rPr>
          <w:rFonts w:ascii="微软雅黑" w:eastAsia="微软雅黑" w:hAnsi="微软雅黑" w:hint="eastAsia"/>
          <w:b/>
        </w:rPr>
        <w:t>2</w:t>
      </w:r>
      <w:r w:rsidR="00EB5288" w:rsidRPr="009D423B">
        <w:rPr>
          <w:rFonts w:ascii="微软雅黑" w:eastAsia="微软雅黑" w:hAnsi="微软雅黑" w:hint="eastAsia"/>
          <w:b/>
        </w:rPr>
        <w:t>.网络经济规模</w:t>
      </w:r>
      <w:r w:rsidR="00EB5288">
        <w:rPr>
          <w:rFonts w:ascii="微软雅黑" w:eastAsia="微软雅黑" w:hAnsi="微软雅黑" w:hint="eastAsia"/>
          <w:b/>
        </w:rPr>
        <w:t>持续增长</w:t>
      </w:r>
      <w:bookmarkEnd w:id="394"/>
    </w:p>
    <w:p w:rsidR="00DC6B9A" w:rsidRPr="003E0CE0" w:rsidRDefault="00DC6B9A" w:rsidP="00DC6B9A">
      <w:pPr>
        <w:spacing w:line="400" w:lineRule="exact"/>
        <w:ind w:firstLineChars="200" w:firstLine="420"/>
        <w:rPr>
          <w:rFonts w:ascii="微软雅黑" w:eastAsia="微软雅黑" w:hAnsi="微软雅黑"/>
          <w:szCs w:val="21"/>
        </w:rPr>
      </w:pPr>
      <w:r w:rsidRPr="003E0CE0">
        <w:rPr>
          <w:rFonts w:ascii="微软雅黑" w:eastAsia="微软雅黑" w:hAnsi="微软雅黑"/>
          <w:szCs w:val="21"/>
        </w:rPr>
        <w:t>2017年</w:t>
      </w:r>
      <w:r w:rsidR="00390A92">
        <w:rPr>
          <w:rFonts w:ascii="微软雅黑" w:eastAsia="微软雅黑" w:hAnsi="微软雅黑" w:hint="eastAsia"/>
          <w:szCs w:val="21"/>
        </w:rPr>
        <w:t>，</w:t>
      </w:r>
      <w:r w:rsidRPr="003E0CE0">
        <w:rPr>
          <w:rFonts w:ascii="微软雅黑" w:eastAsia="微软雅黑" w:hAnsi="微软雅黑"/>
          <w:szCs w:val="21"/>
        </w:rPr>
        <w:t>我国PC网络经济市场营收预计达到7946.1亿元，较2016年增长16.9%；</w:t>
      </w:r>
      <w:r w:rsidR="00390A92">
        <w:rPr>
          <w:rFonts w:ascii="微软雅黑" w:eastAsia="微软雅黑" w:hAnsi="微软雅黑"/>
          <w:szCs w:val="21"/>
        </w:rPr>
        <w:t>同期</w:t>
      </w:r>
      <w:r w:rsidR="00390A92">
        <w:rPr>
          <w:rFonts w:ascii="微软雅黑" w:eastAsia="微软雅黑" w:hAnsi="微软雅黑" w:hint="eastAsia"/>
          <w:szCs w:val="21"/>
        </w:rPr>
        <w:t>，</w:t>
      </w:r>
      <w:r w:rsidR="00390A92">
        <w:rPr>
          <w:rFonts w:ascii="微软雅黑" w:eastAsia="微软雅黑" w:hAnsi="微软雅黑"/>
          <w:szCs w:val="21"/>
        </w:rPr>
        <w:t>国内</w:t>
      </w:r>
      <w:r w:rsidRPr="003E0CE0">
        <w:rPr>
          <w:rFonts w:ascii="微软雅黑" w:eastAsia="微软雅黑" w:hAnsi="微软雅黑"/>
          <w:szCs w:val="21"/>
        </w:rPr>
        <w:t>移动网络经济市场规模突破万亿，达到10487.8亿元，较2016年增长32.6%。整体来看，我国网络经济市场营收继续保持快速增长，尤其是移动端增幅更为迅速</w:t>
      </w:r>
      <w:r w:rsidR="00390A92">
        <w:rPr>
          <w:rFonts w:ascii="微软雅黑" w:eastAsia="微软雅黑" w:hAnsi="微软雅黑" w:hint="eastAsia"/>
          <w:szCs w:val="21"/>
        </w:rPr>
        <w:t>，</w:t>
      </w:r>
      <w:r w:rsidR="00390A92">
        <w:rPr>
          <w:rFonts w:ascii="微软雅黑" w:eastAsia="微软雅黑" w:hAnsi="微软雅黑"/>
          <w:szCs w:val="21"/>
        </w:rPr>
        <w:t>仍然保持</w:t>
      </w:r>
      <w:r w:rsidR="00390A92">
        <w:rPr>
          <w:rFonts w:ascii="微软雅黑" w:eastAsia="微软雅黑" w:hAnsi="微软雅黑" w:hint="eastAsia"/>
          <w:szCs w:val="21"/>
        </w:rPr>
        <w:t>30%以上的增速</w:t>
      </w:r>
      <w:r w:rsidRPr="003E0CE0">
        <w:rPr>
          <w:rFonts w:ascii="微软雅黑" w:eastAsia="微软雅黑" w:hAnsi="微软雅黑"/>
          <w:szCs w:val="21"/>
        </w:rPr>
        <w:t>。</w:t>
      </w:r>
    </w:p>
    <w:p w:rsidR="00DC6B9A" w:rsidRPr="003E0CE0" w:rsidRDefault="00DC6B9A" w:rsidP="00DC6B9A">
      <w:pPr>
        <w:jc w:val="center"/>
        <w:rPr>
          <w:rFonts w:ascii="微软雅黑" w:eastAsia="微软雅黑" w:hAnsi="微软雅黑"/>
          <w:szCs w:val="21"/>
        </w:rPr>
      </w:pPr>
      <w:r w:rsidRPr="003E0CE0">
        <w:rPr>
          <w:rFonts w:ascii="微软雅黑" w:eastAsia="微软雅黑" w:hAnsi="微软雅黑"/>
          <w:noProof/>
        </w:rPr>
        <w:drawing>
          <wp:inline distT="0" distB="0" distL="0" distR="0">
            <wp:extent cx="4810125" cy="3600000"/>
            <wp:effectExtent l="0" t="0" r="9525" b="1968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DC6B9A" w:rsidRDefault="00C564F4" w:rsidP="00DC6B9A">
      <w:pPr>
        <w:pStyle w:val="ab"/>
      </w:pPr>
      <w:bookmarkStart w:id="395" w:name="_Toc483275563"/>
      <w:bookmarkStart w:id="396" w:name="_Toc517206558"/>
      <w:bookmarkStart w:id="397" w:name="_Toc524418226"/>
      <w:r>
        <w:t>图7-</w:t>
      </w:r>
      <w:r w:rsidR="00B248C2">
        <w:t>2  201</w:t>
      </w:r>
      <w:r w:rsidR="00B248C2">
        <w:rPr>
          <w:rFonts w:hint="eastAsia"/>
        </w:rPr>
        <w:t>3</w:t>
      </w:r>
      <w:r w:rsidR="00DC6B9A" w:rsidRPr="003E0CE0">
        <w:t>-2017年我国PC和移动网络经济市场营收规模</w:t>
      </w:r>
      <w:bookmarkEnd w:id="395"/>
      <w:bookmarkEnd w:id="396"/>
      <w:bookmarkEnd w:id="397"/>
    </w:p>
    <w:p w:rsidR="00DC6B9A" w:rsidRPr="003E0CE0" w:rsidRDefault="00B248C2" w:rsidP="00DC6B9A">
      <w:pPr>
        <w:spacing w:line="400" w:lineRule="exact"/>
        <w:ind w:firstLineChars="200" w:firstLine="420"/>
        <w:outlineLvl w:val="3"/>
        <w:rPr>
          <w:rFonts w:ascii="微软雅黑" w:eastAsia="微软雅黑" w:hAnsi="微软雅黑"/>
          <w:b/>
          <w:bCs/>
          <w:szCs w:val="21"/>
        </w:rPr>
      </w:pPr>
      <w:bookmarkStart w:id="398" w:name="_Toc485132141"/>
      <w:bookmarkStart w:id="399" w:name="_Toc517549135"/>
      <w:bookmarkStart w:id="400" w:name="_Toc524418029"/>
      <w:r>
        <w:rPr>
          <w:rFonts w:ascii="微软雅黑" w:eastAsia="微软雅黑" w:hAnsi="微软雅黑" w:hint="eastAsia"/>
          <w:b/>
          <w:bCs/>
          <w:szCs w:val="21"/>
        </w:rPr>
        <w:t>3</w:t>
      </w:r>
      <w:r w:rsidR="00DC6B9A" w:rsidRPr="003E0CE0">
        <w:rPr>
          <w:rFonts w:ascii="微软雅黑" w:eastAsia="微软雅黑" w:hAnsi="微软雅黑"/>
          <w:b/>
          <w:bCs/>
          <w:szCs w:val="21"/>
        </w:rPr>
        <w:t>.中国互联网将进入技术型人口红利时代</w:t>
      </w:r>
      <w:bookmarkEnd w:id="398"/>
      <w:bookmarkEnd w:id="399"/>
      <w:bookmarkEnd w:id="400"/>
    </w:p>
    <w:p w:rsidR="00DC6B9A" w:rsidRDefault="00DC6B9A" w:rsidP="00DC6B9A">
      <w:pPr>
        <w:spacing w:line="400" w:lineRule="exact"/>
        <w:ind w:firstLineChars="200" w:firstLine="420"/>
        <w:rPr>
          <w:rFonts w:ascii="微软雅黑" w:eastAsia="微软雅黑" w:hAnsi="微软雅黑"/>
          <w:szCs w:val="21"/>
        </w:rPr>
      </w:pPr>
      <w:r w:rsidRPr="003E0CE0">
        <w:rPr>
          <w:rFonts w:ascii="微软雅黑" w:eastAsia="微软雅黑" w:hAnsi="微软雅黑"/>
          <w:szCs w:val="21"/>
        </w:rPr>
        <w:t>“流量”一直是互联网各类业务的生存之本。回顾产业发展历程，</w:t>
      </w:r>
      <w:r w:rsidR="00B248C2">
        <w:rPr>
          <w:rFonts w:ascii="微软雅黑" w:eastAsia="微软雅黑" w:hAnsi="微软雅黑" w:hint="eastAsia"/>
          <w:szCs w:val="21"/>
        </w:rPr>
        <w:t>“</w:t>
      </w:r>
      <w:r w:rsidRPr="003E0CE0">
        <w:rPr>
          <w:rFonts w:ascii="微软雅黑" w:eastAsia="微软雅黑" w:hAnsi="微软雅黑"/>
          <w:szCs w:val="21"/>
        </w:rPr>
        <w:t>免费+增值服务</w:t>
      </w:r>
      <w:r w:rsidR="00B248C2">
        <w:rPr>
          <w:rFonts w:ascii="微软雅黑" w:eastAsia="微软雅黑" w:hAnsi="微软雅黑" w:hint="eastAsia"/>
          <w:szCs w:val="21"/>
        </w:rPr>
        <w:t>”</w:t>
      </w:r>
      <w:r w:rsidRPr="003E0CE0">
        <w:rPr>
          <w:rFonts w:ascii="微软雅黑" w:eastAsia="微软雅黑" w:hAnsi="微软雅黑"/>
          <w:szCs w:val="21"/>
        </w:rPr>
        <w:t>的商业策略是中国商业环境制胜的法宝，先垄断了客户流量的企业，也形成了围绕用户衣食住行多方面的垄断。而中国互联网产业具有独特的一面，即注重商业本质，这是中国众多不同特质的互联网公司共同具备的特点，这可能导致未来突破性的技术创新尚难以在产业内发生。但是，过去导致中国互联网企业走向成功</w:t>
      </w:r>
      <w:r>
        <w:rPr>
          <w:rFonts w:ascii="微软雅黑" w:eastAsia="微软雅黑" w:hAnsi="微软雅黑"/>
          <w:szCs w:val="21"/>
        </w:rPr>
        <w:t>的</w:t>
      </w:r>
      <w:r w:rsidRPr="003E0CE0">
        <w:rPr>
          <w:rFonts w:ascii="微软雅黑" w:eastAsia="微软雅黑" w:hAnsi="微软雅黑"/>
          <w:szCs w:val="21"/>
        </w:rPr>
        <w:t>“免费”战略，极大可能在未来以不同的形式复制。未来，寻找技术型流量蓝海或将是众多企业的新突破口。</w:t>
      </w:r>
    </w:p>
    <w:p w:rsidR="00B248C2" w:rsidRPr="003E0CE0" w:rsidRDefault="00B248C2" w:rsidP="00B248C2">
      <w:pPr>
        <w:jc w:val="center"/>
        <w:rPr>
          <w:rFonts w:ascii="微软雅黑" w:eastAsia="微软雅黑" w:hAnsi="微软雅黑"/>
          <w:szCs w:val="21"/>
        </w:rPr>
      </w:pPr>
      <w:r w:rsidRPr="003E0CE0">
        <w:rPr>
          <w:rFonts w:ascii="微软雅黑" w:eastAsia="微软雅黑" w:hAnsi="微软雅黑"/>
          <w:noProof/>
        </w:rPr>
        <w:drawing>
          <wp:inline distT="0" distB="0" distL="0" distR="0">
            <wp:extent cx="4809600" cy="2066903"/>
            <wp:effectExtent l="0" t="0" r="0" b="0"/>
            <wp:docPr id="97520" name="图片 9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4809600" cy="2066903"/>
                    </a:xfrm>
                    <a:prstGeom prst="rect">
                      <a:avLst/>
                    </a:prstGeom>
                  </pic:spPr>
                </pic:pic>
              </a:graphicData>
            </a:graphic>
          </wp:inline>
        </w:drawing>
      </w:r>
    </w:p>
    <w:p w:rsidR="00B248C2" w:rsidRDefault="00C564F4" w:rsidP="00B248C2">
      <w:pPr>
        <w:pStyle w:val="ab"/>
      </w:pPr>
      <w:bookmarkStart w:id="401" w:name="_Toc517206559"/>
      <w:bookmarkStart w:id="402" w:name="_Toc524418227"/>
      <w:r>
        <w:t>图7-</w:t>
      </w:r>
      <w:r w:rsidR="00B248C2" w:rsidRPr="003E0CE0">
        <w:t>3  不同流量属性的表现示意图</w:t>
      </w:r>
      <w:bookmarkEnd w:id="401"/>
      <w:bookmarkEnd w:id="402"/>
    </w:p>
    <w:p w:rsidR="00B248C2" w:rsidRDefault="00B248C2" w:rsidP="00B248C2">
      <w:pPr>
        <w:spacing w:line="400" w:lineRule="exact"/>
      </w:pPr>
    </w:p>
    <w:p w:rsidR="00B248C2" w:rsidRDefault="00B248C2" w:rsidP="00B248C2">
      <w:pPr>
        <w:spacing w:line="400" w:lineRule="exact"/>
      </w:pPr>
      <w:r>
        <w:br w:type="page"/>
      </w:r>
    </w:p>
    <w:p w:rsidR="00EB5288" w:rsidRDefault="00EB5288" w:rsidP="00EB5288">
      <w:pPr>
        <w:spacing w:line="360" w:lineRule="auto"/>
        <w:outlineLvl w:val="2"/>
        <w:rPr>
          <w:rFonts w:ascii="微软雅黑" w:eastAsia="微软雅黑" w:hAnsi="微软雅黑"/>
          <w:b/>
        </w:rPr>
      </w:pPr>
      <w:bookmarkStart w:id="403" w:name="_Toc524418030"/>
      <w:r w:rsidRPr="009D423B">
        <w:rPr>
          <w:rFonts w:ascii="微软雅黑" w:eastAsia="微软雅黑" w:hAnsi="微软雅黑"/>
          <w:b/>
        </w:rPr>
        <w:t>（</w:t>
      </w:r>
      <w:r w:rsidRPr="009D423B">
        <w:rPr>
          <w:rFonts w:ascii="微软雅黑" w:eastAsia="微软雅黑" w:hAnsi="微软雅黑" w:hint="eastAsia"/>
          <w:b/>
        </w:rPr>
        <w:t>二</w:t>
      </w:r>
      <w:r w:rsidRPr="009D423B">
        <w:rPr>
          <w:rFonts w:ascii="微软雅黑" w:eastAsia="微软雅黑" w:hAnsi="微软雅黑"/>
          <w:b/>
        </w:rPr>
        <w:t>）陕西省互联网发展</w:t>
      </w:r>
      <w:r w:rsidR="00B248C2">
        <w:rPr>
          <w:rFonts w:ascii="微软雅黑" w:eastAsia="微软雅黑" w:hAnsi="微软雅黑" w:hint="eastAsia"/>
          <w:b/>
        </w:rPr>
        <w:t>概况</w:t>
      </w:r>
      <w:bookmarkEnd w:id="403"/>
    </w:p>
    <w:p w:rsidR="00EB5288" w:rsidRPr="00080ABE" w:rsidRDefault="00080ABE" w:rsidP="00080ABE">
      <w:pPr>
        <w:spacing w:line="400" w:lineRule="exact"/>
        <w:outlineLvl w:val="3"/>
        <w:rPr>
          <w:rFonts w:ascii="微软雅黑" w:eastAsia="微软雅黑" w:hAnsi="微软雅黑"/>
          <w:b/>
        </w:rPr>
      </w:pPr>
      <w:bookmarkStart w:id="404" w:name="_Toc524418031"/>
      <w:r w:rsidRPr="00080ABE">
        <w:rPr>
          <w:rFonts w:ascii="微软雅黑" w:eastAsia="微软雅黑" w:hAnsi="微软雅黑" w:hint="eastAsia"/>
          <w:b/>
        </w:rPr>
        <w:t>1.</w:t>
      </w:r>
      <w:r w:rsidR="00EB5288" w:rsidRPr="00080ABE">
        <w:rPr>
          <w:rFonts w:ascii="微软雅黑" w:eastAsia="微软雅黑" w:hAnsi="微软雅黑" w:hint="eastAsia"/>
          <w:b/>
        </w:rPr>
        <w:t>互联网基础资源</w:t>
      </w:r>
      <w:r w:rsidR="009144E9" w:rsidRPr="00080ABE">
        <w:rPr>
          <w:rFonts w:ascii="微软雅黑" w:eastAsia="微软雅黑" w:hAnsi="微软雅黑" w:hint="eastAsia"/>
          <w:b/>
        </w:rPr>
        <w:t>持续</w:t>
      </w:r>
      <w:r w:rsidR="00EB5288" w:rsidRPr="00080ABE">
        <w:rPr>
          <w:rFonts w:ascii="微软雅黑" w:eastAsia="微软雅黑" w:hAnsi="微软雅黑" w:hint="eastAsia"/>
          <w:b/>
        </w:rPr>
        <w:t>增加</w:t>
      </w:r>
      <w:bookmarkEnd w:id="404"/>
    </w:p>
    <w:p w:rsidR="001A4489" w:rsidRPr="00D13E2E" w:rsidRDefault="000437AB" w:rsidP="00B02130">
      <w:pPr>
        <w:widowControl/>
        <w:spacing w:line="400" w:lineRule="exact"/>
        <w:ind w:firstLineChars="200" w:firstLine="420"/>
        <w:jc w:val="left"/>
        <w:rPr>
          <w:rFonts w:ascii="微软雅黑" w:eastAsia="微软雅黑" w:hAnsi="微软雅黑"/>
          <w:szCs w:val="21"/>
        </w:rPr>
      </w:pPr>
      <w:r w:rsidRPr="00B02130">
        <w:rPr>
          <w:rFonts w:ascii="微软雅黑" w:eastAsia="微软雅黑" w:hAnsi="微软雅黑" w:hint="eastAsia"/>
          <w:szCs w:val="21"/>
        </w:rPr>
        <w:t>2017年，陕西省狠抓通信基础设施建设工作</w:t>
      </w:r>
      <w:r w:rsidR="00B02130" w:rsidRPr="00B02130">
        <w:rPr>
          <w:rFonts w:ascii="微软雅黑" w:eastAsia="微软雅黑" w:hAnsi="微软雅黑" w:hint="eastAsia"/>
          <w:szCs w:val="21"/>
        </w:rPr>
        <w:t>，</w:t>
      </w:r>
      <w:r w:rsidR="00B02130">
        <w:rPr>
          <w:rFonts w:ascii="微软雅黑" w:eastAsia="微软雅黑" w:hAnsi="微软雅黑" w:hint="eastAsia"/>
          <w:szCs w:val="21"/>
        </w:rPr>
        <w:t>制定和实施</w:t>
      </w:r>
      <w:r w:rsidR="00B02130" w:rsidRPr="007B0924">
        <w:rPr>
          <w:rFonts w:ascii="微软雅黑" w:eastAsia="微软雅黑" w:hAnsi="微软雅黑" w:hint="eastAsia"/>
          <w:szCs w:val="21"/>
        </w:rPr>
        <w:t>《陕西省加快通信基础设施建设行动计划》（陕政函[2017]92号）</w:t>
      </w:r>
      <w:r w:rsidR="00B02130">
        <w:rPr>
          <w:rFonts w:ascii="微软雅黑" w:eastAsia="微软雅黑" w:hAnsi="微软雅黑" w:hint="eastAsia"/>
          <w:szCs w:val="21"/>
        </w:rPr>
        <w:t>，确</w:t>
      </w:r>
      <w:r w:rsidR="00B02130" w:rsidRPr="00B02130">
        <w:rPr>
          <w:rFonts w:ascii="微软雅黑" w:eastAsia="微软雅黑" w:hAnsi="微软雅黑" w:hint="eastAsia"/>
          <w:szCs w:val="21"/>
        </w:rPr>
        <w:t>定了“四大工程”、“十项重点任务”，共涉及20多项通信基础设施建设指标，并与各市人民政府签订了责任书，明确了工作要求。</w:t>
      </w:r>
      <w:r w:rsidRPr="00D13E2E">
        <w:rPr>
          <w:rFonts w:ascii="微软雅黑" w:eastAsia="微软雅黑" w:hAnsi="微软雅黑" w:hint="eastAsia"/>
          <w:szCs w:val="21"/>
        </w:rPr>
        <w:t>陕西</w:t>
      </w:r>
      <w:r w:rsidR="001A4489" w:rsidRPr="00D13E2E">
        <w:rPr>
          <w:rFonts w:ascii="微软雅黑" w:eastAsia="微软雅黑" w:hAnsi="微软雅黑" w:hint="eastAsia"/>
          <w:szCs w:val="21"/>
        </w:rPr>
        <w:t>省通管局</w:t>
      </w:r>
      <w:r w:rsidRPr="00D13E2E">
        <w:rPr>
          <w:rFonts w:ascii="微软雅黑" w:eastAsia="微软雅黑" w:hAnsi="微软雅黑" w:hint="eastAsia"/>
          <w:szCs w:val="21"/>
        </w:rPr>
        <w:t>依据省政府行动计划内容，制定了</w:t>
      </w:r>
      <w:r w:rsidR="001A4489" w:rsidRPr="00D13E2E">
        <w:rPr>
          <w:rFonts w:ascii="微软雅黑" w:eastAsia="微软雅黑" w:hAnsi="微软雅黑" w:hint="eastAsia"/>
          <w:szCs w:val="21"/>
        </w:rPr>
        <w:t>详细</w:t>
      </w:r>
      <w:r w:rsidRPr="00D13E2E">
        <w:rPr>
          <w:rFonts w:ascii="微软雅黑" w:eastAsia="微软雅黑" w:hAnsi="微软雅黑" w:hint="eastAsia"/>
          <w:szCs w:val="21"/>
        </w:rPr>
        <w:t>实施方案，细化了</w:t>
      </w:r>
      <w:r w:rsidR="001A4489" w:rsidRPr="00D13E2E">
        <w:rPr>
          <w:rFonts w:ascii="微软雅黑" w:eastAsia="微软雅黑" w:hAnsi="微软雅黑" w:hint="eastAsia"/>
          <w:szCs w:val="21"/>
        </w:rPr>
        <w:t>具体</w:t>
      </w:r>
      <w:r w:rsidRPr="00D13E2E">
        <w:rPr>
          <w:rFonts w:ascii="微软雅黑" w:eastAsia="微软雅黑" w:hAnsi="微软雅黑" w:hint="eastAsia"/>
          <w:szCs w:val="21"/>
        </w:rPr>
        <w:t>工作措施，并将建设任务分解至各电信运营企业，夯实了责任和目标。通过政府</w:t>
      </w:r>
      <w:r w:rsidR="001A4489" w:rsidRPr="00D13E2E">
        <w:rPr>
          <w:rFonts w:ascii="微软雅黑" w:eastAsia="微软雅黑" w:hAnsi="微软雅黑" w:hint="eastAsia"/>
          <w:szCs w:val="21"/>
        </w:rPr>
        <w:t>、</w:t>
      </w:r>
      <w:r w:rsidRPr="00D13E2E">
        <w:rPr>
          <w:rFonts w:ascii="微软雅黑" w:eastAsia="微软雅黑" w:hAnsi="微软雅黑" w:hint="eastAsia"/>
          <w:szCs w:val="21"/>
        </w:rPr>
        <w:t>企业</w:t>
      </w:r>
      <w:r w:rsidR="001A4489" w:rsidRPr="00D13E2E">
        <w:rPr>
          <w:rFonts w:ascii="微软雅黑" w:eastAsia="微软雅黑" w:hAnsi="微软雅黑" w:hint="eastAsia"/>
          <w:szCs w:val="21"/>
        </w:rPr>
        <w:t>的</w:t>
      </w:r>
      <w:r w:rsidRPr="00D13E2E">
        <w:rPr>
          <w:rFonts w:ascii="微软雅黑" w:eastAsia="微软雅黑" w:hAnsi="微软雅黑" w:hint="eastAsia"/>
          <w:szCs w:val="21"/>
        </w:rPr>
        <w:t>共同参与</w:t>
      </w:r>
      <w:r w:rsidR="001A4489" w:rsidRPr="00D13E2E">
        <w:rPr>
          <w:rFonts w:ascii="微软雅黑" w:eastAsia="微软雅黑" w:hAnsi="微软雅黑" w:hint="eastAsia"/>
          <w:szCs w:val="21"/>
        </w:rPr>
        <w:t>和</w:t>
      </w:r>
      <w:r w:rsidRPr="00D13E2E">
        <w:rPr>
          <w:rFonts w:ascii="微软雅黑" w:eastAsia="微软雅黑" w:hAnsi="微软雅黑" w:hint="eastAsia"/>
          <w:szCs w:val="21"/>
        </w:rPr>
        <w:t>分头推进，</w:t>
      </w:r>
      <w:r w:rsidR="001A4489" w:rsidRPr="00D13E2E">
        <w:rPr>
          <w:rFonts w:ascii="微软雅黑" w:eastAsia="微软雅黑" w:hAnsi="微软雅黑" w:hint="eastAsia"/>
          <w:szCs w:val="21"/>
        </w:rPr>
        <w:t>到</w:t>
      </w:r>
      <w:r w:rsidRPr="00D13E2E">
        <w:rPr>
          <w:rFonts w:ascii="微软雅黑" w:eastAsia="微软雅黑" w:hAnsi="微软雅黑" w:hint="eastAsia"/>
          <w:szCs w:val="21"/>
        </w:rPr>
        <w:t>2017年底，</w:t>
      </w:r>
      <w:r w:rsidR="001A4489" w:rsidRPr="00D13E2E">
        <w:rPr>
          <w:rFonts w:ascii="微软雅黑" w:eastAsia="微软雅黑" w:hAnsi="微软雅黑" w:hint="eastAsia"/>
          <w:szCs w:val="21"/>
        </w:rPr>
        <w:t>全省</w:t>
      </w:r>
      <w:r w:rsidRPr="00D13E2E">
        <w:rPr>
          <w:rFonts w:ascii="微软雅黑" w:eastAsia="微软雅黑" w:hAnsi="微软雅黑" w:hint="eastAsia"/>
          <w:szCs w:val="21"/>
        </w:rPr>
        <w:t>通信基础设施建设行动计划确定的20多项目标</w:t>
      </w:r>
      <w:r w:rsidR="001A4489" w:rsidRPr="00D13E2E">
        <w:rPr>
          <w:rFonts w:ascii="微软雅黑" w:eastAsia="微软雅黑" w:hAnsi="微软雅黑" w:hint="eastAsia"/>
          <w:szCs w:val="21"/>
        </w:rPr>
        <w:t>均已</w:t>
      </w:r>
      <w:r w:rsidRPr="00D13E2E">
        <w:rPr>
          <w:rFonts w:ascii="微软雅黑" w:eastAsia="微软雅黑" w:hAnsi="微软雅黑" w:hint="eastAsia"/>
          <w:szCs w:val="21"/>
        </w:rPr>
        <w:t>全部完成，全省通信网络规模和能力显著提升。</w:t>
      </w:r>
    </w:p>
    <w:p w:rsidR="000437AB" w:rsidRPr="00D13E2E" w:rsidRDefault="00D13E2E" w:rsidP="00D13E2E">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截至</w:t>
      </w:r>
      <w:r w:rsidR="00B02130" w:rsidRPr="00D13E2E">
        <w:rPr>
          <w:rFonts w:ascii="微软雅黑" w:eastAsia="微软雅黑" w:hAnsi="微软雅黑" w:hint="eastAsia"/>
          <w:szCs w:val="21"/>
        </w:rPr>
        <w:t>2017年</w:t>
      </w:r>
      <w:r>
        <w:rPr>
          <w:rFonts w:ascii="微软雅黑" w:eastAsia="微软雅黑" w:hAnsi="微软雅黑" w:hint="eastAsia"/>
          <w:szCs w:val="21"/>
        </w:rPr>
        <w:t>12月</w:t>
      </w:r>
      <w:r w:rsidR="00B02130" w:rsidRPr="00D13E2E">
        <w:rPr>
          <w:rFonts w:ascii="微软雅黑" w:eastAsia="微软雅黑" w:hAnsi="微软雅黑" w:hint="eastAsia"/>
          <w:szCs w:val="21"/>
        </w:rPr>
        <w:t>，陕西省新增光缆线路19.1万公里，累计达到108.7万公里；全省</w:t>
      </w:r>
      <w:r w:rsidR="000437AB" w:rsidRPr="00D13E2E">
        <w:rPr>
          <w:rFonts w:ascii="微软雅黑" w:eastAsia="微软雅黑" w:hAnsi="微软雅黑" w:hint="eastAsia"/>
          <w:szCs w:val="21"/>
        </w:rPr>
        <w:t>新增光纤到户端口320.35万个，光纤到户用户数达到770.9万户，</w:t>
      </w:r>
      <w:r w:rsidRPr="009144E9">
        <w:rPr>
          <w:rFonts w:ascii="微软雅黑" w:eastAsia="微软雅黑" w:hAnsi="微软雅黑" w:hint="eastAsia"/>
          <w:szCs w:val="21"/>
        </w:rPr>
        <w:t>光纤到户端口数位列西部省份第2位</w:t>
      </w:r>
      <w:r>
        <w:rPr>
          <w:rFonts w:ascii="微软雅黑" w:eastAsia="微软雅黑" w:hAnsi="微软雅黑" w:hint="eastAsia"/>
          <w:szCs w:val="21"/>
        </w:rPr>
        <w:t>；</w:t>
      </w:r>
      <w:r w:rsidR="000437AB" w:rsidRPr="00D13E2E">
        <w:rPr>
          <w:rFonts w:ascii="微软雅黑" w:eastAsia="微软雅黑" w:hAnsi="微软雅黑" w:hint="eastAsia"/>
          <w:szCs w:val="21"/>
        </w:rPr>
        <w:t>西安骨干直联点完成带宽扩容270G，新增互联网省际出口带宽10T</w:t>
      </w:r>
      <w:r w:rsidRPr="00D13E2E">
        <w:rPr>
          <w:rFonts w:ascii="微软雅黑" w:eastAsia="微软雅黑" w:hAnsi="微软雅黑" w:hint="eastAsia"/>
          <w:szCs w:val="21"/>
        </w:rPr>
        <w:t>，</w:t>
      </w:r>
      <w:r w:rsidR="000437AB" w:rsidRPr="00D13E2E">
        <w:rPr>
          <w:rFonts w:ascii="微软雅黑" w:eastAsia="微软雅黑" w:hAnsi="微软雅黑" w:hint="eastAsia"/>
          <w:szCs w:val="21"/>
        </w:rPr>
        <w:t>互联网省际出口总带宽接近17T</w:t>
      </w:r>
      <w:r w:rsidRPr="00D13E2E">
        <w:rPr>
          <w:rFonts w:ascii="微软雅黑" w:eastAsia="微软雅黑" w:hAnsi="微软雅黑" w:hint="eastAsia"/>
          <w:szCs w:val="21"/>
        </w:rPr>
        <w:t>，较</w:t>
      </w:r>
      <w:r w:rsidR="000437AB" w:rsidRPr="00D13E2E">
        <w:rPr>
          <w:rFonts w:ascii="微软雅黑" w:eastAsia="微软雅黑" w:hAnsi="微软雅黑" w:hint="eastAsia"/>
          <w:szCs w:val="21"/>
        </w:rPr>
        <w:t>2016年</w:t>
      </w:r>
      <w:r w:rsidRPr="00D13E2E">
        <w:rPr>
          <w:rFonts w:ascii="微软雅黑" w:eastAsia="微软雅黑" w:hAnsi="微软雅黑" w:hint="eastAsia"/>
          <w:szCs w:val="21"/>
        </w:rPr>
        <w:t>增长</w:t>
      </w:r>
      <w:r w:rsidR="000437AB" w:rsidRPr="00D13E2E">
        <w:rPr>
          <w:rFonts w:ascii="微软雅黑" w:eastAsia="微软雅黑" w:hAnsi="微软雅黑" w:hint="eastAsia"/>
          <w:szCs w:val="21"/>
        </w:rPr>
        <w:t>75%</w:t>
      </w:r>
      <w:r w:rsidRPr="00D13E2E">
        <w:rPr>
          <w:rFonts w:ascii="微软雅黑" w:eastAsia="微软雅黑" w:hAnsi="微软雅黑" w:hint="eastAsia"/>
          <w:szCs w:val="21"/>
        </w:rPr>
        <w:t>以上；全省</w:t>
      </w:r>
      <w:r w:rsidR="000437AB" w:rsidRPr="00D13E2E">
        <w:rPr>
          <w:rFonts w:ascii="微软雅黑" w:eastAsia="微软雅黑" w:hAnsi="微软雅黑" w:hint="eastAsia"/>
          <w:szCs w:val="21"/>
        </w:rPr>
        <w:t>新增4G基站3.1万个，</w:t>
      </w:r>
      <w:r w:rsidRPr="00D13E2E">
        <w:rPr>
          <w:rFonts w:ascii="微软雅黑" w:eastAsia="微软雅黑" w:hAnsi="微软雅黑" w:hint="eastAsia"/>
          <w:szCs w:val="21"/>
        </w:rPr>
        <w:t>4G用户占移动电话用户总数比例超过70%，移动宽带用户普及率达到94.2%，全国排名第7位</w:t>
      </w:r>
      <w:r>
        <w:rPr>
          <w:rFonts w:ascii="微软雅黑" w:eastAsia="微软雅黑" w:hAnsi="微软雅黑" w:hint="eastAsia"/>
          <w:szCs w:val="21"/>
        </w:rPr>
        <w:t>；</w:t>
      </w:r>
      <w:r w:rsidRPr="00D13E2E">
        <w:rPr>
          <w:rFonts w:ascii="微软雅黑" w:eastAsia="微软雅黑" w:hAnsi="微软雅黑" w:hint="eastAsia"/>
          <w:szCs w:val="21"/>
        </w:rPr>
        <w:t>全省</w:t>
      </w:r>
      <w:r w:rsidR="000437AB" w:rsidRPr="00D13E2E">
        <w:rPr>
          <w:rFonts w:ascii="微软雅黑" w:eastAsia="微软雅黑" w:hAnsi="微软雅黑" w:hint="eastAsia"/>
          <w:szCs w:val="21"/>
        </w:rPr>
        <w:t>固定宽带下载速率达到18.99</w:t>
      </w:r>
      <w:r w:rsidR="000437AB" w:rsidRPr="00D13E2E">
        <w:rPr>
          <w:rFonts w:ascii="微软雅黑" w:eastAsia="微软雅黑" w:hAnsi="微软雅黑"/>
          <w:szCs w:val="21"/>
        </w:rPr>
        <w:t xml:space="preserve"> Mbit/s</w:t>
      </w:r>
      <w:r w:rsidR="000437AB" w:rsidRPr="00D13E2E">
        <w:rPr>
          <w:rFonts w:ascii="微软雅黑" w:eastAsia="微软雅黑" w:hAnsi="微软雅黑" w:hint="eastAsia"/>
          <w:szCs w:val="21"/>
        </w:rPr>
        <w:t>，同比提升了65.6%</w:t>
      </w:r>
      <w:r w:rsidR="001A4489" w:rsidRPr="00D13E2E">
        <w:rPr>
          <w:rFonts w:ascii="微软雅黑" w:eastAsia="微软雅黑" w:hAnsi="微软雅黑" w:hint="eastAsia"/>
          <w:szCs w:val="21"/>
        </w:rPr>
        <w:t>；</w:t>
      </w:r>
      <w:r w:rsidR="000437AB" w:rsidRPr="00D13E2E">
        <w:rPr>
          <w:rFonts w:ascii="微软雅黑" w:eastAsia="微软雅黑" w:hAnsi="微软雅黑" w:hint="eastAsia"/>
          <w:szCs w:val="21"/>
        </w:rPr>
        <w:t>4G网络</w:t>
      </w:r>
      <w:r w:rsidR="000437AB" w:rsidRPr="00D13E2E">
        <w:rPr>
          <w:rFonts w:ascii="微软雅黑" w:eastAsia="微软雅黑" w:hAnsi="微软雅黑"/>
          <w:szCs w:val="21"/>
        </w:rPr>
        <w:t>访问互联网时的平均下载速率为17.65Mbit/s</w:t>
      </w:r>
      <w:r w:rsidR="000437AB" w:rsidRPr="00D13E2E">
        <w:rPr>
          <w:rFonts w:ascii="微软雅黑" w:eastAsia="微软雅黑" w:hAnsi="微软雅黑" w:hint="eastAsia"/>
          <w:szCs w:val="21"/>
        </w:rPr>
        <w:t>，较2016年底增幅近50%。</w:t>
      </w:r>
    </w:p>
    <w:p w:rsidR="000437AB" w:rsidRPr="00D13E2E" w:rsidRDefault="00D13E2E" w:rsidP="00D13E2E">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2017年，</w:t>
      </w:r>
      <w:r w:rsidR="001A4489" w:rsidRPr="00D13E2E">
        <w:rPr>
          <w:rFonts w:ascii="微软雅黑" w:eastAsia="微软雅黑" w:hAnsi="微软雅黑" w:hint="eastAsia"/>
          <w:szCs w:val="21"/>
        </w:rPr>
        <w:t>陕西省</w:t>
      </w:r>
      <w:r w:rsidRPr="00D13E2E">
        <w:rPr>
          <w:rFonts w:ascii="微软雅黑" w:eastAsia="微软雅黑" w:hAnsi="微软雅黑" w:hint="eastAsia"/>
          <w:szCs w:val="21"/>
        </w:rPr>
        <w:t>还</w:t>
      </w:r>
      <w:r w:rsidR="000437AB" w:rsidRPr="00D13E2E">
        <w:rPr>
          <w:rFonts w:ascii="微软雅黑" w:eastAsia="微软雅黑" w:hAnsi="微软雅黑" w:hint="eastAsia"/>
          <w:szCs w:val="21"/>
        </w:rPr>
        <w:t>深入推进农村电信普遍服务试点项目，</w:t>
      </w:r>
      <w:r w:rsidRPr="00D13E2E">
        <w:rPr>
          <w:rFonts w:ascii="微软雅黑" w:eastAsia="微软雅黑" w:hAnsi="微软雅黑" w:hint="eastAsia"/>
          <w:szCs w:val="21"/>
        </w:rPr>
        <w:t>并</w:t>
      </w:r>
      <w:r w:rsidR="000437AB" w:rsidRPr="00D13E2E">
        <w:rPr>
          <w:rFonts w:ascii="微软雅黑" w:eastAsia="微软雅黑" w:hAnsi="微软雅黑" w:hint="eastAsia"/>
          <w:szCs w:val="21"/>
        </w:rPr>
        <w:t>全面完成了前两批</w:t>
      </w:r>
      <w:r w:rsidRPr="00D13E2E">
        <w:rPr>
          <w:rFonts w:ascii="微软雅黑" w:eastAsia="微软雅黑" w:hAnsi="微软雅黑" w:hint="eastAsia"/>
          <w:szCs w:val="21"/>
        </w:rPr>
        <w:t>次</w:t>
      </w:r>
      <w:r w:rsidR="000437AB" w:rsidRPr="00D13E2E">
        <w:rPr>
          <w:rFonts w:ascii="微软雅黑" w:eastAsia="微软雅黑" w:hAnsi="微软雅黑" w:hint="eastAsia"/>
          <w:szCs w:val="21"/>
        </w:rPr>
        <w:t>共计10636个行政村的光纤网络建设任务（含建档立卡贫困村3476个）</w:t>
      </w:r>
      <w:r w:rsidR="001A4489" w:rsidRPr="00D13E2E">
        <w:rPr>
          <w:rFonts w:ascii="微软雅黑" w:eastAsia="微软雅黑" w:hAnsi="微软雅黑" w:hint="eastAsia"/>
          <w:szCs w:val="21"/>
        </w:rPr>
        <w:t>。截至</w:t>
      </w:r>
      <w:r w:rsidR="000437AB" w:rsidRPr="00D13E2E">
        <w:rPr>
          <w:rFonts w:ascii="微软雅黑" w:eastAsia="微软雅黑" w:hAnsi="微软雅黑" w:hint="eastAsia"/>
          <w:szCs w:val="21"/>
        </w:rPr>
        <w:t>2017年底</w:t>
      </w:r>
      <w:r w:rsidR="001A4489" w:rsidRPr="00D13E2E">
        <w:rPr>
          <w:rFonts w:ascii="微软雅黑" w:eastAsia="微软雅黑" w:hAnsi="微软雅黑" w:hint="eastAsia"/>
          <w:szCs w:val="21"/>
        </w:rPr>
        <w:t>，</w:t>
      </w:r>
      <w:r w:rsidR="000437AB" w:rsidRPr="00D13E2E">
        <w:rPr>
          <w:rFonts w:ascii="微软雅黑" w:eastAsia="微软雅黑" w:hAnsi="微软雅黑" w:hint="eastAsia"/>
          <w:szCs w:val="21"/>
        </w:rPr>
        <w:t>全省行政村光纤覆盖率达到95%以上，农村信息化水平显著提升</w:t>
      </w:r>
      <w:r w:rsidR="001A4489" w:rsidRPr="00D13E2E">
        <w:rPr>
          <w:rFonts w:ascii="微软雅黑" w:eastAsia="微软雅黑" w:hAnsi="微软雅黑" w:hint="eastAsia"/>
          <w:szCs w:val="21"/>
        </w:rPr>
        <w:t>；</w:t>
      </w:r>
      <w:r w:rsidR="000437AB" w:rsidRPr="00D13E2E">
        <w:rPr>
          <w:rFonts w:ascii="微软雅黑" w:eastAsia="微软雅黑" w:hAnsi="微软雅黑" w:hint="eastAsia"/>
          <w:szCs w:val="21"/>
        </w:rPr>
        <w:t>农村宽带用户数较2016年底净增了75.6万户，增长率达到40.2%，高出全省宽带用户增长率14.2个百分点。</w:t>
      </w:r>
    </w:p>
    <w:p w:rsidR="008F402C" w:rsidRPr="00702B7B" w:rsidRDefault="00080ABE" w:rsidP="00702B7B">
      <w:pPr>
        <w:spacing w:line="400" w:lineRule="exact"/>
        <w:outlineLvl w:val="3"/>
        <w:rPr>
          <w:rFonts w:ascii="微软雅黑" w:eastAsia="微软雅黑" w:hAnsi="微软雅黑"/>
          <w:b/>
        </w:rPr>
      </w:pPr>
      <w:bookmarkStart w:id="405" w:name="_Toc524418032"/>
      <w:r w:rsidRPr="00702B7B">
        <w:rPr>
          <w:rFonts w:ascii="微软雅黑" w:eastAsia="微软雅黑" w:hAnsi="微软雅黑" w:hint="eastAsia"/>
          <w:b/>
        </w:rPr>
        <w:t>2.</w:t>
      </w:r>
      <w:r w:rsidR="006E6D00" w:rsidRPr="00702B7B">
        <w:rPr>
          <w:rFonts w:ascii="微软雅黑" w:eastAsia="微软雅黑" w:hAnsi="微软雅黑" w:hint="eastAsia"/>
          <w:b/>
        </w:rPr>
        <w:t>移动互联网</w:t>
      </w:r>
      <w:r w:rsidR="00C7769E">
        <w:rPr>
          <w:rFonts w:ascii="微软雅黑" w:eastAsia="微软雅黑" w:hAnsi="微软雅黑" w:hint="eastAsia"/>
          <w:b/>
        </w:rPr>
        <w:t>及网络</w:t>
      </w:r>
      <w:r w:rsidR="006E6D00" w:rsidRPr="00702B7B">
        <w:rPr>
          <w:rFonts w:ascii="微软雅黑" w:eastAsia="微软雅黑" w:hAnsi="微软雅黑" w:hint="eastAsia"/>
          <w:b/>
        </w:rPr>
        <w:t>应用</w:t>
      </w:r>
      <w:r w:rsidR="00EB5288" w:rsidRPr="00702B7B">
        <w:rPr>
          <w:rFonts w:ascii="微软雅黑" w:eastAsia="微软雅黑" w:hAnsi="微软雅黑" w:hint="eastAsia"/>
          <w:b/>
        </w:rPr>
        <w:t>快速增长</w:t>
      </w:r>
      <w:bookmarkEnd w:id="405"/>
    </w:p>
    <w:p w:rsidR="00702B7B" w:rsidRDefault="006E6D00" w:rsidP="00EB5288">
      <w:pPr>
        <w:widowControl/>
        <w:spacing w:line="400" w:lineRule="exact"/>
        <w:ind w:firstLineChars="200" w:firstLine="420"/>
        <w:jc w:val="left"/>
        <w:rPr>
          <w:rFonts w:ascii="微软雅黑" w:eastAsia="微软雅黑" w:hAnsi="微软雅黑"/>
          <w:szCs w:val="21"/>
        </w:rPr>
      </w:pPr>
      <w:r w:rsidRPr="00702B7B">
        <w:rPr>
          <w:rFonts w:ascii="微软雅黑" w:eastAsia="微软雅黑" w:hAnsi="微软雅黑" w:hint="eastAsia"/>
          <w:szCs w:val="21"/>
        </w:rPr>
        <w:t>2017年，陕西省大力推进</w:t>
      </w:r>
      <w:r w:rsidRPr="00B02130">
        <w:rPr>
          <w:rFonts w:ascii="微软雅黑" w:eastAsia="微软雅黑" w:hAnsi="微软雅黑" w:hint="eastAsia"/>
          <w:szCs w:val="21"/>
        </w:rPr>
        <w:t>通信基础设施建设</w:t>
      </w:r>
      <w:r>
        <w:rPr>
          <w:rFonts w:ascii="微软雅黑" w:eastAsia="微软雅黑" w:hAnsi="微软雅黑" w:hint="eastAsia"/>
          <w:szCs w:val="21"/>
        </w:rPr>
        <w:t>，全省</w:t>
      </w:r>
      <w:r w:rsidR="007609C5">
        <w:rPr>
          <w:rFonts w:ascii="微软雅黑" w:eastAsia="微软雅黑" w:hAnsi="微软雅黑" w:hint="eastAsia"/>
          <w:szCs w:val="21"/>
        </w:rPr>
        <w:t>4G和</w:t>
      </w:r>
      <w:r w:rsidRPr="00702B7B">
        <w:rPr>
          <w:rFonts w:ascii="微软雅黑" w:eastAsia="微软雅黑" w:hAnsi="微软雅黑" w:hint="eastAsia"/>
          <w:szCs w:val="21"/>
        </w:rPr>
        <w:t>移动宽带用户</w:t>
      </w:r>
      <w:r w:rsidR="007609C5">
        <w:rPr>
          <w:rFonts w:ascii="微软雅黑" w:eastAsia="微软雅黑" w:hAnsi="微软雅黑" w:hint="eastAsia"/>
          <w:szCs w:val="21"/>
        </w:rPr>
        <w:t>进一步增加。</w:t>
      </w:r>
      <w:r w:rsidRPr="00702B7B">
        <w:rPr>
          <w:rFonts w:ascii="微软雅黑" w:eastAsia="微软雅黑" w:hAnsi="微软雅黑" w:hint="eastAsia"/>
          <w:szCs w:val="21"/>
        </w:rPr>
        <w:t>截至2017年底，</w:t>
      </w:r>
      <w:r w:rsidR="00904B69">
        <w:rPr>
          <w:rFonts w:ascii="微软雅黑" w:eastAsia="微软雅黑" w:hAnsi="微软雅黑" w:hint="eastAsia"/>
          <w:szCs w:val="21"/>
        </w:rPr>
        <w:t>全省4G用户到达3169.6万户，较2016年增长27.0%</w:t>
      </w:r>
      <w:r w:rsidR="007609C5">
        <w:rPr>
          <w:rFonts w:ascii="微软雅黑" w:eastAsia="微软雅黑" w:hAnsi="微软雅黑" w:hint="eastAsia"/>
          <w:szCs w:val="21"/>
        </w:rPr>
        <w:t>，全省移动宽带</w:t>
      </w:r>
      <w:r w:rsidR="007609C5" w:rsidRPr="00702B7B">
        <w:rPr>
          <w:rFonts w:ascii="微软雅黑" w:eastAsia="微软雅黑" w:hAnsi="微软雅黑" w:hint="eastAsia"/>
          <w:szCs w:val="21"/>
        </w:rPr>
        <w:t>普及率也进一步提升</w:t>
      </w:r>
      <w:r w:rsidR="007609C5">
        <w:rPr>
          <w:rFonts w:ascii="微软雅黑" w:eastAsia="微软雅黑" w:hAnsi="微软雅黑" w:hint="eastAsia"/>
          <w:szCs w:val="21"/>
        </w:rPr>
        <w:t>至94.2%。</w:t>
      </w:r>
      <w:r w:rsidR="00D055BE">
        <w:rPr>
          <w:rFonts w:ascii="微软雅黑" w:eastAsia="微软雅黑" w:hAnsi="微软雅黑" w:hint="eastAsia"/>
          <w:szCs w:val="21"/>
        </w:rPr>
        <w:t>以常住人口为基数计算，陕西</w:t>
      </w:r>
      <w:r w:rsidR="00904B69">
        <w:rPr>
          <w:rFonts w:ascii="微软雅黑" w:eastAsia="微软雅黑" w:hAnsi="微软雅黑" w:hint="eastAsia"/>
          <w:szCs w:val="21"/>
        </w:rPr>
        <w:t>省</w:t>
      </w:r>
      <w:r w:rsidR="00904B69" w:rsidRPr="00904B69">
        <w:rPr>
          <w:rFonts w:ascii="微软雅黑" w:eastAsia="微软雅黑" w:hAnsi="微软雅黑" w:hint="eastAsia"/>
          <w:szCs w:val="21"/>
        </w:rPr>
        <w:t>4G用户</w:t>
      </w:r>
      <w:r w:rsidR="00904B69">
        <w:rPr>
          <w:rFonts w:ascii="微软雅黑" w:eastAsia="微软雅黑" w:hAnsi="微软雅黑" w:hint="eastAsia"/>
          <w:szCs w:val="21"/>
        </w:rPr>
        <w:t>总量</w:t>
      </w:r>
      <w:r w:rsidR="00904B69" w:rsidRPr="00904B69">
        <w:rPr>
          <w:rFonts w:ascii="微软雅黑" w:eastAsia="微软雅黑" w:hAnsi="微软雅黑" w:hint="eastAsia"/>
          <w:szCs w:val="21"/>
        </w:rPr>
        <w:t>占</w:t>
      </w:r>
      <w:r w:rsidR="00904B69" w:rsidRPr="00D055BE">
        <w:rPr>
          <w:rFonts w:ascii="微软雅黑" w:eastAsia="微软雅黑" w:hAnsi="微软雅黑" w:hint="eastAsia"/>
          <w:szCs w:val="21"/>
        </w:rPr>
        <w:t>常住人口的比重已超过80%。</w:t>
      </w:r>
    </w:p>
    <w:p w:rsidR="0079497E" w:rsidRDefault="0079497E" w:rsidP="00C7769E">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陕西省拥有</w:t>
      </w:r>
      <w:r w:rsidR="00EB61A7">
        <w:rPr>
          <w:rFonts w:ascii="微软雅黑" w:eastAsia="微软雅黑" w:hAnsi="微软雅黑" w:hint="eastAsia"/>
          <w:szCs w:val="21"/>
        </w:rPr>
        <w:t>较高的移动宽带普及率，</w:t>
      </w:r>
      <w:r>
        <w:rPr>
          <w:rFonts w:ascii="微软雅黑" w:eastAsia="微软雅黑" w:hAnsi="微软雅黑" w:hint="eastAsia"/>
          <w:szCs w:val="21"/>
        </w:rPr>
        <w:t>使得全省</w:t>
      </w:r>
      <w:r w:rsidR="00EB61A7">
        <w:rPr>
          <w:rFonts w:ascii="微软雅黑" w:eastAsia="微软雅黑" w:hAnsi="微软雅黑" w:hint="eastAsia"/>
          <w:szCs w:val="21"/>
        </w:rPr>
        <w:t>网民移动互联网应用</w:t>
      </w:r>
      <w:r>
        <w:rPr>
          <w:rFonts w:ascii="微软雅黑" w:eastAsia="微软雅黑" w:hAnsi="微软雅黑" w:hint="eastAsia"/>
          <w:szCs w:val="21"/>
        </w:rPr>
        <w:t>也</w:t>
      </w:r>
      <w:r w:rsidR="00EB61A7">
        <w:rPr>
          <w:rFonts w:ascii="微软雅黑" w:eastAsia="微软雅黑" w:hAnsi="微软雅黑" w:hint="eastAsia"/>
          <w:szCs w:val="21"/>
        </w:rPr>
        <w:t>更加活跃。截至2017年12月，</w:t>
      </w:r>
      <w:r w:rsidR="00EB61A7" w:rsidRPr="009D423B">
        <w:rPr>
          <w:rFonts w:ascii="微软雅黑" w:eastAsia="微软雅黑" w:hAnsi="微软雅黑" w:hint="eastAsia"/>
          <w:szCs w:val="21"/>
        </w:rPr>
        <w:t>陕西省网民使用</w:t>
      </w:r>
      <w:r w:rsidR="00EB61A7">
        <w:rPr>
          <w:rFonts w:ascii="微软雅黑" w:eastAsia="微软雅黑" w:hAnsi="微软雅黑" w:hint="eastAsia"/>
          <w:szCs w:val="21"/>
        </w:rPr>
        <w:t>的</w:t>
      </w:r>
      <w:r w:rsidR="00EB61A7" w:rsidRPr="009D423B">
        <w:rPr>
          <w:rFonts w:ascii="微软雅黑" w:eastAsia="微软雅黑" w:hAnsi="微软雅黑" w:hint="eastAsia"/>
          <w:szCs w:val="21"/>
        </w:rPr>
        <w:t>移动端月独立设备数量</w:t>
      </w:r>
      <w:r>
        <w:rPr>
          <w:rFonts w:ascii="微软雅黑" w:eastAsia="微软雅黑" w:hAnsi="微软雅黑" w:hint="eastAsia"/>
          <w:szCs w:val="21"/>
        </w:rPr>
        <w:t>突破3700万台大关，达到3717.8万台，较2016年增长13.5%。总体来看，</w:t>
      </w:r>
      <w:r w:rsidR="00C7769E">
        <w:rPr>
          <w:rFonts w:ascii="微软雅黑" w:eastAsia="微软雅黑" w:hAnsi="微软雅黑" w:hint="eastAsia"/>
          <w:szCs w:val="21"/>
        </w:rPr>
        <w:t>与2016年相比，2017年陕西省用户在移动端的各项人均指标呈持平或</w:t>
      </w:r>
      <w:r>
        <w:rPr>
          <w:rFonts w:ascii="微软雅黑" w:eastAsia="微软雅黑" w:hAnsi="微软雅黑" w:hint="eastAsia"/>
          <w:szCs w:val="21"/>
        </w:rPr>
        <w:t>小幅提升</w:t>
      </w:r>
      <w:r w:rsidR="00C7769E">
        <w:rPr>
          <w:rFonts w:ascii="微软雅黑" w:eastAsia="微软雅黑" w:hAnsi="微软雅黑" w:hint="eastAsia"/>
          <w:szCs w:val="21"/>
        </w:rPr>
        <w:t>趋势</w:t>
      </w:r>
      <w:r>
        <w:rPr>
          <w:rFonts w:ascii="微软雅黑" w:eastAsia="微软雅黑" w:hAnsi="微软雅黑" w:hint="eastAsia"/>
          <w:szCs w:val="21"/>
        </w:rPr>
        <w:t>，</w:t>
      </w:r>
      <w:r w:rsidR="00C7769E">
        <w:rPr>
          <w:rFonts w:ascii="微软雅黑" w:eastAsia="微软雅黑" w:hAnsi="微软雅黑" w:hint="eastAsia"/>
          <w:szCs w:val="21"/>
        </w:rPr>
        <w:t>这表明网民在移动端的使用粘性仍在进一步增强。</w:t>
      </w:r>
    </w:p>
    <w:p w:rsidR="00EB5288" w:rsidRPr="00080ABE" w:rsidRDefault="00080ABE" w:rsidP="00080ABE">
      <w:pPr>
        <w:spacing w:line="400" w:lineRule="exact"/>
        <w:outlineLvl w:val="3"/>
        <w:rPr>
          <w:rFonts w:ascii="微软雅黑" w:eastAsia="微软雅黑" w:hAnsi="微软雅黑"/>
          <w:b/>
        </w:rPr>
      </w:pPr>
      <w:bookmarkStart w:id="406" w:name="_Toc524418033"/>
      <w:r w:rsidRPr="00080ABE">
        <w:rPr>
          <w:rFonts w:ascii="微软雅黑" w:eastAsia="微软雅黑" w:hAnsi="微软雅黑" w:hint="eastAsia"/>
          <w:b/>
        </w:rPr>
        <w:t>3.</w:t>
      </w:r>
      <w:r w:rsidR="00EB5288" w:rsidRPr="00080ABE">
        <w:rPr>
          <w:rFonts w:ascii="微软雅黑" w:eastAsia="微软雅黑" w:hAnsi="微软雅黑" w:hint="eastAsia"/>
          <w:b/>
        </w:rPr>
        <w:t>网络安全保障有力</w:t>
      </w:r>
      <w:bookmarkEnd w:id="406"/>
    </w:p>
    <w:p w:rsidR="00E24733" w:rsidRDefault="0050355B" w:rsidP="00EB5288">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2017年</w:t>
      </w:r>
      <w:r w:rsidR="00EB5288">
        <w:rPr>
          <w:rFonts w:ascii="微软雅黑" w:eastAsia="微软雅黑" w:hAnsi="微软雅黑" w:hint="eastAsia"/>
          <w:szCs w:val="21"/>
        </w:rPr>
        <w:t>，陕西省</w:t>
      </w:r>
      <w:r w:rsidR="00EB5288" w:rsidRPr="009D423B">
        <w:rPr>
          <w:rFonts w:ascii="微软雅黑" w:eastAsia="微软雅黑" w:hAnsi="微软雅黑" w:hint="eastAsia"/>
          <w:szCs w:val="21"/>
        </w:rPr>
        <w:t>互联网基础设施</w:t>
      </w:r>
      <w:r w:rsidR="00E24733">
        <w:rPr>
          <w:rFonts w:ascii="微软雅黑" w:eastAsia="微软雅黑" w:hAnsi="微软雅黑" w:hint="eastAsia"/>
          <w:szCs w:val="21"/>
        </w:rPr>
        <w:t>整体</w:t>
      </w:r>
      <w:r w:rsidR="00EB5288" w:rsidRPr="009D423B">
        <w:rPr>
          <w:rFonts w:ascii="微软雅黑" w:eastAsia="微软雅黑" w:hAnsi="微软雅黑" w:hint="eastAsia"/>
          <w:szCs w:val="21"/>
        </w:rPr>
        <w:t>运行平稳</w:t>
      </w:r>
      <w:r w:rsidR="0087099E">
        <w:rPr>
          <w:rFonts w:ascii="微软雅黑" w:eastAsia="微软雅黑" w:hAnsi="微软雅黑" w:hint="eastAsia"/>
          <w:szCs w:val="21"/>
        </w:rPr>
        <w:t>，</w:t>
      </w:r>
      <w:r w:rsidR="00225C92">
        <w:rPr>
          <w:rFonts w:ascii="微软雅黑" w:eastAsia="微软雅黑" w:hAnsi="微软雅黑" w:hint="eastAsia"/>
          <w:szCs w:val="21"/>
        </w:rPr>
        <w:t>全</w:t>
      </w:r>
      <w:r w:rsidR="00061B01">
        <w:rPr>
          <w:rFonts w:ascii="微软雅黑" w:eastAsia="微软雅黑" w:hAnsi="微软雅黑" w:hint="eastAsia"/>
          <w:szCs w:val="21"/>
        </w:rPr>
        <w:t>省木马和僵尸网络事件、飞客蠕虫事件、</w:t>
      </w:r>
      <w:r w:rsidR="00813641">
        <w:rPr>
          <w:rFonts w:ascii="微软雅黑" w:eastAsia="微软雅黑" w:hAnsi="微软雅黑" w:hint="eastAsia"/>
          <w:szCs w:val="21"/>
        </w:rPr>
        <w:t>网站</w:t>
      </w:r>
      <w:r w:rsidR="00061B01">
        <w:rPr>
          <w:rFonts w:ascii="微软雅黑" w:eastAsia="微软雅黑" w:hAnsi="微软雅黑" w:hint="eastAsia"/>
          <w:szCs w:val="21"/>
        </w:rPr>
        <w:t>篡改</w:t>
      </w:r>
      <w:r w:rsidR="00813641">
        <w:rPr>
          <w:rFonts w:ascii="微软雅黑" w:eastAsia="微软雅黑" w:hAnsi="微软雅黑" w:hint="eastAsia"/>
          <w:szCs w:val="21"/>
        </w:rPr>
        <w:t>事件</w:t>
      </w:r>
      <w:r w:rsidR="00061B01">
        <w:rPr>
          <w:rFonts w:ascii="微软雅黑" w:eastAsia="微软雅黑" w:hAnsi="微软雅黑" w:hint="eastAsia"/>
          <w:szCs w:val="21"/>
        </w:rPr>
        <w:t>、网站后门事件等数量均有</w:t>
      </w:r>
      <w:r w:rsidR="00E24733">
        <w:rPr>
          <w:rFonts w:ascii="微软雅黑" w:eastAsia="微软雅黑" w:hAnsi="微软雅黑" w:hint="eastAsia"/>
          <w:szCs w:val="21"/>
        </w:rPr>
        <w:t>一定</w:t>
      </w:r>
      <w:r w:rsidR="00061B01">
        <w:rPr>
          <w:rFonts w:ascii="微软雅黑" w:eastAsia="微软雅黑" w:hAnsi="微软雅黑" w:hint="eastAsia"/>
          <w:szCs w:val="21"/>
        </w:rPr>
        <w:t>程度的减少</w:t>
      </w:r>
      <w:r w:rsidR="00E24733">
        <w:rPr>
          <w:rFonts w:ascii="微软雅黑" w:eastAsia="微软雅黑" w:hAnsi="微软雅黑" w:hint="eastAsia"/>
          <w:szCs w:val="21"/>
        </w:rPr>
        <w:t>，</w:t>
      </w:r>
      <w:r w:rsidR="00B02130">
        <w:rPr>
          <w:rFonts w:ascii="微软雅黑" w:eastAsia="微软雅黑" w:hAnsi="微软雅黑" w:hint="eastAsia"/>
          <w:szCs w:val="21"/>
        </w:rPr>
        <w:t>全省网络安全环境得到的进一步改善</w:t>
      </w:r>
      <w:r w:rsidR="00E24733">
        <w:rPr>
          <w:rFonts w:ascii="微软雅黑" w:eastAsia="微软雅黑" w:hAnsi="微软雅黑" w:hint="eastAsia"/>
          <w:szCs w:val="21"/>
        </w:rPr>
        <w:t>，</w:t>
      </w:r>
      <w:r w:rsidR="002943B4" w:rsidRPr="002943B4">
        <w:rPr>
          <w:rFonts w:ascii="微软雅黑" w:eastAsia="微软雅黑" w:hAnsi="微软雅黑" w:hint="eastAsia"/>
          <w:szCs w:val="21"/>
        </w:rPr>
        <w:t>网络空间安全整体可控。</w:t>
      </w:r>
    </w:p>
    <w:p w:rsidR="00E536CB" w:rsidRPr="00E536CB" w:rsidRDefault="0039181A" w:rsidP="00E536CB">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2017年，陕西省在反诈骗领域也做了大量工作。</w:t>
      </w:r>
      <w:r w:rsidR="00E536CB">
        <w:rPr>
          <w:rFonts w:ascii="微软雅黑" w:eastAsia="微软雅黑" w:hAnsi="微软雅黑" w:hint="eastAsia"/>
          <w:szCs w:val="21"/>
        </w:rPr>
        <w:t>陕西省</w:t>
      </w:r>
      <w:r w:rsidRPr="00E536CB">
        <w:rPr>
          <w:rFonts w:ascii="微软雅黑" w:eastAsia="微软雅黑" w:hAnsi="微软雅黑" w:hint="eastAsia"/>
          <w:szCs w:val="21"/>
        </w:rPr>
        <w:t>信息通信业坚决贯彻工信部、省委省政府决策部署，扎实开展通讯信息诈骗源头治理和综合治理，防范打击工作制度和责任体系不断完善，多层次技术防范体系已初步形成。在2017年3月，</w:t>
      </w:r>
      <w:r w:rsidR="00E536CB" w:rsidRPr="00E536CB">
        <w:rPr>
          <w:rFonts w:ascii="微软雅黑" w:eastAsia="微软雅黑" w:hAnsi="微软雅黑" w:hint="eastAsia"/>
          <w:szCs w:val="21"/>
        </w:rPr>
        <w:t>陕西省诈骗电话防范拦截系统项目正式启动。该</w:t>
      </w:r>
      <w:r w:rsidRPr="00E536CB">
        <w:rPr>
          <w:rFonts w:ascii="微软雅黑" w:eastAsia="微软雅黑" w:hAnsi="微软雅黑" w:hint="eastAsia"/>
          <w:szCs w:val="21"/>
        </w:rPr>
        <w:t>项目在综合分析处理陕西电信运营商电信网长途局以及移动网原始信令和移动互联网数据的基础上，实现对诈骗电话的实时检测和阻断能力，并与国家级防范系统、省级公安部门、省级基础电信运营企业、互联网企业等相关单位对接，共享资源、协同联动，形成共享共管共治的诈骗防范体系</w:t>
      </w:r>
      <w:r w:rsidR="00E536CB" w:rsidRPr="00E536CB">
        <w:rPr>
          <w:rFonts w:ascii="微软雅黑" w:eastAsia="微软雅黑" w:hAnsi="微软雅黑" w:hint="eastAsia"/>
          <w:szCs w:val="21"/>
        </w:rPr>
        <w:t>，并于2018年6月15日完成了初步验收，实现了项目的主体功能。自系统上线以来，上线了语音模板库4993个，灰名单号码库924186个，拦截总量为7334955次。</w:t>
      </w:r>
    </w:p>
    <w:p w:rsidR="00225C92" w:rsidRDefault="00E536CB" w:rsidP="0087099E">
      <w:pPr>
        <w:widowControl/>
        <w:spacing w:line="400" w:lineRule="exact"/>
        <w:ind w:firstLineChars="200" w:firstLine="420"/>
        <w:jc w:val="left"/>
        <w:rPr>
          <w:rFonts w:ascii="微软雅黑" w:eastAsia="微软雅黑" w:hAnsi="微软雅黑"/>
          <w:szCs w:val="21"/>
        </w:rPr>
      </w:pPr>
      <w:r w:rsidRPr="00E536CB">
        <w:rPr>
          <w:rFonts w:ascii="微软雅黑" w:eastAsia="微软雅黑" w:hAnsi="微软雅黑" w:hint="eastAsia"/>
          <w:szCs w:val="21"/>
        </w:rPr>
        <w:t>2017年，陕西省</w:t>
      </w:r>
      <w:r w:rsidR="00225C92" w:rsidRPr="00E536CB">
        <w:rPr>
          <w:rFonts w:ascii="微软雅黑" w:eastAsia="微软雅黑" w:hAnsi="微软雅黑" w:hint="eastAsia"/>
          <w:szCs w:val="21"/>
        </w:rPr>
        <w:t>配合工信部全面提升全国诈骗电话防范系统监测防范、综合分析和预警处置能力，紧密跟踪新型诈骗模式手法，及时更新和优化模型策略，充分利用大数据、人工智能等技术进行深度分析，进一步增强诈骗信息防范处置的有效性和精准性，推动诈骗电话防范能力从电信网向互联网延伸覆盖；</w:t>
      </w:r>
      <w:r w:rsidRPr="00E536CB">
        <w:rPr>
          <w:rFonts w:ascii="微软雅黑" w:eastAsia="微软雅黑" w:hAnsi="微软雅黑" w:hint="eastAsia"/>
          <w:szCs w:val="21"/>
        </w:rPr>
        <w:t>同时，</w:t>
      </w:r>
      <w:r w:rsidR="00225C92" w:rsidRPr="00E536CB">
        <w:rPr>
          <w:rFonts w:ascii="微软雅黑" w:eastAsia="微软雅黑" w:hAnsi="微软雅黑" w:hint="eastAsia"/>
          <w:szCs w:val="21"/>
        </w:rPr>
        <w:t>配合工信部完善防范打击通讯信息诈骗资源共享与统一指挥平台，在部省两个层面实现与基础电信企业、互联网企业、公安机关等主体的信息共享和协同联动，分类汇总共享相关码号标记、黑白灰名单、VOIP网关、涉案VOIP账号、策略模型、诈骗类恶意程序及网址链接、涉诈社交媒体账号等信息，充分发挥各单位技术手段作用，进一步提升全行业体系化技术防范水平。</w:t>
      </w:r>
    </w:p>
    <w:p w:rsidR="00EB5288" w:rsidRPr="009D423B" w:rsidRDefault="00EB5288" w:rsidP="00EB5288">
      <w:pPr>
        <w:spacing w:line="360" w:lineRule="auto"/>
        <w:outlineLvl w:val="2"/>
        <w:rPr>
          <w:rFonts w:ascii="微软雅黑" w:eastAsia="微软雅黑" w:hAnsi="微软雅黑"/>
          <w:b/>
        </w:rPr>
      </w:pPr>
      <w:bookmarkStart w:id="407" w:name="_Toc524418034"/>
      <w:r w:rsidRPr="009D423B">
        <w:rPr>
          <w:rFonts w:ascii="微软雅黑" w:eastAsia="微软雅黑" w:hAnsi="微软雅黑" w:hint="eastAsia"/>
          <w:b/>
        </w:rPr>
        <w:t>（三）陕西省互联网发展对策建议</w:t>
      </w:r>
      <w:bookmarkEnd w:id="407"/>
    </w:p>
    <w:p w:rsidR="00080ABE" w:rsidRPr="00226730" w:rsidRDefault="00080ABE" w:rsidP="00226730">
      <w:pPr>
        <w:spacing w:line="400" w:lineRule="exact"/>
        <w:outlineLvl w:val="3"/>
        <w:rPr>
          <w:rFonts w:ascii="微软雅黑" w:eastAsia="微软雅黑" w:hAnsi="微软雅黑"/>
          <w:b/>
        </w:rPr>
      </w:pPr>
      <w:bookmarkStart w:id="408" w:name="_Toc524418035"/>
      <w:r w:rsidRPr="00226730">
        <w:rPr>
          <w:rFonts w:ascii="微软雅黑" w:eastAsia="微软雅黑" w:hAnsi="微软雅黑" w:hint="eastAsia"/>
          <w:b/>
        </w:rPr>
        <w:t>1.进一步</w:t>
      </w:r>
      <w:r w:rsidR="00226730">
        <w:rPr>
          <w:rFonts w:ascii="微软雅黑" w:eastAsia="微软雅黑" w:hAnsi="微软雅黑" w:hint="eastAsia"/>
          <w:b/>
        </w:rPr>
        <w:t>强化</w:t>
      </w:r>
      <w:r w:rsidR="00226730" w:rsidRPr="00226730">
        <w:rPr>
          <w:rFonts w:ascii="微软雅黑" w:eastAsia="微软雅黑" w:hAnsi="微软雅黑" w:hint="eastAsia"/>
          <w:b/>
        </w:rPr>
        <w:t>网络基础设施建设</w:t>
      </w:r>
      <w:bookmarkEnd w:id="408"/>
    </w:p>
    <w:p w:rsidR="005667C7" w:rsidRDefault="00080ABE" w:rsidP="005667C7">
      <w:pPr>
        <w:widowControl/>
        <w:spacing w:line="400" w:lineRule="exact"/>
        <w:ind w:firstLineChars="200" w:firstLine="420"/>
        <w:jc w:val="left"/>
        <w:rPr>
          <w:rFonts w:ascii="微软雅黑" w:eastAsia="微软雅黑" w:hAnsi="微软雅黑"/>
          <w:szCs w:val="21"/>
        </w:rPr>
      </w:pPr>
      <w:r w:rsidRPr="00226730">
        <w:rPr>
          <w:rFonts w:ascii="微软雅黑" w:eastAsia="微软雅黑" w:hAnsi="微软雅黑" w:hint="eastAsia"/>
          <w:szCs w:val="21"/>
        </w:rPr>
        <w:t>网络基础设施作为当今社会的关键基础设施，对促进经济转型升级、社会进步、民生改善具有重要支撑作用，</w:t>
      </w:r>
      <w:r w:rsidR="00226730" w:rsidRPr="00226730">
        <w:rPr>
          <w:rFonts w:ascii="微软雅黑" w:eastAsia="微软雅黑" w:hAnsi="微软雅黑" w:hint="eastAsia"/>
          <w:szCs w:val="21"/>
        </w:rPr>
        <w:t>在</w:t>
      </w:r>
      <w:r w:rsidRPr="00226730">
        <w:rPr>
          <w:rFonts w:ascii="微软雅黑" w:eastAsia="微软雅黑" w:hAnsi="微软雅黑" w:hint="eastAsia"/>
          <w:szCs w:val="21"/>
        </w:rPr>
        <w:t>近年来已成为推动社会经济发展的新型公用基础设施。</w:t>
      </w:r>
      <w:r w:rsidR="00226730" w:rsidRPr="00226730">
        <w:rPr>
          <w:rFonts w:ascii="微软雅黑" w:eastAsia="微软雅黑" w:hAnsi="微软雅黑" w:hint="eastAsia"/>
          <w:szCs w:val="21"/>
        </w:rPr>
        <w:t>陕西</w:t>
      </w:r>
      <w:r w:rsidRPr="00226730">
        <w:rPr>
          <w:rFonts w:ascii="微软雅黑" w:eastAsia="微软雅黑" w:hAnsi="微软雅黑" w:hint="eastAsia"/>
          <w:szCs w:val="21"/>
        </w:rPr>
        <w:t>省应把握互联网发展趋势，</w:t>
      </w:r>
      <w:r w:rsidR="00226730" w:rsidRPr="00226730">
        <w:rPr>
          <w:rFonts w:ascii="微软雅黑" w:eastAsia="微软雅黑" w:hAnsi="微软雅黑" w:hint="eastAsia"/>
          <w:szCs w:val="21"/>
        </w:rPr>
        <w:t>持续推进网络基础设施建设和演进升级，把加快网络基础设施建设作为落实国家网络强国战略，补齐陕西发展短板，协调推进“新四化”同步，打赢“三场攻坚战”的重要基础性工程。</w:t>
      </w:r>
      <w:r w:rsidR="005667C7">
        <w:rPr>
          <w:rFonts w:ascii="微软雅黑" w:eastAsia="微软雅黑" w:hAnsi="微软雅黑" w:hint="eastAsia"/>
          <w:szCs w:val="21"/>
        </w:rPr>
        <w:t>2017年，陕西省大力推动通信设施建设，</w:t>
      </w:r>
      <w:r w:rsidR="005667C7" w:rsidRPr="005667C7">
        <w:rPr>
          <w:rFonts w:ascii="微软雅黑" w:eastAsia="微软雅黑" w:hAnsi="微软雅黑" w:hint="eastAsia"/>
          <w:szCs w:val="21"/>
        </w:rPr>
        <w:t>信基础设施综合承载能力不断提升，但从整体情况来看，全省仍有一定比例固定宽带用户没有完成光改。</w:t>
      </w:r>
      <w:r w:rsidR="005667C7">
        <w:rPr>
          <w:rFonts w:ascii="微软雅黑" w:eastAsia="微软雅黑" w:hAnsi="微软雅黑" w:hint="eastAsia"/>
          <w:szCs w:val="21"/>
        </w:rPr>
        <w:t>根据统计数据显示，</w:t>
      </w:r>
      <w:r w:rsidR="005667C7" w:rsidRPr="005667C7">
        <w:rPr>
          <w:rFonts w:ascii="微软雅黑" w:eastAsia="微软雅黑" w:hAnsi="微软雅黑" w:hint="eastAsia"/>
          <w:szCs w:val="21"/>
        </w:rPr>
        <w:t>截至2017年12月底，陕西省非FTTH宽带用户数仍有144万户，占全省固定宽带用户总数的14.2%；同时，全省100M及以上宽带用户占比仅34.8%，低于全国平均值4.1个百分点，仍有较大的提升空间。</w:t>
      </w:r>
      <w:r w:rsidR="005667C7">
        <w:rPr>
          <w:rFonts w:ascii="微软雅黑" w:eastAsia="微软雅黑" w:hAnsi="微软雅黑" w:hint="eastAsia"/>
          <w:szCs w:val="21"/>
        </w:rPr>
        <w:t>为此，进一步推动光改，提升带宽将是今后重要的工作方向。另外，针对</w:t>
      </w:r>
      <w:r w:rsidR="00226730" w:rsidRPr="005667C7">
        <w:rPr>
          <w:rFonts w:ascii="微软雅黑" w:eastAsia="微软雅黑" w:hAnsi="微软雅黑" w:hint="eastAsia"/>
          <w:szCs w:val="21"/>
        </w:rPr>
        <w:t>针对当前通信基础设施建设领域还存在“最后一公里”的网络质量得不到保障、大型互联网和CDN企业的业务部署不均等问题，</w:t>
      </w:r>
      <w:r w:rsidR="005667C7" w:rsidRPr="005667C7">
        <w:rPr>
          <w:rFonts w:ascii="微软雅黑" w:eastAsia="微软雅黑" w:hAnsi="微软雅黑" w:hint="eastAsia"/>
          <w:szCs w:val="21"/>
        </w:rPr>
        <w:t>还应</w:t>
      </w:r>
      <w:r w:rsidR="00226730" w:rsidRPr="00226730">
        <w:rPr>
          <w:rFonts w:ascii="微软雅黑" w:eastAsia="微软雅黑" w:hAnsi="微软雅黑" w:hint="eastAsia"/>
          <w:szCs w:val="21"/>
        </w:rPr>
        <w:t>应采取有力措施，加强对电信运营企业行为的监管，严格按照光纤到户强标</w:t>
      </w:r>
      <w:r w:rsidR="005667C7">
        <w:rPr>
          <w:rFonts w:ascii="微软雅黑" w:eastAsia="微软雅黑" w:hAnsi="微软雅黑" w:hint="eastAsia"/>
          <w:szCs w:val="21"/>
        </w:rPr>
        <w:t>的</w:t>
      </w:r>
      <w:r w:rsidR="00226730" w:rsidRPr="00226730">
        <w:rPr>
          <w:rFonts w:ascii="微软雅黑" w:eastAsia="微软雅黑" w:hAnsi="微软雅黑" w:hint="eastAsia"/>
          <w:szCs w:val="21"/>
        </w:rPr>
        <w:t>有关要求，逐步梳理并夯实住宅小区通信网络基础</w:t>
      </w:r>
      <w:r w:rsidR="005667C7">
        <w:rPr>
          <w:rFonts w:ascii="微软雅黑" w:eastAsia="微软雅黑" w:hAnsi="微软雅黑" w:hint="eastAsia"/>
          <w:szCs w:val="21"/>
        </w:rPr>
        <w:t>，并</w:t>
      </w:r>
      <w:r w:rsidR="00226730" w:rsidRPr="00226730">
        <w:rPr>
          <w:rFonts w:ascii="微软雅黑" w:eastAsia="微软雅黑" w:hAnsi="微软雅黑" w:hint="eastAsia"/>
          <w:szCs w:val="21"/>
        </w:rPr>
        <w:t>有针对性地协调引导大型互联网和CDN企业以西安为中心，加强服务器资源和加速节点配置，减少</w:t>
      </w:r>
      <w:r w:rsidR="005667C7">
        <w:rPr>
          <w:rFonts w:ascii="微软雅黑" w:eastAsia="微软雅黑" w:hAnsi="微软雅黑" w:hint="eastAsia"/>
          <w:szCs w:val="21"/>
        </w:rPr>
        <w:t>全</w:t>
      </w:r>
      <w:r w:rsidR="00226730" w:rsidRPr="00226730">
        <w:rPr>
          <w:rFonts w:ascii="微软雅黑" w:eastAsia="微软雅黑" w:hAnsi="微软雅黑" w:hint="eastAsia"/>
          <w:szCs w:val="21"/>
        </w:rPr>
        <w:t>省用户网络访问瓶颈，有效提升省内宽带用户的网速水平。</w:t>
      </w:r>
    </w:p>
    <w:p w:rsidR="0087099E" w:rsidRDefault="0087099E" w:rsidP="005667C7">
      <w:pPr>
        <w:widowControl/>
        <w:spacing w:line="400" w:lineRule="exact"/>
        <w:ind w:firstLineChars="200" w:firstLine="420"/>
        <w:jc w:val="left"/>
        <w:rPr>
          <w:rFonts w:ascii="微软雅黑" w:eastAsia="微软雅黑" w:hAnsi="微软雅黑"/>
          <w:szCs w:val="21"/>
        </w:rPr>
      </w:pPr>
    </w:p>
    <w:p w:rsidR="00167B89" w:rsidRPr="00226730" w:rsidRDefault="00226730" w:rsidP="00226730">
      <w:pPr>
        <w:spacing w:line="400" w:lineRule="exact"/>
        <w:outlineLvl w:val="3"/>
        <w:rPr>
          <w:rFonts w:ascii="微软雅黑" w:eastAsia="微软雅黑" w:hAnsi="微软雅黑"/>
          <w:b/>
        </w:rPr>
      </w:pPr>
      <w:bookmarkStart w:id="409" w:name="_Toc524418036"/>
      <w:r>
        <w:rPr>
          <w:rFonts w:ascii="微软雅黑" w:eastAsia="微软雅黑" w:hAnsi="微软雅黑" w:hint="eastAsia"/>
          <w:b/>
        </w:rPr>
        <w:t>2</w:t>
      </w:r>
      <w:r w:rsidR="00167B89" w:rsidRPr="00226730">
        <w:rPr>
          <w:rFonts w:ascii="微软雅黑" w:eastAsia="微软雅黑" w:hAnsi="微软雅黑" w:hint="eastAsia"/>
          <w:b/>
        </w:rPr>
        <w:t>.</w:t>
      </w:r>
      <w:r w:rsidR="00A46490">
        <w:rPr>
          <w:rFonts w:ascii="微软雅黑" w:eastAsia="微软雅黑" w:hAnsi="微软雅黑" w:hint="eastAsia"/>
          <w:b/>
        </w:rPr>
        <w:t>加快</w:t>
      </w:r>
      <w:r w:rsidR="00912439">
        <w:rPr>
          <w:rFonts w:ascii="微软雅黑" w:eastAsia="微软雅黑" w:hAnsi="微软雅黑" w:hint="eastAsia"/>
          <w:b/>
        </w:rPr>
        <w:t>“</w:t>
      </w:r>
      <w:r w:rsidR="00912439" w:rsidRPr="00226730">
        <w:rPr>
          <w:rFonts w:ascii="微软雅黑" w:eastAsia="微软雅黑" w:hAnsi="微软雅黑" w:hint="eastAsia"/>
          <w:b/>
        </w:rPr>
        <w:t>互</w:t>
      </w:r>
      <w:r w:rsidR="00167B89" w:rsidRPr="00226730">
        <w:rPr>
          <w:rFonts w:ascii="微软雅黑" w:eastAsia="微软雅黑" w:hAnsi="微软雅黑" w:hint="eastAsia"/>
          <w:b/>
        </w:rPr>
        <w:t>联网</w:t>
      </w:r>
      <w:r w:rsidR="00263068">
        <w:rPr>
          <w:rFonts w:ascii="微软雅黑" w:eastAsia="微软雅黑" w:hAnsi="微软雅黑" w:hint="eastAsia"/>
          <w:b/>
        </w:rPr>
        <w:t>+</w:t>
      </w:r>
      <w:r w:rsidR="00167B89" w:rsidRPr="00226730">
        <w:rPr>
          <w:rFonts w:ascii="微软雅黑" w:eastAsia="微软雅黑" w:hAnsi="微软雅黑" w:hint="eastAsia"/>
          <w:b/>
        </w:rPr>
        <w:t>政务服务</w:t>
      </w:r>
      <w:r w:rsidR="00912439">
        <w:rPr>
          <w:rFonts w:ascii="微软雅黑" w:eastAsia="微软雅黑" w:hAnsi="微软雅黑" w:hint="eastAsia"/>
          <w:b/>
        </w:rPr>
        <w:t>”</w:t>
      </w:r>
      <w:r w:rsidR="00263068">
        <w:rPr>
          <w:rFonts w:ascii="微软雅黑" w:eastAsia="微软雅黑" w:hAnsi="微软雅黑" w:hint="eastAsia"/>
          <w:b/>
        </w:rPr>
        <w:t>的</w:t>
      </w:r>
      <w:r w:rsidR="00167B89" w:rsidRPr="00226730">
        <w:rPr>
          <w:rFonts w:ascii="微软雅黑" w:eastAsia="微软雅黑" w:hAnsi="微软雅黑" w:hint="eastAsia"/>
          <w:b/>
        </w:rPr>
        <w:t>应用</w:t>
      </w:r>
      <w:bookmarkEnd w:id="409"/>
    </w:p>
    <w:p w:rsidR="00F957D3" w:rsidRDefault="00167B89" w:rsidP="00A46490">
      <w:pPr>
        <w:widowControl/>
        <w:spacing w:line="400" w:lineRule="exact"/>
        <w:ind w:firstLineChars="200" w:firstLine="420"/>
        <w:jc w:val="left"/>
        <w:rPr>
          <w:rFonts w:ascii="微软雅黑" w:eastAsia="微软雅黑" w:hAnsi="微软雅黑"/>
          <w:szCs w:val="21"/>
        </w:rPr>
      </w:pPr>
      <w:r w:rsidRPr="00A46490">
        <w:rPr>
          <w:rFonts w:ascii="微软雅黑" w:eastAsia="微软雅黑" w:hAnsi="微软雅黑" w:hint="eastAsia"/>
          <w:szCs w:val="21"/>
        </w:rPr>
        <w:t>推进“互联网+</w:t>
      </w:r>
      <w:r w:rsidR="00E92135">
        <w:rPr>
          <w:rFonts w:ascii="微软雅黑" w:eastAsia="微软雅黑" w:hAnsi="微软雅黑" w:hint="eastAsia"/>
          <w:szCs w:val="21"/>
        </w:rPr>
        <w:t>政务服务”</w:t>
      </w:r>
      <w:r w:rsidRPr="00A46490">
        <w:rPr>
          <w:rFonts w:ascii="微软雅黑" w:eastAsia="微软雅黑" w:hAnsi="微软雅黑" w:hint="eastAsia"/>
          <w:szCs w:val="21"/>
        </w:rPr>
        <w:t>是贯彻落实党中央、国务院决策部署，把简政放权、放管结合、优化服务改革推向纵深的关键环节，对</w:t>
      </w:r>
      <w:r w:rsidR="00E92135">
        <w:rPr>
          <w:rFonts w:ascii="微软雅黑" w:eastAsia="微软雅黑" w:hAnsi="微软雅黑" w:hint="eastAsia"/>
          <w:szCs w:val="21"/>
        </w:rPr>
        <w:t>于</w:t>
      </w:r>
      <w:r w:rsidRPr="00A46490">
        <w:rPr>
          <w:rFonts w:ascii="微软雅黑" w:eastAsia="微软雅黑" w:hAnsi="微软雅黑" w:hint="eastAsia"/>
          <w:szCs w:val="21"/>
        </w:rPr>
        <w:t>加快</w:t>
      </w:r>
      <w:r w:rsidR="00E92135" w:rsidRPr="00A46490">
        <w:rPr>
          <w:rFonts w:ascii="微软雅黑" w:eastAsia="微软雅黑" w:hAnsi="微软雅黑" w:hint="eastAsia"/>
          <w:szCs w:val="21"/>
        </w:rPr>
        <w:t>政府职能</w:t>
      </w:r>
      <w:r w:rsidRPr="00A46490">
        <w:rPr>
          <w:rFonts w:ascii="微软雅黑" w:eastAsia="微软雅黑" w:hAnsi="微软雅黑" w:hint="eastAsia"/>
          <w:szCs w:val="21"/>
        </w:rPr>
        <w:t>转变，提高服务效率和透明度，便利群众办事创业，进一步激发市场活力和社会创造力</w:t>
      </w:r>
      <w:r w:rsidR="00E92135">
        <w:rPr>
          <w:rFonts w:ascii="微软雅黑" w:eastAsia="微软雅黑" w:hAnsi="微软雅黑" w:hint="eastAsia"/>
          <w:szCs w:val="21"/>
        </w:rPr>
        <w:t>等都</w:t>
      </w:r>
      <w:r w:rsidRPr="00A46490">
        <w:rPr>
          <w:rFonts w:ascii="微软雅黑" w:eastAsia="微软雅黑" w:hAnsi="微软雅黑" w:hint="eastAsia"/>
          <w:szCs w:val="21"/>
        </w:rPr>
        <w:t>具有重要意义。</w:t>
      </w:r>
      <w:r w:rsidR="00A46490" w:rsidRPr="00A46490">
        <w:rPr>
          <w:rFonts w:ascii="微软雅黑" w:eastAsia="微软雅黑" w:hAnsi="微软雅黑" w:hint="eastAsia"/>
          <w:szCs w:val="21"/>
        </w:rPr>
        <w:t>为贯彻落实《国务院关于加快推进“互联网+政务服务”工作的指导意见》（国发〔2016〕55号），</w:t>
      </w:r>
      <w:r w:rsidR="00E92135">
        <w:rPr>
          <w:rFonts w:ascii="微软雅黑" w:eastAsia="微软雅黑" w:hAnsi="微软雅黑" w:hint="eastAsia"/>
          <w:szCs w:val="21"/>
        </w:rPr>
        <w:t>陕西省在2016年就</w:t>
      </w:r>
      <w:r w:rsidR="00A46490" w:rsidRPr="00A46490">
        <w:rPr>
          <w:rFonts w:ascii="微软雅黑" w:eastAsia="微软雅黑" w:hAnsi="微软雅黑" w:hint="eastAsia"/>
          <w:szCs w:val="21"/>
        </w:rPr>
        <w:t>制定了《陕西省人民政府关于加快推进全省“互联网+政务服务”工作的实施意见》（陕政发〔2016〕55号），提出加快构建全省“互联网+政务服务”平台的目标。</w:t>
      </w:r>
      <w:r w:rsidR="00F957D3">
        <w:rPr>
          <w:rFonts w:ascii="微软雅黑" w:eastAsia="微软雅黑" w:hAnsi="微软雅黑" w:hint="eastAsia"/>
          <w:szCs w:val="21"/>
        </w:rPr>
        <w:t>围绕全省电子政务发展目标，陕西省应</w:t>
      </w:r>
      <w:r w:rsidR="00F957D3" w:rsidRPr="00F957D3">
        <w:rPr>
          <w:rFonts w:ascii="微软雅黑" w:eastAsia="微软雅黑" w:hAnsi="微软雅黑"/>
          <w:szCs w:val="21"/>
        </w:rPr>
        <w:t>加强统一规划和顶层设计</w:t>
      </w:r>
      <w:r w:rsidR="00F957D3" w:rsidRPr="00F957D3">
        <w:rPr>
          <w:rFonts w:ascii="微软雅黑" w:eastAsia="微软雅黑" w:hAnsi="微软雅黑" w:hint="eastAsia"/>
          <w:szCs w:val="21"/>
        </w:rPr>
        <w:t>，推动全省</w:t>
      </w:r>
      <w:r w:rsidR="00F957D3" w:rsidRPr="00F957D3">
        <w:rPr>
          <w:rFonts w:ascii="微软雅黑" w:eastAsia="微软雅黑" w:hAnsi="微软雅黑"/>
          <w:szCs w:val="21"/>
        </w:rPr>
        <w:t>政务平台从现有的“三级平台”</w:t>
      </w:r>
      <w:r w:rsidR="00F957D3" w:rsidRPr="00F957D3">
        <w:rPr>
          <w:rFonts w:ascii="微软雅黑" w:eastAsia="微软雅黑" w:hAnsi="微软雅黑" w:hint="eastAsia"/>
          <w:szCs w:val="21"/>
        </w:rPr>
        <w:t>向</w:t>
      </w:r>
      <w:r w:rsidR="00F957D3" w:rsidRPr="00F957D3">
        <w:rPr>
          <w:rFonts w:ascii="微软雅黑" w:eastAsia="微软雅黑" w:hAnsi="微软雅黑"/>
          <w:szCs w:val="21"/>
        </w:rPr>
        <w:t>“全省一体化云平台”发展</w:t>
      </w:r>
      <w:r w:rsidR="00F957D3" w:rsidRPr="00F957D3">
        <w:rPr>
          <w:rFonts w:ascii="微软雅黑" w:eastAsia="微软雅黑" w:hAnsi="微软雅黑" w:hint="eastAsia"/>
          <w:szCs w:val="21"/>
        </w:rPr>
        <w:t>，实现</w:t>
      </w:r>
      <w:r w:rsidR="00F957D3" w:rsidRPr="00F957D3">
        <w:rPr>
          <w:rFonts w:ascii="微软雅黑" w:eastAsia="微软雅黑" w:hAnsi="微软雅黑"/>
          <w:szCs w:val="21"/>
        </w:rPr>
        <w:t>“数据集中沉淀”到“数据共享开放”的转变</w:t>
      </w:r>
      <w:r w:rsidR="00F957D3" w:rsidRPr="00F957D3">
        <w:rPr>
          <w:rFonts w:ascii="微软雅黑" w:eastAsia="微软雅黑" w:hAnsi="微软雅黑" w:hint="eastAsia"/>
          <w:szCs w:val="21"/>
        </w:rPr>
        <w:t>，形成</w:t>
      </w:r>
      <w:r w:rsidR="00F957D3" w:rsidRPr="00F957D3">
        <w:rPr>
          <w:rFonts w:ascii="微软雅黑" w:eastAsia="微软雅黑" w:hAnsi="微软雅黑"/>
          <w:szCs w:val="21"/>
        </w:rPr>
        <w:t>“五级服务”到“全省一体化公共服务”的能力提升与突破</w:t>
      </w:r>
      <w:r w:rsidR="00F957D3" w:rsidRPr="00F957D3">
        <w:rPr>
          <w:rFonts w:ascii="微软雅黑" w:eastAsia="微软雅黑" w:hAnsi="微软雅黑" w:hint="eastAsia"/>
          <w:szCs w:val="21"/>
        </w:rPr>
        <w:t>。</w:t>
      </w:r>
    </w:p>
    <w:p w:rsidR="00263068" w:rsidRDefault="00167B89" w:rsidP="00226730">
      <w:pPr>
        <w:spacing w:line="400" w:lineRule="exact"/>
        <w:outlineLvl w:val="3"/>
        <w:rPr>
          <w:rFonts w:ascii="微软雅黑" w:eastAsia="微软雅黑" w:hAnsi="微软雅黑"/>
          <w:b/>
        </w:rPr>
      </w:pPr>
      <w:bookmarkStart w:id="410" w:name="_Toc524418037"/>
      <w:r w:rsidRPr="00226730">
        <w:rPr>
          <w:rFonts w:ascii="微软雅黑" w:eastAsia="微软雅黑" w:hAnsi="微软雅黑" w:hint="eastAsia"/>
          <w:b/>
        </w:rPr>
        <w:t>3.</w:t>
      </w:r>
      <w:r w:rsidR="00912439" w:rsidRPr="00912439">
        <w:rPr>
          <w:rFonts w:ascii="微软雅黑" w:eastAsia="微软雅黑" w:hAnsi="微软雅黑" w:hint="eastAsia"/>
          <w:b/>
        </w:rPr>
        <w:t>大力发展数字经济</w:t>
      </w:r>
      <w:r w:rsidR="00263068">
        <w:rPr>
          <w:rFonts w:ascii="微软雅黑" w:eastAsia="微软雅黑" w:hAnsi="微软雅黑" w:hint="eastAsia"/>
          <w:b/>
        </w:rPr>
        <w:t>促进产业</w:t>
      </w:r>
      <w:r w:rsidR="00263068" w:rsidRPr="00226730">
        <w:rPr>
          <w:rFonts w:ascii="微软雅黑" w:eastAsia="微软雅黑" w:hAnsi="微软雅黑" w:hint="eastAsia"/>
          <w:b/>
        </w:rPr>
        <w:t>转型升级</w:t>
      </w:r>
      <w:bookmarkEnd w:id="410"/>
    </w:p>
    <w:p w:rsidR="002A6166" w:rsidRDefault="00B23E2D" w:rsidP="00B23E2D">
      <w:pPr>
        <w:widowControl/>
        <w:spacing w:line="400" w:lineRule="exact"/>
        <w:ind w:firstLineChars="200" w:firstLine="420"/>
        <w:jc w:val="left"/>
        <w:rPr>
          <w:rFonts w:ascii="微软雅黑" w:eastAsia="微软雅黑" w:hAnsi="微软雅黑"/>
          <w:szCs w:val="21"/>
        </w:rPr>
      </w:pPr>
      <w:r>
        <w:rPr>
          <w:rFonts w:ascii="微软雅黑" w:eastAsia="微软雅黑" w:hAnsi="微软雅黑"/>
          <w:szCs w:val="21"/>
        </w:rPr>
        <w:t>我国网络经济的快速发展彰显出互联网</w:t>
      </w:r>
      <w:r w:rsidR="00BB1930">
        <w:rPr>
          <w:rFonts w:ascii="微软雅黑" w:eastAsia="微软雅黑" w:hAnsi="微软雅黑"/>
          <w:szCs w:val="21"/>
        </w:rPr>
        <w:t>对经济社会和产业发展的</w:t>
      </w:r>
      <w:r>
        <w:rPr>
          <w:rFonts w:ascii="微软雅黑" w:eastAsia="微软雅黑" w:hAnsi="微软雅黑"/>
          <w:szCs w:val="21"/>
        </w:rPr>
        <w:t>巨大的带动和促进作用</w:t>
      </w:r>
      <w:r w:rsidR="002A6166">
        <w:rPr>
          <w:rFonts w:ascii="微软雅黑" w:eastAsia="微软雅黑" w:hAnsi="微软雅黑" w:hint="eastAsia"/>
          <w:szCs w:val="21"/>
        </w:rPr>
        <w:t>，</w:t>
      </w:r>
      <w:r w:rsidR="002A6166">
        <w:rPr>
          <w:rFonts w:ascii="微软雅黑" w:eastAsia="微软雅黑" w:hAnsi="微软雅黑"/>
          <w:szCs w:val="21"/>
        </w:rPr>
        <w:t>大力</w:t>
      </w:r>
      <w:r w:rsidR="002A6166" w:rsidRPr="002A6166">
        <w:rPr>
          <w:rFonts w:ascii="微软雅黑" w:eastAsia="微软雅黑" w:hAnsi="微软雅黑" w:hint="eastAsia"/>
          <w:szCs w:val="21"/>
        </w:rPr>
        <w:t>发展数字经济</w:t>
      </w:r>
      <w:r w:rsidR="002A6166">
        <w:rPr>
          <w:rFonts w:ascii="微软雅黑" w:eastAsia="微软雅黑" w:hAnsi="微软雅黑" w:hint="eastAsia"/>
          <w:szCs w:val="21"/>
        </w:rPr>
        <w:t>已经成为当前竞争的主要方向之一</w:t>
      </w:r>
      <w:r>
        <w:rPr>
          <w:rFonts w:ascii="微软雅黑" w:eastAsia="微软雅黑" w:hAnsi="微软雅黑" w:hint="eastAsia"/>
          <w:szCs w:val="21"/>
        </w:rPr>
        <w:t>。</w:t>
      </w:r>
      <w:r w:rsidR="002A6166" w:rsidRPr="002A6166">
        <w:rPr>
          <w:rFonts w:ascii="微软雅黑" w:eastAsia="微软雅黑" w:hAnsi="微软雅黑" w:hint="eastAsia"/>
          <w:szCs w:val="21"/>
        </w:rPr>
        <w:t>陕西省作为我国的科技资源大省，拥有高等院校80多所，各类科研机构近千家，科技企业万余家</w:t>
      </w:r>
      <w:r w:rsidR="00A47A82">
        <w:rPr>
          <w:rFonts w:ascii="微软雅黑" w:eastAsia="微软雅黑" w:hAnsi="微软雅黑" w:hint="eastAsia"/>
          <w:szCs w:val="21"/>
        </w:rPr>
        <w:t>，</w:t>
      </w:r>
      <w:r w:rsidR="00A47A82" w:rsidRPr="002A6166">
        <w:rPr>
          <w:rFonts w:ascii="微软雅黑" w:eastAsia="微软雅黑" w:hAnsi="微软雅黑" w:hint="eastAsia"/>
          <w:szCs w:val="21"/>
        </w:rPr>
        <w:t>有国家和省级重点实验室、工程技术中心186个，其中国家重点实验室和工程技术中心分别占全国的10%和9%</w:t>
      </w:r>
      <w:r w:rsidR="00A47A82">
        <w:rPr>
          <w:rFonts w:ascii="微软雅黑" w:eastAsia="微软雅黑" w:hAnsi="微软雅黑" w:hint="eastAsia"/>
          <w:szCs w:val="21"/>
        </w:rPr>
        <w:t>；</w:t>
      </w:r>
      <w:r w:rsidR="00A47A82" w:rsidRPr="002A6166">
        <w:rPr>
          <w:rFonts w:ascii="微软雅黑" w:eastAsia="微软雅黑" w:hAnsi="微软雅黑" w:hint="eastAsia"/>
          <w:szCs w:val="21"/>
        </w:rPr>
        <w:t>陕西省也是我国重要的科研基地、高等教育基地、国防科技工业基地和高新技术产业基地</w:t>
      </w:r>
      <w:r w:rsidR="00A47A82">
        <w:rPr>
          <w:rFonts w:ascii="微软雅黑" w:eastAsia="微软雅黑" w:hAnsi="微软雅黑" w:hint="eastAsia"/>
          <w:szCs w:val="21"/>
        </w:rPr>
        <w:t>；这些都为全省发展数字经济</w:t>
      </w:r>
      <w:r w:rsidR="00A47A82" w:rsidRPr="002A6166">
        <w:rPr>
          <w:rFonts w:ascii="微软雅黑" w:eastAsia="微软雅黑" w:hAnsi="微软雅黑" w:hint="eastAsia"/>
          <w:szCs w:val="21"/>
        </w:rPr>
        <w:t>奠定了坚实的基础。</w:t>
      </w:r>
      <w:r w:rsidR="00BB1930">
        <w:rPr>
          <w:rFonts w:ascii="微软雅黑" w:eastAsia="微软雅黑" w:hAnsi="微软雅黑" w:hint="eastAsia"/>
          <w:szCs w:val="21"/>
        </w:rPr>
        <w:t>为此，</w:t>
      </w:r>
      <w:r w:rsidR="002A6166">
        <w:rPr>
          <w:rFonts w:ascii="微软雅黑" w:eastAsia="微软雅黑" w:hAnsi="微软雅黑" w:hint="eastAsia"/>
          <w:szCs w:val="21"/>
        </w:rPr>
        <w:t>全省</w:t>
      </w:r>
      <w:r w:rsidR="00BB1930">
        <w:rPr>
          <w:rFonts w:ascii="微软雅黑" w:eastAsia="微软雅黑" w:hAnsi="微软雅黑" w:hint="eastAsia"/>
          <w:szCs w:val="21"/>
        </w:rPr>
        <w:t>应按照</w:t>
      </w:r>
      <w:r w:rsidR="002A6166">
        <w:rPr>
          <w:rFonts w:ascii="微软雅黑" w:eastAsia="微软雅黑" w:hAnsi="微软雅黑" w:hint="eastAsia"/>
          <w:szCs w:val="21"/>
        </w:rPr>
        <w:t>培育“</w:t>
      </w:r>
      <w:r w:rsidR="00BB1930" w:rsidRPr="00BB1930">
        <w:rPr>
          <w:rFonts w:ascii="微软雅黑" w:eastAsia="微软雅黑" w:hAnsi="微软雅黑" w:hint="eastAsia"/>
          <w:szCs w:val="21"/>
        </w:rPr>
        <w:t>现代化工、汽车、航空航天与高端装备制造、新一代信息技术、新材料和现代医药</w:t>
      </w:r>
      <w:r w:rsidR="002A6166">
        <w:rPr>
          <w:rFonts w:ascii="微软雅黑" w:eastAsia="微软雅黑" w:hAnsi="微软雅黑" w:hint="eastAsia"/>
          <w:szCs w:val="21"/>
        </w:rPr>
        <w:t>”</w:t>
      </w:r>
      <w:r w:rsidR="00BB1930" w:rsidRPr="00BB1930">
        <w:rPr>
          <w:rFonts w:ascii="微软雅黑" w:eastAsia="微软雅黑" w:hAnsi="微软雅黑" w:hint="eastAsia"/>
          <w:szCs w:val="21"/>
        </w:rPr>
        <w:t>等六大新的支柱产业</w:t>
      </w:r>
      <w:r w:rsidR="00BB1930">
        <w:rPr>
          <w:rFonts w:ascii="微软雅黑" w:eastAsia="微软雅黑" w:hAnsi="微软雅黑" w:hint="eastAsia"/>
          <w:szCs w:val="21"/>
        </w:rPr>
        <w:t>的总体部署</w:t>
      </w:r>
      <w:r w:rsidR="002A6166">
        <w:rPr>
          <w:rFonts w:ascii="微软雅黑" w:eastAsia="微软雅黑" w:hAnsi="微软雅黑" w:hint="eastAsia"/>
          <w:szCs w:val="21"/>
        </w:rPr>
        <w:t>要求</w:t>
      </w:r>
      <w:r w:rsidR="00BB1930">
        <w:rPr>
          <w:rFonts w:ascii="微软雅黑" w:eastAsia="微软雅黑" w:hAnsi="微软雅黑" w:hint="eastAsia"/>
          <w:szCs w:val="21"/>
        </w:rPr>
        <w:t>，</w:t>
      </w:r>
      <w:r w:rsidR="002A6166">
        <w:rPr>
          <w:rFonts w:ascii="微软雅黑" w:eastAsia="微软雅黑" w:hAnsi="微软雅黑" w:hint="eastAsia"/>
          <w:szCs w:val="21"/>
        </w:rPr>
        <w:t>不断深化关联行业的</w:t>
      </w:r>
      <w:r w:rsidR="002A6166" w:rsidRPr="002A6166">
        <w:rPr>
          <w:rFonts w:ascii="微软雅黑" w:eastAsia="微软雅黑" w:hAnsi="微软雅黑" w:hint="eastAsia"/>
          <w:szCs w:val="21"/>
        </w:rPr>
        <w:t>互联网应用，积极推动产业内部业务和管理信息系统的集成，提高传统产业从采购、生产制造、流通仓储到销售的供应链一体化协同能力，增强产业在产品、产成品、存量产品间的有机转化衔接</w:t>
      </w:r>
      <w:r w:rsidR="002A6166">
        <w:rPr>
          <w:rFonts w:ascii="微软雅黑" w:eastAsia="微软雅黑" w:hAnsi="微软雅黑" w:hint="eastAsia"/>
          <w:szCs w:val="21"/>
        </w:rPr>
        <w:t>；</w:t>
      </w:r>
      <w:r w:rsidR="00A47A82">
        <w:rPr>
          <w:rFonts w:ascii="微软雅黑" w:eastAsia="微软雅黑" w:hAnsi="微软雅黑" w:hint="eastAsia"/>
          <w:szCs w:val="21"/>
        </w:rPr>
        <w:t>同时，</w:t>
      </w:r>
      <w:r w:rsidR="002A6166" w:rsidRPr="002A6166">
        <w:rPr>
          <w:rFonts w:ascii="微软雅黑" w:eastAsia="微软雅黑" w:hAnsi="微软雅黑" w:hint="eastAsia"/>
          <w:szCs w:val="21"/>
        </w:rPr>
        <w:t>应支持大型工业企业利用互联网</w:t>
      </w:r>
      <w:r w:rsidR="00A47A82">
        <w:rPr>
          <w:rFonts w:ascii="微软雅黑" w:eastAsia="微软雅黑" w:hAnsi="微软雅黑" w:hint="eastAsia"/>
          <w:szCs w:val="21"/>
        </w:rPr>
        <w:t>技术</w:t>
      </w:r>
      <w:r w:rsidR="002A6166" w:rsidRPr="002A6166">
        <w:rPr>
          <w:rFonts w:ascii="微软雅黑" w:eastAsia="微软雅黑" w:hAnsi="微软雅黑" w:hint="eastAsia"/>
          <w:szCs w:val="21"/>
        </w:rPr>
        <w:t>增强与产业链下游企业的协同能力，</w:t>
      </w:r>
      <w:r w:rsidR="00A47A82">
        <w:rPr>
          <w:rFonts w:ascii="微软雅黑" w:eastAsia="微软雅黑" w:hAnsi="微软雅黑" w:hint="eastAsia"/>
          <w:szCs w:val="21"/>
        </w:rPr>
        <w:t>不断</w:t>
      </w:r>
      <w:r w:rsidR="002A6166" w:rsidRPr="002A6166">
        <w:rPr>
          <w:rFonts w:ascii="微软雅黑" w:eastAsia="微软雅黑" w:hAnsi="微软雅黑" w:hint="eastAsia"/>
          <w:szCs w:val="21"/>
        </w:rPr>
        <w:t>促进产品分销和售后服务水平</w:t>
      </w:r>
      <w:r w:rsidR="00A47A82">
        <w:rPr>
          <w:rFonts w:ascii="微软雅黑" w:eastAsia="微软雅黑" w:hAnsi="微软雅黑" w:hint="eastAsia"/>
          <w:szCs w:val="21"/>
        </w:rPr>
        <w:t>的</w:t>
      </w:r>
      <w:r w:rsidR="002A6166" w:rsidRPr="002A6166">
        <w:rPr>
          <w:rFonts w:ascii="微软雅黑" w:eastAsia="微软雅黑" w:hAnsi="微软雅黑" w:hint="eastAsia"/>
          <w:szCs w:val="21"/>
        </w:rPr>
        <w:t>提升，</w:t>
      </w:r>
      <w:r w:rsidR="00A47A82">
        <w:rPr>
          <w:rFonts w:ascii="微软雅黑" w:eastAsia="微软雅黑" w:hAnsi="微软雅黑" w:hint="eastAsia"/>
          <w:szCs w:val="21"/>
        </w:rPr>
        <w:t>为企业及整个行业发展</w:t>
      </w:r>
      <w:r w:rsidR="00554214">
        <w:rPr>
          <w:rFonts w:ascii="微软雅黑" w:eastAsia="微软雅黑" w:hAnsi="微软雅黑" w:hint="eastAsia"/>
          <w:szCs w:val="21"/>
        </w:rPr>
        <w:t>凝聚</w:t>
      </w:r>
      <w:r w:rsidR="00A47A82">
        <w:rPr>
          <w:rFonts w:ascii="微软雅黑" w:eastAsia="微软雅黑" w:hAnsi="微软雅黑" w:hint="eastAsia"/>
          <w:szCs w:val="21"/>
        </w:rPr>
        <w:t>新的竞争优势。</w:t>
      </w:r>
    </w:p>
    <w:p w:rsidR="00167B89" w:rsidRPr="00226730" w:rsidRDefault="00263068" w:rsidP="00226730">
      <w:pPr>
        <w:spacing w:line="400" w:lineRule="exact"/>
        <w:outlineLvl w:val="3"/>
        <w:rPr>
          <w:rFonts w:ascii="微软雅黑" w:eastAsia="微软雅黑" w:hAnsi="微软雅黑"/>
          <w:b/>
        </w:rPr>
      </w:pPr>
      <w:bookmarkStart w:id="411" w:name="_Toc524418038"/>
      <w:r>
        <w:rPr>
          <w:rFonts w:ascii="微软雅黑" w:eastAsia="微软雅黑" w:hAnsi="微软雅黑" w:hint="eastAsia"/>
          <w:b/>
        </w:rPr>
        <w:t>4</w:t>
      </w:r>
      <w:r w:rsidR="00167B89" w:rsidRPr="00226730">
        <w:rPr>
          <w:rFonts w:ascii="微软雅黑" w:eastAsia="微软雅黑" w:hAnsi="微软雅黑" w:hint="eastAsia"/>
          <w:b/>
        </w:rPr>
        <w:t>.</w:t>
      </w:r>
      <w:r w:rsidR="00912439">
        <w:rPr>
          <w:rFonts w:ascii="微软雅黑" w:eastAsia="微软雅黑" w:hAnsi="微软雅黑" w:hint="eastAsia"/>
          <w:b/>
        </w:rPr>
        <w:t>多举措强化</w:t>
      </w:r>
      <w:r w:rsidR="00167B89" w:rsidRPr="00226730">
        <w:rPr>
          <w:rFonts w:ascii="微软雅黑" w:eastAsia="微软雅黑" w:hAnsi="微软雅黑" w:hint="eastAsia"/>
          <w:b/>
        </w:rPr>
        <w:t>互联</w:t>
      </w:r>
      <w:r w:rsidR="00912439">
        <w:rPr>
          <w:rFonts w:ascii="微软雅黑" w:eastAsia="微软雅黑" w:hAnsi="微软雅黑" w:hint="eastAsia"/>
          <w:b/>
        </w:rPr>
        <w:t>网络</w:t>
      </w:r>
      <w:r w:rsidR="00167B89" w:rsidRPr="00226730">
        <w:rPr>
          <w:rFonts w:ascii="微软雅黑" w:eastAsia="微软雅黑" w:hAnsi="微软雅黑" w:hint="eastAsia"/>
          <w:b/>
        </w:rPr>
        <w:t>安全</w:t>
      </w:r>
      <w:r w:rsidR="00912439">
        <w:rPr>
          <w:rFonts w:ascii="微软雅黑" w:eastAsia="微软雅黑" w:hAnsi="微软雅黑" w:hint="eastAsia"/>
          <w:b/>
        </w:rPr>
        <w:t>治理</w:t>
      </w:r>
      <w:bookmarkEnd w:id="411"/>
    </w:p>
    <w:p w:rsidR="0087099E" w:rsidRPr="0087099E" w:rsidRDefault="00167B89" w:rsidP="0087099E">
      <w:pPr>
        <w:widowControl/>
        <w:spacing w:line="400" w:lineRule="exact"/>
        <w:ind w:firstLineChars="200" w:firstLine="420"/>
        <w:jc w:val="left"/>
        <w:rPr>
          <w:rFonts w:ascii="微软雅黑" w:eastAsia="微软雅黑" w:hAnsi="微软雅黑"/>
          <w:szCs w:val="21"/>
        </w:rPr>
      </w:pPr>
      <w:r w:rsidRPr="00D978EA">
        <w:rPr>
          <w:rFonts w:ascii="微软雅黑" w:eastAsia="微软雅黑" w:hAnsi="微软雅黑" w:hint="eastAsia"/>
          <w:szCs w:val="21"/>
        </w:rPr>
        <w:t>随着互联网的快速发展，</w:t>
      </w:r>
      <w:r w:rsidR="00912439" w:rsidRPr="00D978EA">
        <w:rPr>
          <w:rFonts w:ascii="微软雅黑" w:eastAsia="微软雅黑" w:hAnsi="微软雅黑" w:hint="eastAsia"/>
          <w:szCs w:val="21"/>
        </w:rPr>
        <w:t>互联网在</w:t>
      </w:r>
      <w:r w:rsidRPr="00D978EA">
        <w:rPr>
          <w:rFonts w:ascii="微软雅黑" w:eastAsia="微软雅黑" w:hAnsi="微软雅黑" w:hint="eastAsia"/>
          <w:szCs w:val="21"/>
        </w:rPr>
        <w:t>提高人们生活效率的同时，</w:t>
      </w:r>
      <w:r w:rsidR="00912439" w:rsidRPr="00D978EA">
        <w:rPr>
          <w:rFonts w:ascii="微软雅黑" w:eastAsia="微软雅黑" w:hAnsi="微软雅黑" w:hint="eastAsia"/>
          <w:szCs w:val="21"/>
        </w:rPr>
        <w:t>网络</w:t>
      </w:r>
      <w:r w:rsidRPr="00D978EA">
        <w:rPr>
          <w:rFonts w:ascii="微软雅黑" w:eastAsia="微软雅黑" w:hAnsi="微软雅黑" w:hint="eastAsia"/>
          <w:szCs w:val="21"/>
        </w:rPr>
        <w:t>安全问题也日渐突出</w:t>
      </w:r>
      <w:r w:rsidR="00912439" w:rsidRPr="00D978EA">
        <w:rPr>
          <w:rFonts w:ascii="微软雅黑" w:eastAsia="微软雅黑" w:hAnsi="微软雅黑" w:hint="eastAsia"/>
          <w:szCs w:val="21"/>
        </w:rPr>
        <w:t>。</w:t>
      </w:r>
      <w:r w:rsidRPr="00D978EA">
        <w:rPr>
          <w:rFonts w:ascii="微软雅黑" w:eastAsia="微软雅黑" w:hAnsi="微软雅黑" w:hint="eastAsia"/>
          <w:szCs w:val="21"/>
        </w:rPr>
        <w:t>如果不很好的解决</w:t>
      </w:r>
      <w:r w:rsidR="00912439" w:rsidRPr="00D978EA">
        <w:rPr>
          <w:rFonts w:ascii="微软雅黑" w:eastAsia="微软雅黑" w:hAnsi="微软雅黑" w:hint="eastAsia"/>
          <w:szCs w:val="21"/>
        </w:rPr>
        <w:t>网络安全问题</w:t>
      </w:r>
      <w:r w:rsidRPr="00D978EA">
        <w:rPr>
          <w:rFonts w:ascii="微软雅黑" w:eastAsia="微软雅黑" w:hAnsi="微软雅黑" w:hint="eastAsia"/>
          <w:szCs w:val="21"/>
        </w:rPr>
        <w:t>，</w:t>
      </w:r>
      <w:r w:rsidR="00912439" w:rsidRPr="00D978EA">
        <w:rPr>
          <w:rFonts w:ascii="微软雅黑" w:eastAsia="微软雅黑" w:hAnsi="微软雅黑" w:hint="eastAsia"/>
          <w:szCs w:val="21"/>
        </w:rPr>
        <w:t>势必会</w:t>
      </w:r>
      <w:r w:rsidRPr="00D978EA">
        <w:rPr>
          <w:rFonts w:ascii="微软雅黑" w:eastAsia="微软雅黑" w:hAnsi="微软雅黑" w:hint="eastAsia"/>
          <w:szCs w:val="21"/>
        </w:rPr>
        <w:t>阻碍互联网</w:t>
      </w:r>
      <w:r w:rsidR="00912439" w:rsidRPr="00D978EA">
        <w:rPr>
          <w:rFonts w:ascii="微软雅黑" w:eastAsia="微软雅黑" w:hAnsi="微软雅黑" w:hint="eastAsia"/>
          <w:szCs w:val="21"/>
        </w:rPr>
        <w:t>产业</w:t>
      </w:r>
      <w:r w:rsidRPr="00D978EA">
        <w:rPr>
          <w:rFonts w:ascii="微软雅黑" w:eastAsia="微软雅黑" w:hAnsi="微软雅黑" w:hint="eastAsia"/>
          <w:szCs w:val="21"/>
        </w:rPr>
        <w:t>的健康</w:t>
      </w:r>
      <w:r w:rsidR="00D978EA" w:rsidRPr="00D978EA">
        <w:rPr>
          <w:rFonts w:ascii="微软雅黑" w:eastAsia="微软雅黑" w:hAnsi="微软雅黑" w:hint="eastAsia"/>
          <w:szCs w:val="21"/>
        </w:rPr>
        <w:t>发展。为保障陕西省互联网安全高效运行，更好的服务于经济社会，应</w:t>
      </w:r>
      <w:r w:rsidRPr="00D978EA">
        <w:rPr>
          <w:rFonts w:ascii="微软雅黑" w:eastAsia="微软雅黑" w:hAnsi="微软雅黑" w:hint="eastAsia"/>
          <w:szCs w:val="21"/>
        </w:rPr>
        <w:t>采取切实可行的措施强化互联网安全治理。</w:t>
      </w:r>
      <w:r w:rsidR="00D978EA" w:rsidRPr="00D978EA">
        <w:rPr>
          <w:rFonts w:ascii="微软雅黑" w:eastAsia="微软雅黑" w:hAnsi="微软雅黑" w:hint="eastAsia"/>
          <w:szCs w:val="21"/>
        </w:rPr>
        <w:t>建议</w:t>
      </w:r>
      <w:r w:rsidR="00D978EA">
        <w:rPr>
          <w:rFonts w:ascii="微软雅黑" w:eastAsia="微软雅黑" w:hAnsi="微软雅黑" w:hint="eastAsia"/>
          <w:szCs w:val="21"/>
        </w:rPr>
        <w:t>从</w:t>
      </w:r>
      <w:r w:rsidR="00E536CB">
        <w:rPr>
          <w:rFonts w:ascii="微软雅黑" w:eastAsia="微软雅黑" w:hAnsi="微软雅黑" w:hint="eastAsia"/>
          <w:szCs w:val="21"/>
        </w:rPr>
        <w:t>三</w:t>
      </w:r>
      <w:r w:rsidR="00D978EA">
        <w:rPr>
          <w:rFonts w:ascii="微软雅黑" w:eastAsia="微软雅黑" w:hAnsi="微软雅黑" w:hint="eastAsia"/>
          <w:szCs w:val="21"/>
        </w:rPr>
        <w:t>个方面推进具体工作：</w:t>
      </w:r>
      <w:r w:rsidR="00D978EA" w:rsidRPr="00D978EA">
        <w:rPr>
          <w:rFonts w:ascii="微软雅黑" w:eastAsia="微软雅黑" w:hAnsi="微软雅黑" w:hint="eastAsia"/>
          <w:b/>
          <w:szCs w:val="21"/>
        </w:rPr>
        <w:t>一是</w:t>
      </w:r>
      <w:r w:rsidR="00D978EA" w:rsidRPr="00D978EA">
        <w:rPr>
          <w:rFonts w:ascii="微软雅黑" w:eastAsia="微软雅黑" w:hAnsi="微软雅黑" w:hint="eastAsia"/>
          <w:szCs w:val="21"/>
        </w:rPr>
        <w:t>不断加强互联网安全创新技术、新产品和新服务应用，加速互联网安全创新技术产业化、产品化、服务化，积极推进互联网安全试点示范，以应用促进安全保障能力</w:t>
      </w:r>
      <w:r w:rsidR="00E536CB">
        <w:rPr>
          <w:rFonts w:ascii="微软雅黑" w:eastAsia="微软雅黑" w:hAnsi="微软雅黑" w:hint="eastAsia"/>
          <w:szCs w:val="21"/>
        </w:rPr>
        <w:t>提升</w:t>
      </w:r>
      <w:r w:rsidR="004907F8">
        <w:rPr>
          <w:rFonts w:ascii="微软雅黑" w:eastAsia="微软雅黑" w:hAnsi="微软雅黑" w:hint="eastAsia"/>
          <w:szCs w:val="21"/>
        </w:rPr>
        <w:t>。</w:t>
      </w:r>
      <w:r w:rsidR="00E536CB" w:rsidRPr="00E536CB">
        <w:rPr>
          <w:rFonts w:ascii="微软雅黑" w:eastAsia="微软雅黑" w:hAnsi="微软雅黑" w:hint="eastAsia"/>
          <w:b/>
          <w:szCs w:val="21"/>
        </w:rPr>
        <w:t>二是</w:t>
      </w:r>
      <w:r w:rsidR="004907F8">
        <w:rPr>
          <w:rFonts w:ascii="微软雅黑" w:eastAsia="微软雅黑" w:hAnsi="微软雅黑" w:hint="eastAsia"/>
          <w:szCs w:val="21"/>
        </w:rPr>
        <w:t>加强网络执法监督，</w:t>
      </w:r>
      <w:r w:rsidR="004907F8" w:rsidRPr="00E536CB">
        <w:rPr>
          <w:rFonts w:ascii="微软雅黑" w:eastAsia="微软雅黑" w:hAnsi="微软雅黑" w:hint="eastAsia"/>
          <w:szCs w:val="21"/>
        </w:rPr>
        <w:t>依法开展网上诈骗信息治理，</w:t>
      </w:r>
      <w:r w:rsidR="004907F8">
        <w:rPr>
          <w:rFonts w:ascii="微软雅黑" w:eastAsia="微软雅黑" w:hAnsi="微软雅黑" w:hint="eastAsia"/>
          <w:szCs w:val="21"/>
        </w:rPr>
        <w:t>不断</w:t>
      </w:r>
      <w:r w:rsidR="004907F8" w:rsidRPr="00E536CB">
        <w:rPr>
          <w:rFonts w:ascii="微软雅黑" w:eastAsia="微软雅黑" w:hAnsi="微软雅黑" w:hint="eastAsia"/>
          <w:szCs w:val="21"/>
        </w:rPr>
        <w:t>规范重点电信业务</w:t>
      </w:r>
      <w:r w:rsidR="004907F8">
        <w:rPr>
          <w:rFonts w:ascii="微软雅黑" w:eastAsia="微软雅黑" w:hAnsi="微软雅黑" w:hint="eastAsia"/>
          <w:szCs w:val="21"/>
        </w:rPr>
        <w:t>，</w:t>
      </w:r>
      <w:r w:rsidR="004907F8" w:rsidRPr="00E536CB">
        <w:rPr>
          <w:rFonts w:ascii="微软雅黑" w:eastAsia="微软雅黑" w:hAnsi="微软雅黑" w:hint="eastAsia"/>
          <w:szCs w:val="21"/>
        </w:rPr>
        <w:t>持续巩固电话用户实名登记成</w:t>
      </w:r>
      <w:r w:rsidR="004907F8" w:rsidRPr="004907F8">
        <w:rPr>
          <w:rFonts w:ascii="微软雅黑" w:eastAsia="微软雅黑" w:hAnsi="微软雅黑" w:hint="eastAsia"/>
          <w:szCs w:val="21"/>
        </w:rPr>
        <w:t>效，切实</w:t>
      </w:r>
      <w:r w:rsidR="00E536CB" w:rsidRPr="004907F8">
        <w:rPr>
          <w:rFonts w:ascii="微软雅黑" w:eastAsia="微软雅黑" w:hAnsi="微软雅黑" w:hint="eastAsia"/>
          <w:szCs w:val="21"/>
        </w:rPr>
        <w:t>有效降</w:t>
      </w:r>
      <w:r w:rsidR="00E536CB" w:rsidRPr="00E536CB">
        <w:rPr>
          <w:rFonts w:ascii="微软雅黑" w:eastAsia="微软雅黑" w:hAnsi="微软雅黑" w:hint="eastAsia"/>
          <w:szCs w:val="21"/>
        </w:rPr>
        <w:t>低网络诈骗威胁风险</w:t>
      </w:r>
      <w:r w:rsidR="004907F8">
        <w:rPr>
          <w:rFonts w:ascii="微软雅黑" w:eastAsia="微软雅黑" w:hAnsi="微软雅黑" w:hint="eastAsia"/>
          <w:szCs w:val="21"/>
        </w:rPr>
        <w:t>。</w:t>
      </w:r>
      <w:r w:rsidR="00E536CB">
        <w:rPr>
          <w:rFonts w:ascii="微软雅黑" w:eastAsia="微软雅黑" w:hAnsi="微软雅黑" w:hint="eastAsia"/>
          <w:b/>
          <w:szCs w:val="21"/>
        </w:rPr>
        <w:t>三</w:t>
      </w:r>
      <w:r w:rsidR="00D978EA" w:rsidRPr="00D978EA">
        <w:rPr>
          <w:rFonts w:ascii="微软雅黑" w:eastAsia="微软雅黑" w:hAnsi="微软雅黑" w:hint="eastAsia"/>
          <w:b/>
          <w:szCs w:val="21"/>
        </w:rPr>
        <w:t>是</w:t>
      </w:r>
      <w:r w:rsidR="00D978EA" w:rsidRPr="00D978EA">
        <w:rPr>
          <w:rFonts w:ascii="微软雅黑" w:eastAsia="微软雅黑" w:hAnsi="微软雅黑" w:hint="eastAsia"/>
          <w:szCs w:val="21"/>
        </w:rPr>
        <w:t>进一步理顺网络安全人才流动机制，研究</w:t>
      </w:r>
      <w:r w:rsidR="00E536CB">
        <w:rPr>
          <w:rFonts w:ascii="微软雅黑" w:eastAsia="微软雅黑" w:hAnsi="微软雅黑" w:hint="eastAsia"/>
          <w:szCs w:val="21"/>
        </w:rPr>
        <w:t>和</w:t>
      </w:r>
      <w:r w:rsidR="00D978EA" w:rsidRPr="00D978EA">
        <w:rPr>
          <w:rFonts w:ascii="微软雅黑" w:eastAsia="微软雅黑" w:hAnsi="微软雅黑" w:hint="eastAsia"/>
          <w:szCs w:val="21"/>
        </w:rPr>
        <w:t>实施更具吸引力、更加包容的人才政策，改革人才培养、引进机制，通过强化人才队伍建设，促进全省互联网安全体系的健康快速发展。</w:t>
      </w:r>
    </w:p>
    <w:p w:rsidR="00ED5D95" w:rsidRDefault="00ED5D95" w:rsidP="00FB4E56">
      <w:pPr>
        <w:spacing w:before="240"/>
        <w:outlineLvl w:val="1"/>
        <w:rPr>
          <w:rFonts w:ascii="华文细黑" w:eastAsia="华文细黑" w:hAnsi="华文细黑"/>
          <w:b/>
          <w:szCs w:val="21"/>
        </w:rPr>
      </w:pPr>
      <w:r>
        <w:rPr>
          <w:rFonts w:ascii="华文细黑" w:eastAsia="华文细黑" w:hAnsi="华文细黑"/>
          <w:b/>
          <w:szCs w:val="21"/>
        </w:rPr>
        <w:br w:type="page"/>
      </w:r>
    </w:p>
    <w:p w:rsidR="00366C15" w:rsidRPr="009D423B" w:rsidRDefault="00366C15" w:rsidP="00CA14F3">
      <w:pPr>
        <w:jc w:val="center"/>
        <w:outlineLvl w:val="0"/>
        <w:rPr>
          <w:rFonts w:ascii="微软雅黑" w:eastAsia="微软雅黑" w:hAnsi="微软雅黑" w:cs="STHeiti"/>
          <w:b/>
          <w:sz w:val="28"/>
          <w:szCs w:val="28"/>
        </w:rPr>
      </w:pPr>
      <w:bookmarkStart w:id="412" w:name="_Toc524418039"/>
      <w:r w:rsidRPr="009D423B">
        <w:rPr>
          <w:rFonts w:ascii="微软雅黑" w:eastAsia="微软雅黑" w:hAnsi="微软雅黑" w:cs="STHeiti"/>
          <w:b/>
          <w:sz w:val="28"/>
          <w:szCs w:val="28"/>
        </w:rPr>
        <w:t>第</w:t>
      </w:r>
      <w:r w:rsidR="002F7B7A">
        <w:rPr>
          <w:rFonts w:ascii="微软雅黑" w:eastAsia="微软雅黑" w:hAnsi="微软雅黑" w:cs="STHeiti" w:hint="eastAsia"/>
          <w:b/>
          <w:sz w:val="28"/>
          <w:szCs w:val="28"/>
        </w:rPr>
        <w:t>三</w:t>
      </w:r>
      <w:r w:rsidRPr="009D423B">
        <w:rPr>
          <w:rFonts w:ascii="微软雅黑" w:eastAsia="微软雅黑" w:hAnsi="微软雅黑" w:cs="STHeiti"/>
          <w:b/>
          <w:sz w:val="28"/>
          <w:szCs w:val="28"/>
        </w:rPr>
        <w:t>部分</w:t>
      </w:r>
      <w:r w:rsidR="002F7B7A">
        <w:rPr>
          <w:rFonts w:ascii="微软雅黑" w:eastAsia="微软雅黑" w:hAnsi="微软雅黑" w:cs="STHeiti" w:hint="eastAsia"/>
          <w:b/>
          <w:sz w:val="28"/>
          <w:szCs w:val="28"/>
        </w:rPr>
        <w:t xml:space="preserve"> </w:t>
      </w:r>
      <w:r w:rsidRPr="009D423B">
        <w:rPr>
          <w:rFonts w:ascii="微软雅黑" w:eastAsia="微软雅黑" w:hAnsi="微软雅黑" w:cs="STHeiti" w:hint="eastAsia"/>
          <w:b/>
          <w:sz w:val="28"/>
          <w:szCs w:val="28"/>
        </w:rPr>
        <w:t xml:space="preserve"> </w:t>
      </w:r>
      <w:r w:rsidRPr="009D423B">
        <w:rPr>
          <w:rFonts w:ascii="微软雅黑" w:eastAsia="微软雅黑" w:hAnsi="微软雅黑" w:cs="STHeiti"/>
          <w:b/>
          <w:sz w:val="28"/>
          <w:szCs w:val="28"/>
        </w:rPr>
        <w:t>附录</w:t>
      </w:r>
      <w:bookmarkEnd w:id="412"/>
    </w:p>
    <w:p w:rsidR="00913983" w:rsidRPr="00017C70" w:rsidRDefault="00913983" w:rsidP="00017C70">
      <w:pPr>
        <w:spacing w:line="360" w:lineRule="auto"/>
        <w:outlineLvl w:val="1"/>
        <w:rPr>
          <w:rFonts w:ascii="微软雅黑" w:eastAsia="微软雅黑" w:hAnsi="微软雅黑"/>
          <w:b/>
        </w:rPr>
      </w:pPr>
      <w:bookmarkStart w:id="413" w:name="_Toc524418040"/>
      <w:bookmarkStart w:id="414" w:name="_Toc491880290"/>
      <w:r>
        <w:rPr>
          <w:rFonts w:ascii="微软雅黑" w:eastAsia="微软雅黑" w:hAnsi="微软雅黑" w:hint="eastAsia"/>
          <w:b/>
        </w:rPr>
        <w:t>一、我国互联网产业发展总体情况</w:t>
      </w:r>
      <w:bookmarkEnd w:id="413"/>
    </w:p>
    <w:p w:rsidR="009418A4" w:rsidRPr="00017C70" w:rsidRDefault="009418A4" w:rsidP="00017C70">
      <w:pPr>
        <w:spacing w:line="360" w:lineRule="auto"/>
        <w:outlineLvl w:val="2"/>
        <w:rPr>
          <w:rFonts w:ascii="微软雅黑" w:eastAsia="微软雅黑" w:hAnsi="微软雅黑"/>
          <w:b/>
        </w:rPr>
      </w:pPr>
      <w:bookmarkStart w:id="415" w:name="_Toc524418041"/>
      <w:r w:rsidRPr="00017C70">
        <w:rPr>
          <w:rFonts w:ascii="微软雅黑" w:eastAsia="微软雅黑" w:hAnsi="微软雅黑" w:hint="eastAsia"/>
          <w:b/>
        </w:rPr>
        <w:t>（一）新营销</w:t>
      </w:r>
      <w:bookmarkEnd w:id="415"/>
    </w:p>
    <w:p w:rsidR="009418A4" w:rsidRPr="00017C70" w:rsidRDefault="00017C70" w:rsidP="00017C70">
      <w:pPr>
        <w:spacing w:line="400" w:lineRule="exact"/>
        <w:outlineLvl w:val="3"/>
        <w:rPr>
          <w:rFonts w:ascii="微软雅黑" w:eastAsia="微软雅黑" w:hAnsi="微软雅黑"/>
          <w:b/>
        </w:rPr>
      </w:pPr>
      <w:bookmarkStart w:id="416" w:name="_Toc524418042"/>
      <w:r w:rsidRPr="00017C70">
        <w:rPr>
          <w:rFonts w:ascii="微软雅黑" w:eastAsia="微软雅黑" w:hAnsi="微软雅黑" w:hint="eastAsia"/>
          <w:b/>
        </w:rPr>
        <w:t>1.</w:t>
      </w:r>
      <w:r w:rsidR="009418A4" w:rsidRPr="00017C70">
        <w:rPr>
          <w:rFonts w:ascii="微软雅黑" w:eastAsia="微软雅黑" w:hAnsi="微软雅黑" w:hint="eastAsia"/>
          <w:b/>
        </w:rPr>
        <w:t>网络营销的新阶段</w:t>
      </w:r>
      <w:bookmarkEnd w:id="416"/>
    </w:p>
    <w:p w:rsidR="009418A4" w:rsidRPr="00017C70" w:rsidRDefault="009418A4" w:rsidP="00017C70">
      <w:pPr>
        <w:spacing w:before="240" w:line="400" w:lineRule="exact"/>
        <w:ind w:firstLineChars="200" w:firstLine="420"/>
        <w:rPr>
          <w:rFonts w:ascii="微软雅黑" w:eastAsia="微软雅黑" w:hAnsi="微软雅黑"/>
          <w:szCs w:val="21"/>
        </w:rPr>
      </w:pPr>
      <w:r w:rsidRPr="00017C70">
        <w:rPr>
          <w:rFonts w:ascii="微软雅黑" w:eastAsia="微软雅黑" w:hAnsi="微软雅黑"/>
          <w:szCs w:val="21"/>
        </w:rPr>
        <w:t>2017</w:t>
      </w:r>
      <w:r w:rsidRPr="00017C70">
        <w:rPr>
          <w:rFonts w:ascii="微软雅黑" w:eastAsia="微软雅黑" w:hAnsi="微软雅黑" w:hint="eastAsia"/>
          <w:szCs w:val="21"/>
        </w:rPr>
        <w:t>年，中国网络广告规模</w:t>
      </w:r>
      <w:r w:rsidR="00017C70">
        <w:rPr>
          <w:rFonts w:ascii="微软雅黑" w:eastAsia="微软雅黑" w:hAnsi="微软雅黑" w:hint="eastAsia"/>
          <w:szCs w:val="21"/>
        </w:rPr>
        <w:t>接</w:t>
      </w:r>
      <w:r w:rsidRPr="00017C70">
        <w:rPr>
          <w:rFonts w:ascii="微软雅黑" w:eastAsia="微软雅黑" w:hAnsi="微软雅黑" w:hint="eastAsia"/>
          <w:szCs w:val="21"/>
        </w:rPr>
        <w:t>近</w:t>
      </w:r>
      <w:r w:rsidRPr="00017C70">
        <w:rPr>
          <w:rFonts w:ascii="微软雅黑" w:eastAsia="微软雅黑" w:hAnsi="微软雅黑"/>
          <w:szCs w:val="21"/>
        </w:rPr>
        <w:t>4000</w:t>
      </w:r>
      <w:r w:rsidRPr="00017C70">
        <w:rPr>
          <w:rFonts w:ascii="微软雅黑" w:eastAsia="微软雅黑" w:hAnsi="微软雅黑" w:hint="eastAsia"/>
          <w:szCs w:val="21"/>
        </w:rPr>
        <w:t>亿元，在中国广告市场中占比将超过</w:t>
      </w:r>
      <w:r w:rsidRPr="00017C70">
        <w:rPr>
          <w:rFonts w:ascii="微软雅黑" w:eastAsia="微软雅黑" w:hAnsi="微软雅黑"/>
          <w:szCs w:val="21"/>
        </w:rPr>
        <w:t>50%</w:t>
      </w:r>
      <w:r w:rsidRPr="00017C70">
        <w:rPr>
          <w:rFonts w:ascii="微软雅黑" w:eastAsia="微软雅黑" w:hAnsi="微软雅黑" w:hint="eastAsia"/>
          <w:szCs w:val="21"/>
        </w:rPr>
        <w:t>。受网民人数增长，数字媒体使用时长增长、网络视听业务快速增长等因素推动，未来几年，报纸、杂志、电视广告将继续下滑，而网络广告市场还将保持较快速度增长。</w:t>
      </w:r>
    </w:p>
    <w:p w:rsidR="009418A4" w:rsidRDefault="009418A4"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szCs w:val="21"/>
        </w:rPr>
        <w:t>2017</w:t>
      </w:r>
      <w:r w:rsidRPr="00017C70">
        <w:rPr>
          <w:rFonts w:ascii="微软雅黑" w:eastAsia="微软雅黑" w:hAnsi="微软雅黑" w:hint="eastAsia"/>
          <w:szCs w:val="21"/>
        </w:rPr>
        <w:t>年</w:t>
      </w:r>
      <w:r w:rsidR="00017C70">
        <w:rPr>
          <w:rFonts w:ascii="微软雅黑" w:eastAsia="微软雅黑" w:hAnsi="微软雅黑" w:hint="eastAsia"/>
          <w:szCs w:val="21"/>
        </w:rPr>
        <w:t>，</w:t>
      </w:r>
      <w:r w:rsidRPr="00017C70">
        <w:rPr>
          <w:rFonts w:ascii="微软雅黑" w:eastAsia="微软雅黑" w:hAnsi="微软雅黑"/>
          <w:szCs w:val="21"/>
        </w:rPr>
        <w:t>“</w:t>
      </w:r>
      <w:r w:rsidRPr="00017C70">
        <w:rPr>
          <w:rFonts w:ascii="微软雅黑" w:eastAsia="微软雅黑" w:hAnsi="微软雅黑" w:hint="eastAsia"/>
          <w:szCs w:val="21"/>
        </w:rPr>
        <w:t>智能化</w:t>
      </w:r>
      <w:r w:rsidRPr="00017C70">
        <w:rPr>
          <w:rFonts w:ascii="微软雅黑" w:eastAsia="微软雅黑" w:hAnsi="微软雅黑"/>
          <w:szCs w:val="21"/>
        </w:rPr>
        <w:t>”</w:t>
      </w:r>
      <w:r w:rsidRPr="00017C70">
        <w:rPr>
          <w:rFonts w:ascii="微软雅黑" w:eastAsia="微软雅黑" w:hAnsi="微软雅黑" w:hint="eastAsia"/>
          <w:szCs w:val="21"/>
        </w:rPr>
        <w:t>与</w:t>
      </w:r>
      <w:r w:rsidRPr="00017C70">
        <w:rPr>
          <w:rFonts w:ascii="微软雅黑" w:eastAsia="微软雅黑" w:hAnsi="微软雅黑"/>
          <w:szCs w:val="21"/>
        </w:rPr>
        <w:t>“</w:t>
      </w:r>
      <w:r w:rsidRPr="00017C70">
        <w:rPr>
          <w:rFonts w:ascii="微软雅黑" w:eastAsia="微软雅黑" w:hAnsi="微软雅黑" w:hint="eastAsia"/>
          <w:szCs w:val="21"/>
        </w:rPr>
        <w:t>原生化</w:t>
      </w:r>
      <w:r w:rsidRPr="00017C70">
        <w:rPr>
          <w:rFonts w:ascii="微软雅黑" w:eastAsia="微软雅黑" w:hAnsi="微软雅黑"/>
          <w:szCs w:val="21"/>
        </w:rPr>
        <w:t>”</w:t>
      </w:r>
      <w:r w:rsidR="00017C70">
        <w:rPr>
          <w:rFonts w:ascii="微软雅黑" w:eastAsia="微软雅黑" w:hAnsi="微软雅黑"/>
          <w:szCs w:val="21"/>
        </w:rPr>
        <w:t>成为</w:t>
      </w:r>
      <w:r w:rsidR="00017C70">
        <w:rPr>
          <w:rFonts w:ascii="微软雅黑" w:eastAsia="微软雅黑" w:hAnsi="微软雅黑" w:hint="eastAsia"/>
          <w:szCs w:val="21"/>
        </w:rPr>
        <w:t>网络广告关键词</w:t>
      </w:r>
      <w:r w:rsidRPr="00017C70">
        <w:rPr>
          <w:rFonts w:ascii="微软雅黑" w:eastAsia="微软雅黑" w:hAnsi="微软雅黑" w:hint="eastAsia"/>
          <w:szCs w:val="21"/>
        </w:rPr>
        <w:t>。广告主对于网络广告的玩法更加熟悉，广告类型也随着原生广告的发展而不断进化，广告与内容之间的界限愈加模糊。随着网络环境的不断改善，视频成为了人们接受信息更习惯的内容形式，视频类广告也得到较快发展。同时，</w:t>
      </w:r>
      <w:r w:rsidRPr="00017C70">
        <w:rPr>
          <w:rFonts w:ascii="微软雅黑" w:eastAsia="微软雅黑" w:hAnsi="微软雅黑"/>
          <w:szCs w:val="21"/>
        </w:rPr>
        <w:t>AI</w:t>
      </w:r>
      <w:r w:rsidRPr="00017C70">
        <w:rPr>
          <w:rFonts w:ascii="微软雅黑" w:eastAsia="微软雅黑" w:hAnsi="微软雅黑" w:hint="eastAsia"/>
          <w:szCs w:val="21"/>
        </w:rPr>
        <w:t>的快速迭代也将在网络营销领域快速得到落地，智能营销成为当前最火热的名词，也为行业注入新的机会点。</w:t>
      </w:r>
    </w:p>
    <w:p w:rsidR="00017C70" w:rsidRDefault="00017C70" w:rsidP="00017C70">
      <w:pPr>
        <w:spacing w:line="400" w:lineRule="exact"/>
        <w:ind w:firstLineChars="200" w:firstLine="420"/>
        <w:rPr>
          <w:rFonts w:ascii="微软雅黑" w:eastAsia="微软雅黑" w:hAnsi="微软雅黑"/>
          <w:szCs w:val="21"/>
        </w:rPr>
      </w:pPr>
    </w:p>
    <w:p w:rsidR="009418A4" w:rsidRDefault="009418A4" w:rsidP="009418A4">
      <w:pPr>
        <w:jc w:val="center"/>
        <w:rPr>
          <w:rFonts w:ascii="微软雅黑" w:eastAsia="微软雅黑" w:hAnsi="微软雅黑"/>
          <w:noProof/>
          <w:szCs w:val="21"/>
        </w:rPr>
      </w:pPr>
      <w:r>
        <w:rPr>
          <w:noProof/>
        </w:rPr>
        <w:drawing>
          <wp:inline distT="0" distB="0" distL="0" distR="0">
            <wp:extent cx="5278120" cy="1719665"/>
            <wp:effectExtent l="0" t="0" r="0" b="0"/>
            <wp:docPr id="97530" name="图片 9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5278120" cy="1719665"/>
                    </a:xfrm>
                    <a:prstGeom prst="rect">
                      <a:avLst/>
                    </a:prstGeom>
                  </pic:spPr>
                </pic:pic>
              </a:graphicData>
            </a:graphic>
          </wp:inline>
        </w:drawing>
      </w:r>
    </w:p>
    <w:p w:rsidR="00017C70" w:rsidRDefault="00017C70" w:rsidP="009418A4">
      <w:pPr>
        <w:jc w:val="center"/>
        <w:rPr>
          <w:rFonts w:ascii="微软雅黑" w:eastAsia="微软雅黑" w:hAnsi="微软雅黑"/>
          <w:noProof/>
          <w:szCs w:val="21"/>
        </w:rPr>
      </w:pPr>
    </w:p>
    <w:p w:rsidR="009418A4" w:rsidRPr="00017C70" w:rsidRDefault="00017C70" w:rsidP="00017C70">
      <w:pPr>
        <w:spacing w:line="400" w:lineRule="exact"/>
        <w:outlineLvl w:val="3"/>
        <w:rPr>
          <w:rFonts w:ascii="微软雅黑" w:eastAsia="微软雅黑" w:hAnsi="微软雅黑"/>
          <w:b/>
        </w:rPr>
      </w:pPr>
      <w:bookmarkStart w:id="417" w:name="_Toc524418043"/>
      <w:r w:rsidRPr="00017C70">
        <w:rPr>
          <w:rFonts w:ascii="微软雅黑" w:eastAsia="微软雅黑" w:hAnsi="微软雅黑" w:hint="eastAsia"/>
          <w:b/>
        </w:rPr>
        <w:t>2.</w:t>
      </w:r>
      <w:r w:rsidR="009418A4" w:rsidRPr="00017C70">
        <w:rPr>
          <w:rFonts w:ascii="微软雅黑" w:eastAsia="微软雅黑" w:hAnsi="微软雅黑" w:hint="eastAsia"/>
          <w:b/>
        </w:rPr>
        <w:t>数字营销进入深水区</w:t>
      </w:r>
      <w:bookmarkEnd w:id="417"/>
    </w:p>
    <w:p w:rsidR="009418A4" w:rsidRDefault="009418A4"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从</w:t>
      </w:r>
      <w:r w:rsidRPr="00017C70">
        <w:rPr>
          <w:rFonts w:ascii="微软雅黑" w:eastAsia="微软雅黑" w:hAnsi="微软雅黑"/>
          <w:szCs w:val="21"/>
        </w:rPr>
        <w:t>1997</w:t>
      </w:r>
      <w:r w:rsidRPr="00017C70">
        <w:rPr>
          <w:rFonts w:ascii="微软雅黑" w:eastAsia="微软雅黑" w:hAnsi="微软雅黑" w:hint="eastAsia"/>
          <w:szCs w:val="21"/>
        </w:rPr>
        <w:t>年英特尔在</w:t>
      </w:r>
      <w:r w:rsidRPr="00017C70">
        <w:rPr>
          <w:rFonts w:ascii="微软雅黑" w:eastAsia="微软雅黑" w:hAnsi="微软雅黑"/>
          <w:szCs w:val="21"/>
        </w:rPr>
        <w:t>ChinaByte</w:t>
      </w:r>
      <w:r w:rsidRPr="00017C70">
        <w:rPr>
          <w:rFonts w:ascii="微软雅黑" w:eastAsia="微软雅黑" w:hAnsi="微软雅黑" w:hint="eastAsia"/>
          <w:szCs w:val="21"/>
        </w:rPr>
        <w:t>上投放的第一个互联网广告算起，中国数字营销已经走过二十个年头，二十年间，其获得了超高速增长，</w:t>
      </w:r>
      <w:r w:rsidRPr="00017C70">
        <w:rPr>
          <w:rFonts w:ascii="微软雅黑" w:eastAsia="微软雅黑" w:hAnsi="微软雅黑"/>
          <w:szCs w:val="21"/>
        </w:rPr>
        <w:t>2017</w:t>
      </w:r>
      <w:r w:rsidRPr="00017C70">
        <w:rPr>
          <w:rFonts w:ascii="微软雅黑" w:eastAsia="微软雅黑" w:hAnsi="微软雅黑" w:hint="eastAsia"/>
          <w:szCs w:val="21"/>
        </w:rPr>
        <w:t>年市场规模突破</w:t>
      </w:r>
      <w:r w:rsidRPr="00017C70">
        <w:rPr>
          <w:rFonts w:ascii="微软雅黑" w:eastAsia="微软雅黑" w:hAnsi="微软雅黑"/>
          <w:szCs w:val="21"/>
        </w:rPr>
        <w:t>3800</w:t>
      </w:r>
      <w:r w:rsidRPr="00017C70">
        <w:rPr>
          <w:rFonts w:ascii="微软雅黑" w:eastAsia="微软雅黑" w:hAnsi="微软雅黑" w:hint="eastAsia"/>
          <w:szCs w:val="21"/>
        </w:rPr>
        <w:t>亿</w:t>
      </w:r>
      <w:r w:rsidR="00017C70" w:rsidRPr="00017C70">
        <w:rPr>
          <w:rFonts w:ascii="微软雅黑" w:eastAsia="微软雅黑" w:hAnsi="微软雅黑" w:hint="eastAsia"/>
          <w:szCs w:val="21"/>
        </w:rPr>
        <w:t>。</w:t>
      </w:r>
      <w:r w:rsidRPr="00017C70">
        <w:rPr>
          <w:rFonts w:ascii="微软雅黑" w:eastAsia="微软雅黑" w:hAnsi="微软雅黑" w:hint="eastAsia"/>
          <w:szCs w:val="21"/>
        </w:rPr>
        <w:t>但随着互联网环境的变化，作为广告基石的流量，其固化现象越发明显，数字营销进入深水区，尤其体现在两个方面：</w:t>
      </w:r>
      <w:r w:rsidR="00017C70" w:rsidRPr="00017C70">
        <w:rPr>
          <w:rFonts w:ascii="微软雅黑" w:eastAsia="微软雅黑" w:hAnsi="微软雅黑" w:hint="eastAsia"/>
          <w:szCs w:val="21"/>
        </w:rPr>
        <w:t>一是</w:t>
      </w:r>
      <w:r w:rsidRPr="00017C70">
        <w:rPr>
          <w:rFonts w:ascii="微软雅黑" w:eastAsia="微软雅黑" w:hAnsi="微软雅黑" w:hint="eastAsia"/>
          <w:szCs w:val="21"/>
        </w:rPr>
        <w:t>流量增量放缓；</w:t>
      </w:r>
      <w:r w:rsidR="00017C70" w:rsidRPr="00017C70">
        <w:rPr>
          <w:rFonts w:ascii="微软雅黑" w:eastAsia="微软雅黑" w:hAnsi="微软雅黑"/>
          <w:szCs w:val="21"/>
        </w:rPr>
        <w:t>二是</w:t>
      </w:r>
      <w:r w:rsidRPr="00017C70">
        <w:rPr>
          <w:rFonts w:ascii="微软雅黑" w:eastAsia="微软雅黑" w:hAnsi="微软雅黑" w:hint="eastAsia"/>
          <w:szCs w:val="21"/>
        </w:rPr>
        <w:t>流量存量向头部集中。基于此，艾瑞分析认为，数字营销未来发展要解决的核心问题是挖掘新的流量增长点，并提升流量变现效率。</w:t>
      </w:r>
    </w:p>
    <w:p w:rsidR="009418A4" w:rsidRDefault="009418A4" w:rsidP="009418A4">
      <w:pPr>
        <w:jc w:val="center"/>
        <w:rPr>
          <w:rFonts w:ascii="微软雅黑" w:eastAsia="微软雅黑" w:hAnsi="微软雅黑"/>
          <w:noProof/>
          <w:szCs w:val="21"/>
        </w:rPr>
      </w:pPr>
      <w:r>
        <w:rPr>
          <w:noProof/>
        </w:rPr>
        <w:drawing>
          <wp:inline distT="0" distB="0" distL="0" distR="0">
            <wp:extent cx="5278120" cy="2535819"/>
            <wp:effectExtent l="0" t="0" r="0" b="0"/>
            <wp:docPr id="97534" name="图片 9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5278120" cy="2535819"/>
                    </a:xfrm>
                    <a:prstGeom prst="rect">
                      <a:avLst/>
                    </a:prstGeom>
                  </pic:spPr>
                </pic:pic>
              </a:graphicData>
            </a:graphic>
          </wp:inline>
        </w:drawing>
      </w:r>
    </w:p>
    <w:p w:rsidR="009418A4" w:rsidRDefault="009418A4" w:rsidP="009418A4">
      <w:pPr>
        <w:spacing w:line="400" w:lineRule="exact"/>
        <w:rPr>
          <w:rFonts w:ascii="微软雅黑" w:eastAsia="微软雅黑" w:hAnsi="微软雅黑"/>
          <w:noProof/>
          <w:szCs w:val="21"/>
        </w:rPr>
      </w:pPr>
    </w:p>
    <w:p w:rsidR="009418A4" w:rsidRPr="00017C70" w:rsidRDefault="009418A4" w:rsidP="00017C70">
      <w:pPr>
        <w:spacing w:line="360" w:lineRule="auto"/>
        <w:outlineLvl w:val="2"/>
        <w:rPr>
          <w:rFonts w:ascii="微软雅黑" w:eastAsia="微软雅黑" w:hAnsi="微软雅黑"/>
          <w:b/>
        </w:rPr>
      </w:pPr>
      <w:bookmarkStart w:id="418" w:name="_Toc524418044"/>
      <w:r w:rsidRPr="00017C70">
        <w:rPr>
          <w:rFonts w:ascii="微软雅黑" w:eastAsia="微软雅黑" w:hAnsi="微软雅黑" w:hint="eastAsia"/>
          <w:b/>
        </w:rPr>
        <w:t>（二）新零售产业</w:t>
      </w:r>
      <w:bookmarkEnd w:id="418"/>
    </w:p>
    <w:p w:rsidR="009418A4" w:rsidRPr="00017C70" w:rsidRDefault="000D4DCD" w:rsidP="00017C70">
      <w:pPr>
        <w:spacing w:line="400" w:lineRule="exact"/>
        <w:outlineLvl w:val="3"/>
        <w:rPr>
          <w:rFonts w:ascii="微软雅黑" w:eastAsia="微软雅黑" w:hAnsi="微软雅黑"/>
          <w:b/>
        </w:rPr>
      </w:pPr>
      <w:bookmarkStart w:id="419" w:name="_Toc524418045"/>
      <w:r>
        <w:rPr>
          <w:rFonts w:ascii="微软雅黑" w:eastAsia="微软雅黑" w:hAnsi="微软雅黑" w:hint="eastAsia"/>
          <w:b/>
        </w:rPr>
        <w:t>1.</w:t>
      </w:r>
      <w:r w:rsidR="009418A4" w:rsidRPr="00017C70">
        <w:rPr>
          <w:rFonts w:ascii="微软雅黑" w:eastAsia="微软雅黑" w:hAnsi="微软雅黑" w:hint="eastAsia"/>
          <w:b/>
        </w:rPr>
        <w:t>线上零售平稳增长</w:t>
      </w:r>
      <w:bookmarkEnd w:id="419"/>
    </w:p>
    <w:p w:rsidR="009418A4" w:rsidRDefault="009418A4"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szCs w:val="21"/>
        </w:rPr>
        <w:t>2017</w:t>
      </w:r>
      <w:r w:rsidRPr="00017C70">
        <w:rPr>
          <w:rFonts w:ascii="微软雅黑" w:eastAsia="微软雅黑" w:hAnsi="微软雅黑" w:hint="eastAsia"/>
          <w:szCs w:val="21"/>
        </w:rPr>
        <w:t>年是中国线上线下融合的实践年，在消费升级以及数据驱动的大背景下，中国网络零售市场活力重现。</w:t>
      </w:r>
      <w:r w:rsidRPr="00017C70">
        <w:rPr>
          <w:rFonts w:ascii="微软雅黑" w:eastAsia="微软雅黑" w:hAnsi="微软雅黑"/>
          <w:szCs w:val="21"/>
        </w:rPr>
        <w:t>2017</w:t>
      </w:r>
      <w:r w:rsidRPr="00017C70">
        <w:rPr>
          <w:rFonts w:ascii="微软雅黑" w:eastAsia="微软雅黑" w:hAnsi="微软雅黑" w:hint="eastAsia"/>
          <w:szCs w:val="21"/>
        </w:rPr>
        <w:t>年中国网络零售市场规模突破</w:t>
      </w:r>
      <w:r w:rsidRPr="00017C70">
        <w:rPr>
          <w:rFonts w:ascii="微软雅黑" w:eastAsia="微软雅黑" w:hAnsi="微软雅黑"/>
          <w:szCs w:val="21"/>
        </w:rPr>
        <w:t>6</w:t>
      </w:r>
      <w:r w:rsidRPr="00017C70">
        <w:rPr>
          <w:rFonts w:ascii="微软雅黑" w:eastAsia="微软雅黑" w:hAnsi="微软雅黑" w:hint="eastAsia"/>
          <w:szCs w:val="21"/>
        </w:rPr>
        <w:t>万亿元，在社会消费品零售总额中占比达到</w:t>
      </w:r>
      <w:r w:rsidRPr="00017C70">
        <w:rPr>
          <w:rFonts w:ascii="微软雅黑" w:eastAsia="微软雅黑" w:hAnsi="微软雅黑"/>
          <w:szCs w:val="21"/>
        </w:rPr>
        <w:t>16.4%</w:t>
      </w:r>
      <w:r w:rsidRPr="00017C70">
        <w:rPr>
          <w:rFonts w:ascii="微软雅黑" w:eastAsia="微软雅黑" w:hAnsi="微软雅黑" w:hint="eastAsia"/>
          <w:szCs w:val="21"/>
        </w:rPr>
        <w:t>，同比增长</w:t>
      </w:r>
      <w:r w:rsidRPr="00017C70">
        <w:rPr>
          <w:rFonts w:ascii="微软雅黑" w:eastAsia="微软雅黑" w:hAnsi="微软雅黑"/>
          <w:szCs w:val="21"/>
        </w:rPr>
        <w:t>29.6%</w:t>
      </w:r>
      <w:r w:rsidRPr="00017C70">
        <w:rPr>
          <w:rFonts w:ascii="微软雅黑" w:eastAsia="微软雅黑" w:hAnsi="微软雅黑" w:hint="eastAsia"/>
          <w:szCs w:val="21"/>
        </w:rPr>
        <w:t>，多年以来增速首次回升。艾瑞分析认为，线上线下融合的新业态模式不仅是对实体零售的赋能，也是对线上零售结构的重新调整，更多精准高质量的流量导入使网络零售焕发出新的活力。从垂直领域发展来看，生鲜、跨境、母婴依然是高速增长的热门品类。</w:t>
      </w:r>
    </w:p>
    <w:p w:rsidR="009418A4" w:rsidRDefault="009418A4" w:rsidP="00913983">
      <w:pPr>
        <w:spacing w:line="400" w:lineRule="exact"/>
        <w:ind w:firstLineChars="200" w:firstLine="420"/>
        <w:rPr>
          <w:rFonts w:ascii="微软雅黑" w:eastAsia="微软雅黑" w:hAnsi="微软雅黑"/>
          <w:szCs w:val="21"/>
        </w:rPr>
      </w:pPr>
    </w:p>
    <w:p w:rsidR="009418A4" w:rsidRDefault="009418A4" w:rsidP="000D4DCD">
      <w:pPr>
        <w:rPr>
          <w:rFonts w:ascii="微软雅黑" w:eastAsia="微软雅黑" w:hAnsi="微软雅黑"/>
          <w:noProof/>
          <w:szCs w:val="21"/>
        </w:rPr>
      </w:pPr>
      <w:r>
        <w:rPr>
          <w:noProof/>
        </w:rPr>
        <w:drawing>
          <wp:inline distT="0" distB="0" distL="0" distR="0">
            <wp:extent cx="5278120" cy="3050802"/>
            <wp:effectExtent l="0" t="0" r="0" b="0"/>
            <wp:docPr id="97535" name="图片 9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5278120" cy="3050802"/>
                    </a:xfrm>
                    <a:prstGeom prst="rect">
                      <a:avLst/>
                    </a:prstGeom>
                  </pic:spPr>
                </pic:pic>
              </a:graphicData>
            </a:graphic>
          </wp:inline>
        </w:drawing>
      </w:r>
    </w:p>
    <w:p w:rsidR="009418A4" w:rsidRDefault="009418A4" w:rsidP="000D4DCD">
      <w:pPr>
        <w:rPr>
          <w:rFonts w:ascii="微软雅黑" w:eastAsia="微软雅黑" w:hAnsi="微软雅黑"/>
          <w:noProof/>
          <w:szCs w:val="21"/>
        </w:rPr>
      </w:pPr>
      <w:r>
        <w:rPr>
          <w:noProof/>
        </w:rPr>
        <w:drawing>
          <wp:inline distT="0" distB="0" distL="0" distR="0">
            <wp:extent cx="5273540" cy="3600450"/>
            <wp:effectExtent l="0" t="0" r="381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cstate="print"/>
                    <a:srcRect t="6204"/>
                    <a:stretch/>
                  </pic:blipFill>
                  <pic:spPr bwMode="auto">
                    <a:xfrm>
                      <a:off x="0" y="0"/>
                      <a:ext cx="5278120" cy="36035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418A4" w:rsidRDefault="000D4DCD" w:rsidP="000D4DCD">
      <w:pPr>
        <w:spacing w:line="400" w:lineRule="exact"/>
        <w:outlineLvl w:val="3"/>
        <w:rPr>
          <w:rFonts w:ascii="微软雅黑" w:eastAsia="微软雅黑" w:hAnsi="微软雅黑"/>
          <w:szCs w:val="21"/>
        </w:rPr>
      </w:pPr>
      <w:bookmarkStart w:id="420" w:name="_Toc524418046"/>
      <w:r>
        <w:rPr>
          <w:rFonts w:ascii="微软雅黑" w:eastAsia="微软雅黑" w:hAnsi="微软雅黑" w:hint="eastAsia"/>
          <w:b/>
        </w:rPr>
        <w:t>2.</w:t>
      </w:r>
      <w:r w:rsidR="009418A4" w:rsidRPr="00017C70">
        <w:rPr>
          <w:rFonts w:ascii="微软雅黑" w:eastAsia="微软雅黑" w:hAnsi="微软雅黑"/>
          <w:b/>
        </w:rPr>
        <w:t>“</w:t>
      </w:r>
      <w:r w:rsidR="009418A4" w:rsidRPr="00017C70">
        <w:rPr>
          <w:rFonts w:ascii="微软雅黑" w:eastAsia="微软雅黑" w:hAnsi="微软雅黑" w:hint="eastAsia"/>
          <w:b/>
        </w:rPr>
        <w:t>无人</w:t>
      </w:r>
      <w:r w:rsidR="009418A4" w:rsidRPr="00017C70">
        <w:rPr>
          <w:rFonts w:ascii="微软雅黑" w:eastAsia="微软雅黑" w:hAnsi="微软雅黑"/>
          <w:b/>
        </w:rPr>
        <w:t>”</w:t>
      </w:r>
      <w:r w:rsidR="009418A4" w:rsidRPr="00017C70">
        <w:rPr>
          <w:rFonts w:ascii="微软雅黑" w:eastAsia="微软雅黑" w:hAnsi="微软雅黑" w:hint="eastAsia"/>
          <w:b/>
        </w:rPr>
        <w:t>业态引领零售创新浪潮</w:t>
      </w:r>
      <w:bookmarkEnd w:id="420"/>
    </w:p>
    <w:p w:rsidR="009418A4" w:rsidRPr="00017C70" w:rsidRDefault="009418A4"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当前中国无人零售行业主要呈现五大特点：以降低人工成本作为无人零售的主要切入点，在重视消费体验，拓展零售场景的同时通过多种技术手段实现大数据的收集、分析与应用，并最终实现消费流程的全面数据化以及整个产业链的智能化升级提效。艾瑞分析认为，零售产业链的全面数据化是无人零售背后的战略核心，包括客流数据、商品数据、消费数据、金融数据等的全面融合与应用。</w:t>
      </w:r>
    </w:p>
    <w:p w:rsidR="009418A4" w:rsidRPr="00017C70" w:rsidRDefault="000D4DCD" w:rsidP="00017C70">
      <w:pPr>
        <w:spacing w:line="400" w:lineRule="exact"/>
        <w:ind w:firstLineChars="200" w:firstLine="420"/>
        <w:rPr>
          <w:rFonts w:ascii="微软雅黑" w:eastAsia="微软雅黑" w:hAnsi="微软雅黑"/>
          <w:szCs w:val="21"/>
        </w:rPr>
      </w:pPr>
      <w:r>
        <w:rPr>
          <w:rFonts w:ascii="微软雅黑" w:eastAsia="微软雅黑" w:hAnsi="微软雅黑" w:hint="eastAsia"/>
          <w:szCs w:val="21"/>
        </w:rPr>
        <w:t>根据</w:t>
      </w:r>
      <w:r w:rsidR="009418A4" w:rsidRPr="00017C70">
        <w:rPr>
          <w:rFonts w:ascii="微软雅黑" w:eastAsia="微软雅黑" w:hAnsi="微软雅黑" w:hint="eastAsia"/>
          <w:szCs w:val="21"/>
        </w:rPr>
        <w:t>艾瑞咨询最新统计数据，</w:t>
      </w:r>
      <w:r w:rsidR="009418A4" w:rsidRPr="00017C70">
        <w:rPr>
          <w:rFonts w:ascii="微软雅黑" w:eastAsia="微软雅黑" w:hAnsi="微软雅黑"/>
          <w:szCs w:val="21"/>
        </w:rPr>
        <w:t>2017</w:t>
      </w:r>
      <w:r w:rsidR="009418A4" w:rsidRPr="00017C70">
        <w:rPr>
          <w:rFonts w:ascii="微软雅黑" w:eastAsia="微软雅黑" w:hAnsi="微软雅黑" w:hint="eastAsia"/>
          <w:szCs w:val="21"/>
        </w:rPr>
        <w:t>年无人零售市场（含贩卖机）交易规模保守估计将接近</w:t>
      </w:r>
      <w:r w:rsidR="009418A4" w:rsidRPr="00017C70">
        <w:rPr>
          <w:rFonts w:ascii="微软雅黑" w:eastAsia="微软雅黑" w:hAnsi="微软雅黑"/>
          <w:szCs w:val="21"/>
        </w:rPr>
        <w:t>200</w:t>
      </w:r>
      <w:r w:rsidR="009418A4" w:rsidRPr="00017C70">
        <w:rPr>
          <w:rFonts w:ascii="微软雅黑" w:eastAsia="微软雅黑" w:hAnsi="微软雅黑" w:hint="eastAsia"/>
          <w:szCs w:val="21"/>
        </w:rPr>
        <w:t>亿元，预计</w:t>
      </w:r>
      <w:r w:rsidR="009418A4" w:rsidRPr="00017C70">
        <w:rPr>
          <w:rFonts w:ascii="微软雅黑" w:eastAsia="微软雅黑" w:hAnsi="微软雅黑"/>
          <w:szCs w:val="21"/>
        </w:rPr>
        <w:t>2020</w:t>
      </w:r>
      <w:r w:rsidR="009418A4" w:rsidRPr="00017C70">
        <w:rPr>
          <w:rFonts w:ascii="微软雅黑" w:eastAsia="微软雅黑" w:hAnsi="微软雅黑" w:hint="eastAsia"/>
          <w:szCs w:val="21"/>
        </w:rPr>
        <w:t>年将突破</w:t>
      </w:r>
      <w:r w:rsidR="009418A4" w:rsidRPr="00017C70">
        <w:rPr>
          <w:rFonts w:ascii="微软雅黑" w:eastAsia="微软雅黑" w:hAnsi="微软雅黑"/>
          <w:szCs w:val="21"/>
        </w:rPr>
        <w:t>650</w:t>
      </w:r>
      <w:r w:rsidR="009418A4" w:rsidRPr="00017C70">
        <w:rPr>
          <w:rFonts w:ascii="微软雅黑" w:eastAsia="微软雅黑" w:hAnsi="微软雅黑" w:hint="eastAsia"/>
          <w:szCs w:val="21"/>
        </w:rPr>
        <w:t>亿，三年复合增长率在</w:t>
      </w:r>
      <w:r w:rsidR="009418A4" w:rsidRPr="00017C70">
        <w:rPr>
          <w:rFonts w:ascii="微软雅黑" w:eastAsia="微软雅黑" w:hAnsi="微软雅黑"/>
          <w:szCs w:val="21"/>
        </w:rPr>
        <w:t>50%</w:t>
      </w:r>
      <w:r w:rsidR="009418A4" w:rsidRPr="00017C70">
        <w:rPr>
          <w:rFonts w:ascii="微软雅黑" w:eastAsia="微软雅黑" w:hAnsi="微软雅黑" w:hint="eastAsia"/>
          <w:szCs w:val="21"/>
        </w:rPr>
        <w:t>左右。</w:t>
      </w:r>
    </w:p>
    <w:p w:rsidR="009418A4" w:rsidRDefault="009418A4" w:rsidP="009418A4">
      <w:pPr>
        <w:spacing w:line="400" w:lineRule="exact"/>
        <w:ind w:firstLineChars="200" w:firstLine="460"/>
        <w:rPr>
          <w:rFonts w:ascii="微软雅黑" w:eastAsia="微软雅黑" w:hAnsiTheme="minorHAnsi" w:cs="微软雅黑"/>
          <w:color w:val="000000"/>
          <w:kern w:val="0"/>
          <w:sz w:val="23"/>
          <w:szCs w:val="23"/>
        </w:rPr>
      </w:pPr>
    </w:p>
    <w:p w:rsidR="009418A4" w:rsidRDefault="009418A4" w:rsidP="009418A4">
      <w:pPr>
        <w:rPr>
          <w:rFonts w:ascii="微软雅黑" w:eastAsia="微软雅黑" w:hAnsiTheme="minorHAnsi" w:cs="微软雅黑"/>
          <w:color w:val="000000"/>
          <w:kern w:val="0"/>
          <w:sz w:val="23"/>
          <w:szCs w:val="23"/>
        </w:rPr>
      </w:pPr>
      <w:r>
        <w:rPr>
          <w:noProof/>
        </w:rPr>
        <w:drawing>
          <wp:inline distT="0" distB="0" distL="0" distR="0">
            <wp:extent cx="5278120" cy="2042828"/>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5278120" cy="2042828"/>
                    </a:xfrm>
                    <a:prstGeom prst="rect">
                      <a:avLst/>
                    </a:prstGeom>
                  </pic:spPr>
                </pic:pic>
              </a:graphicData>
            </a:graphic>
          </wp:inline>
        </w:drawing>
      </w:r>
    </w:p>
    <w:p w:rsidR="009418A4" w:rsidRDefault="009418A4" w:rsidP="009418A4">
      <w:pPr>
        <w:spacing w:line="400" w:lineRule="exact"/>
        <w:ind w:firstLineChars="200" w:firstLine="460"/>
        <w:rPr>
          <w:rFonts w:ascii="微软雅黑" w:eastAsia="微软雅黑" w:hAnsiTheme="minorHAnsi" w:cs="微软雅黑"/>
          <w:color w:val="000000"/>
          <w:kern w:val="0"/>
          <w:sz w:val="23"/>
          <w:szCs w:val="23"/>
        </w:rPr>
      </w:pPr>
    </w:p>
    <w:p w:rsidR="009418A4" w:rsidRDefault="009418A4" w:rsidP="009418A4">
      <w:pPr>
        <w:spacing w:line="400" w:lineRule="exact"/>
        <w:ind w:firstLineChars="200" w:firstLine="460"/>
        <w:rPr>
          <w:rFonts w:ascii="微软雅黑" w:eastAsia="微软雅黑" w:hAnsiTheme="minorHAnsi" w:cs="微软雅黑"/>
          <w:color w:val="000000"/>
          <w:kern w:val="0"/>
          <w:sz w:val="23"/>
          <w:szCs w:val="23"/>
        </w:rPr>
      </w:pPr>
    </w:p>
    <w:p w:rsidR="009418A4" w:rsidRPr="00017C70" w:rsidRDefault="000D4DCD" w:rsidP="00017C70">
      <w:pPr>
        <w:spacing w:line="400" w:lineRule="exact"/>
        <w:outlineLvl w:val="3"/>
        <w:rPr>
          <w:rFonts w:ascii="微软雅黑" w:eastAsia="微软雅黑" w:hAnsi="微软雅黑"/>
          <w:b/>
        </w:rPr>
      </w:pPr>
      <w:bookmarkStart w:id="421" w:name="_Toc524418047"/>
      <w:r>
        <w:rPr>
          <w:rFonts w:ascii="微软雅黑" w:eastAsia="微软雅黑" w:hAnsi="微软雅黑" w:hint="eastAsia"/>
          <w:b/>
        </w:rPr>
        <w:t>3.</w:t>
      </w:r>
      <w:r w:rsidR="009418A4" w:rsidRPr="00017C70">
        <w:rPr>
          <w:rFonts w:ascii="微软雅黑" w:eastAsia="微软雅黑" w:hAnsi="微软雅黑" w:hint="eastAsia"/>
          <w:b/>
        </w:rPr>
        <w:t>消费升级倒逼上游供应链重塑</w:t>
      </w:r>
      <w:bookmarkEnd w:id="421"/>
    </w:p>
    <w:p w:rsidR="009418A4" w:rsidRDefault="009418A4"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随着居民可支配收入持续增长，消费升级趋势日益显现：以高品质、高性价比、重体验为发展方向。传统电商中商品质量良莠不齐的问题突出，对用户而言信息甄别成本极高；在此背景下，品质电商应运而生并迅速发展：一方面，通过传递</w:t>
      </w:r>
      <w:r w:rsidRPr="00017C70">
        <w:rPr>
          <w:rFonts w:ascii="微软雅黑" w:eastAsia="微软雅黑" w:hAnsi="微软雅黑"/>
          <w:szCs w:val="21"/>
        </w:rPr>
        <w:t>“</w:t>
      </w:r>
      <w:r w:rsidRPr="00017C70">
        <w:rPr>
          <w:rFonts w:ascii="微软雅黑" w:eastAsia="微软雅黑" w:hAnsi="微软雅黑" w:hint="eastAsia"/>
          <w:szCs w:val="21"/>
        </w:rPr>
        <w:t>优选</w:t>
      </w:r>
      <w:r w:rsidRPr="00017C70">
        <w:rPr>
          <w:rFonts w:ascii="微软雅黑" w:eastAsia="微软雅黑" w:hAnsi="微软雅黑"/>
          <w:szCs w:val="21"/>
        </w:rPr>
        <w:t>”</w:t>
      </w:r>
      <w:r w:rsidRPr="00017C70">
        <w:rPr>
          <w:rFonts w:ascii="微软雅黑" w:eastAsia="微软雅黑" w:hAnsi="微软雅黑" w:hint="eastAsia"/>
          <w:szCs w:val="21"/>
        </w:rPr>
        <w:t>、</w:t>
      </w:r>
      <w:r w:rsidRPr="00017C70">
        <w:rPr>
          <w:rFonts w:ascii="微软雅黑" w:eastAsia="微软雅黑" w:hAnsi="微软雅黑"/>
          <w:szCs w:val="21"/>
        </w:rPr>
        <w:t>“</w:t>
      </w:r>
      <w:r w:rsidRPr="00017C70">
        <w:rPr>
          <w:rFonts w:ascii="微软雅黑" w:eastAsia="微软雅黑" w:hAnsi="微软雅黑" w:hint="eastAsia"/>
          <w:szCs w:val="21"/>
        </w:rPr>
        <w:t>甄选</w:t>
      </w:r>
      <w:r w:rsidRPr="00017C70">
        <w:rPr>
          <w:rFonts w:ascii="微软雅黑" w:eastAsia="微软雅黑" w:hAnsi="微软雅黑"/>
          <w:szCs w:val="21"/>
        </w:rPr>
        <w:t>”</w:t>
      </w:r>
      <w:r w:rsidRPr="00017C70">
        <w:rPr>
          <w:rFonts w:ascii="微软雅黑" w:eastAsia="微软雅黑" w:hAnsi="微软雅黑" w:hint="eastAsia"/>
          <w:szCs w:val="21"/>
        </w:rPr>
        <w:t>的品牌形象获得持续增长的消费受众，迎合消费升级的趋势；另一方面，通过需求端逆向传导重塑上游供应链，品控和成本控制同步提升，在更好满足用户消费需求的同时，为传统制造业转型升级提供内在驱动。</w:t>
      </w:r>
    </w:p>
    <w:p w:rsidR="009418A4" w:rsidRDefault="009418A4" w:rsidP="00913983">
      <w:pPr>
        <w:spacing w:line="400" w:lineRule="exact"/>
        <w:ind w:firstLineChars="200" w:firstLine="420"/>
        <w:rPr>
          <w:rFonts w:ascii="微软雅黑" w:eastAsia="微软雅黑" w:hAnsi="微软雅黑"/>
          <w:noProof/>
          <w:szCs w:val="21"/>
        </w:rPr>
      </w:pPr>
    </w:p>
    <w:p w:rsidR="009418A4" w:rsidRDefault="009418A4" w:rsidP="000D4DCD">
      <w:pPr>
        <w:rPr>
          <w:rFonts w:ascii="微软雅黑" w:eastAsia="微软雅黑" w:hAnsi="微软雅黑"/>
          <w:noProof/>
          <w:szCs w:val="21"/>
        </w:rPr>
      </w:pPr>
      <w:r>
        <w:rPr>
          <w:noProof/>
        </w:rPr>
        <w:drawing>
          <wp:inline distT="0" distB="0" distL="0" distR="0">
            <wp:extent cx="5278120" cy="2124688"/>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5278120" cy="2124688"/>
                    </a:xfrm>
                    <a:prstGeom prst="rect">
                      <a:avLst/>
                    </a:prstGeom>
                  </pic:spPr>
                </pic:pic>
              </a:graphicData>
            </a:graphic>
          </wp:inline>
        </w:drawing>
      </w:r>
    </w:p>
    <w:p w:rsidR="009418A4" w:rsidRPr="00017C70" w:rsidRDefault="009418A4" w:rsidP="00017C70">
      <w:pPr>
        <w:spacing w:line="360" w:lineRule="auto"/>
        <w:outlineLvl w:val="2"/>
        <w:rPr>
          <w:rFonts w:ascii="微软雅黑" w:eastAsia="微软雅黑" w:hAnsi="微软雅黑"/>
          <w:b/>
        </w:rPr>
      </w:pPr>
      <w:bookmarkStart w:id="422" w:name="_Toc524418048"/>
      <w:r w:rsidRPr="00017C70">
        <w:rPr>
          <w:rFonts w:ascii="微软雅黑" w:eastAsia="微软雅黑" w:hAnsi="微软雅黑" w:hint="eastAsia"/>
          <w:b/>
        </w:rPr>
        <w:t>（三）本地生活服务</w:t>
      </w:r>
      <w:bookmarkEnd w:id="422"/>
    </w:p>
    <w:p w:rsidR="009418A4" w:rsidRPr="00017C70" w:rsidRDefault="000D4DCD" w:rsidP="00017C70">
      <w:pPr>
        <w:spacing w:line="400" w:lineRule="exact"/>
        <w:outlineLvl w:val="3"/>
        <w:rPr>
          <w:rFonts w:ascii="微软雅黑" w:eastAsia="微软雅黑" w:hAnsi="微软雅黑"/>
          <w:b/>
        </w:rPr>
      </w:pPr>
      <w:bookmarkStart w:id="423" w:name="_Toc524418049"/>
      <w:r>
        <w:rPr>
          <w:rFonts w:ascii="微软雅黑" w:eastAsia="微软雅黑" w:hAnsi="微软雅黑" w:hint="eastAsia"/>
          <w:b/>
        </w:rPr>
        <w:t>1.</w:t>
      </w:r>
      <w:r w:rsidR="009418A4" w:rsidRPr="00017C70">
        <w:rPr>
          <w:rFonts w:ascii="微软雅黑" w:eastAsia="微软雅黑" w:hAnsi="微软雅黑" w:hint="eastAsia"/>
          <w:b/>
        </w:rPr>
        <w:t>本地生活服务行业的互联网进程快速推进</w:t>
      </w:r>
      <w:bookmarkEnd w:id="423"/>
    </w:p>
    <w:p w:rsidR="009418A4" w:rsidRPr="00017C70" w:rsidRDefault="009418A4"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近年来，我国互联网本地生活服务市场快速发展，市场规模迅速攀升，越来越多的消费者逐渐习惯通过互联网来满足自己的日常需求。数据显示，</w:t>
      </w:r>
      <w:r w:rsidRPr="00017C70">
        <w:rPr>
          <w:rFonts w:ascii="微软雅黑" w:eastAsia="微软雅黑" w:hAnsi="微软雅黑"/>
          <w:szCs w:val="21"/>
        </w:rPr>
        <w:t>2017</w:t>
      </w:r>
      <w:r w:rsidRPr="00017C70">
        <w:rPr>
          <w:rFonts w:ascii="微软雅黑" w:eastAsia="微软雅黑" w:hAnsi="微软雅黑" w:hint="eastAsia"/>
          <w:szCs w:val="21"/>
        </w:rPr>
        <w:t>年中国互联网本地生活服务行业整体市场规模达</w:t>
      </w:r>
      <w:r w:rsidRPr="00017C70">
        <w:rPr>
          <w:rFonts w:ascii="微软雅黑" w:eastAsia="微软雅黑" w:hAnsi="微软雅黑"/>
          <w:szCs w:val="21"/>
        </w:rPr>
        <w:t>11457.4</w:t>
      </w:r>
      <w:r w:rsidRPr="00017C70">
        <w:rPr>
          <w:rFonts w:ascii="微软雅黑" w:eastAsia="微软雅黑" w:hAnsi="微软雅黑" w:hint="eastAsia"/>
          <w:szCs w:val="21"/>
        </w:rPr>
        <w:t>亿元，同比增速高达</w:t>
      </w:r>
      <w:r w:rsidRPr="00017C70">
        <w:rPr>
          <w:rFonts w:ascii="微软雅黑" w:eastAsia="微软雅黑" w:hAnsi="微软雅黑"/>
          <w:szCs w:val="21"/>
        </w:rPr>
        <w:t>49.6%</w:t>
      </w:r>
      <w:r w:rsidRPr="00017C70">
        <w:rPr>
          <w:rFonts w:ascii="微软雅黑" w:eastAsia="微软雅黑" w:hAnsi="微软雅黑" w:hint="eastAsia"/>
          <w:szCs w:val="21"/>
        </w:rPr>
        <w:t>。艾瑞分析认为，主要归因于以下几点：首先，智能设备与移动支付的普及为本地生活的互联网化提供了必要的发展环境；其次，</w:t>
      </w:r>
      <w:r w:rsidRPr="00017C70">
        <w:rPr>
          <w:rFonts w:ascii="微软雅黑" w:eastAsia="微软雅黑" w:hAnsi="微软雅黑"/>
          <w:szCs w:val="21"/>
        </w:rPr>
        <w:t>O2O</w:t>
      </w:r>
      <w:r w:rsidRPr="00017C70">
        <w:rPr>
          <w:rFonts w:ascii="微软雅黑" w:eastAsia="微软雅黑" w:hAnsi="微软雅黑" w:hint="eastAsia"/>
          <w:szCs w:val="21"/>
        </w:rPr>
        <w:t>对用户生活服务场景的覆盖不断提升，满足了消费者多元化、碎片化的消费需求；此外，众多现象级产品的出现以及大规模补贴的投入培养了用户习惯，用户使用频率不断上升。本地生活服务市场空间广阔，然而互联网渗透仅为</w:t>
      </w:r>
      <w:r w:rsidRPr="00017C70">
        <w:rPr>
          <w:rFonts w:ascii="微软雅黑" w:eastAsia="微软雅黑" w:hAnsi="微软雅黑"/>
          <w:szCs w:val="21"/>
        </w:rPr>
        <w:t>12.7%</w:t>
      </w:r>
      <w:r w:rsidRPr="00017C70">
        <w:rPr>
          <w:rFonts w:ascii="微软雅黑" w:eastAsia="微软雅黑" w:hAnsi="微软雅黑" w:hint="eastAsia"/>
          <w:szCs w:val="21"/>
        </w:rPr>
        <w:t>，存在巨大潜力空间。</w:t>
      </w:r>
    </w:p>
    <w:p w:rsidR="009418A4" w:rsidRPr="00017C70" w:rsidRDefault="009418A4" w:rsidP="00017C70">
      <w:pPr>
        <w:spacing w:line="400" w:lineRule="exact"/>
        <w:ind w:firstLineChars="200" w:firstLine="420"/>
        <w:rPr>
          <w:rFonts w:ascii="微软雅黑" w:eastAsia="微软雅黑" w:hAnsi="微软雅黑"/>
          <w:szCs w:val="21"/>
        </w:rPr>
      </w:pPr>
    </w:p>
    <w:p w:rsidR="009418A4" w:rsidRDefault="009418A4" w:rsidP="000D4DCD">
      <w:pPr>
        <w:rPr>
          <w:rFonts w:ascii="微软雅黑" w:eastAsia="微软雅黑" w:hAnsiTheme="minorHAnsi" w:cs="微软雅黑"/>
          <w:color w:val="000000"/>
          <w:kern w:val="0"/>
          <w:sz w:val="23"/>
          <w:szCs w:val="23"/>
        </w:rPr>
      </w:pPr>
      <w:r>
        <w:rPr>
          <w:noProof/>
        </w:rPr>
        <w:drawing>
          <wp:inline distT="0" distB="0" distL="0" distR="0">
            <wp:extent cx="5278120" cy="17538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278120" cy="1753875"/>
                    </a:xfrm>
                    <a:prstGeom prst="rect">
                      <a:avLst/>
                    </a:prstGeom>
                  </pic:spPr>
                </pic:pic>
              </a:graphicData>
            </a:graphic>
          </wp:inline>
        </w:drawing>
      </w:r>
    </w:p>
    <w:p w:rsidR="009418A4" w:rsidRDefault="009418A4" w:rsidP="009418A4">
      <w:pPr>
        <w:spacing w:line="400" w:lineRule="exact"/>
        <w:ind w:firstLineChars="200" w:firstLine="460"/>
        <w:rPr>
          <w:rFonts w:ascii="微软雅黑" w:eastAsia="微软雅黑" w:hAnsiTheme="minorHAnsi" w:cs="微软雅黑"/>
          <w:color w:val="000000"/>
          <w:kern w:val="0"/>
          <w:sz w:val="23"/>
          <w:szCs w:val="23"/>
        </w:rPr>
      </w:pPr>
    </w:p>
    <w:p w:rsidR="009418A4" w:rsidRPr="00017C70" w:rsidRDefault="000D4DCD" w:rsidP="000D4DCD">
      <w:pPr>
        <w:spacing w:line="400" w:lineRule="exact"/>
        <w:outlineLvl w:val="3"/>
        <w:rPr>
          <w:rFonts w:ascii="微软雅黑" w:eastAsia="微软雅黑" w:hAnsi="微软雅黑"/>
          <w:b/>
        </w:rPr>
      </w:pPr>
      <w:bookmarkStart w:id="424" w:name="_Toc524418050"/>
      <w:r>
        <w:rPr>
          <w:rFonts w:ascii="微软雅黑" w:eastAsia="微软雅黑" w:hAnsi="微软雅黑" w:hint="eastAsia"/>
          <w:b/>
        </w:rPr>
        <w:t>2.</w:t>
      </w:r>
      <w:r w:rsidR="009418A4" w:rsidRPr="00017C70">
        <w:rPr>
          <w:rFonts w:ascii="微软雅黑" w:eastAsia="微软雅黑" w:hAnsi="微软雅黑" w:hint="eastAsia"/>
          <w:b/>
        </w:rPr>
        <w:t>细分领域体量差异大</w:t>
      </w:r>
      <w:bookmarkEnd w:id="424"/>
    </w:p>
    <w:p w:rsidR="000D4DCD" w:rsidRDefault="009418A4" w:rsidP="000D4DCD">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本地生活服务囊括了居民日常生活的众多消费场景：餐饮、商超、电影、休闲娱乐、美业等等。各细分领域由于发展阶段、消费者规模各不相同，市场份额呈阶梯状分布。餐饮、电影等细分领域由于其高频刚需的特征，用户培育与市场拓展难度相对较小，发展更加成熟。从细分市场构成来看，餐饮在互联网本地生活服务领域中占比最大，</w:t>
      </w:r>
      <w:r w:rsidRPr="00017C70">
        <w:rPr>
          <w:rFonts w:ascii="微软雅黑" w:eastAsia="微软雅黑" w:hAnsi="微软雅黑"/>
          <w:szCs w:val="21"/>
        </w:rPr>
        <w:t>2017</w:t>
      </w:r>
      <w:r w:rsidRPr="00017C70">
        <w:rPr>
          <w:rFonts w:ascii="微软雅黑" w:eastAsia="微软雅黑" w:hAnsi="微软雅黑" w:hint="eastAsia"/>
          <w:szCs w:val="21"/>
        </w:rPr>
        <w:t>年占比高达</w:t>
      </w:r>
      <w:r w:rsidRPr="00017C70">
        <w:rPr>
          <w:rFonts w:ascii="微软雅黑" w:eastAsia="微软雅黑" w:hAnsi="微软雅黑"/>
          <w:szCs w:val="21"/>
        </w:rPr>
        <w:t>62.2%</w:t>
      </w:r>
      <w:r w:rsidRPr="00017C70">
        <w:rPr>
          <w:rFonts w:ascii="微软雅黑" w:eastAsia="微软雅黑" w:hAnsi="微软雅黑" w:hint="eastAsia"/>
          <w:szCs w:val="21"/>
        </w:rPr>
        <w:t>。婚庆、商超宅配、家政维修等细分领域市场份额连年升高，占领越来越重要的地位。</w:t>
      </w:r>
    </w:p>
    <w:p w:rsidR="000D4DCD" w:rsidRDefault="000D4DCD" w:rsidP="000D4DCD">
      <w:pPr>
        <w:spacing w:line="400" w:lineRule="exact"/>
        <w:ind w:firstLineChars="200" w:firstLine="420"/>
        <w:rPr>
          <w:rFonts w:ascii="微软雅黑" w:eastAsia="微软雅黑" w:hAnsi="微软雅黑"/>
          <w:szCs w:val="21"/>
        </w:rPr>
      </w:pPr>
    </w:p>
    <w:p w:rsidR="009418A4" w:rsidRDefault="009418A4" w:rsidP="000D4DCD">
      <w:pPr>
        <w:rPr>
          <w:rFonts w:ascii="微软雅黑" w:eastAsia="微软雅黑" w:hAnsi="微软雅黑"/>
          <w:noProof/>
          <w:szCs w:val="21"/>
        </w:rPr>
      </w:pPr>
      <w:r>
        <w:rPr>
          <w:noProof/>
        </w:rPr>
        <w:drawing>
          <wp:inline distT="0" distB="0" distL="0" distR="0">
            <wp:extent cx="5278120" cy="1957303"/>
            <wp:effectExtent l="0" t="0" r="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5278120" cy="1957303"/>
                    </a:xfrm>
                    <a:prstGeom prst="rect">
                      <a:avLst/>
                    </a:prstGeom>
                  </pic:spPr>
                </pic:pic>
              </a:graphicData>
            </a:graphic>
          </wp:inline>
        </w:drawing>
      </w:r>
    </w:p>
    <w:p w:rsidR="009418A4" w:rsidRDefault="009418A4" w:rsidP="00913983">
      <w:pPr>
        <w:spacing w:line="400" w:lineRule="exact"/>
        <w:ind w:firstLineChars="200" w:firstLine="420"/>
        <w:rPr>
          <w:rFonts w:ascii="微软雅黑" w:eastAsia="微软雅黑" w:hAnsi="微软雅黑"/>
          <w:noProof/>
          <w:szCs w:val="21"/>
        </w:rPr>
      </w:pPr>
    </w:p>
    <w:p w:rsidR="009418A4" w:rsidRPr="00017C70" w:rsidRDefault="000D4DCD" w:rsidP="00017C70">
      <w:pPr>
        <w:spacing w:line="400" w:lineRule="exact"/>
        <w:outlineLvl w:val="3"/>
        <w:rPr>
          <w:rFonts w:ascii="微软雅黑" w:eastAsia="微软雅黑" w:hAnsi="微软雅黑"/>
          <w:b/>
        </w:rPr>
      </w:pPr>
      <w:bookmarkStart w:id="425" w:name="_Toc524418051"/>
      <w:r>
        <w:rPr>
          <w:rFonts w:ascii="微软雅黑" w:eastAsia="微软雅黑" w:hAnsi="微软雅黑" w:hint="eastAsia"/>
          <w:b/>
        </w:rPr>
        <w:t>3.</w:t>
      </w:r>
      <w:r w:rsidR="009418A4" w:rsidRPr="00017C70">
        <w:rPr>
          <w:rFonts w:ascii="微软雅黑" w:eastAsia="微软雅黑" w:hAnsi="微软雅黑" w:hint="eastAsia"/>
          <w:b/>
        </w:rPr>
        <w:t>餐饮</w:t>
      </w:r>
      <w:r w:rsidR="009418A4" w:rsidRPr="00017C70">
        <w:rPr>
          <w:rFonts w:ascii="微软雅黑" w:eastAsia="微软雅黑" w:hAnsi="微软雅黑"/>
          <w:b/>
        </w:rPr>
        <w:t>O2O</w:t>
      </w:r>
      <w:r w:rsidR="009418A4" w:rsidRPr="00017C70">
        <w:rPr>
          <w:rFonts w:ascii="微软雅黑" w:eastAsia="微软雅黑" w:hAnsi="微软雅黑" w:hint="eastAsia"/>
          <w:b/>
        </w:rPr>
        <w:t>是推动互联网生活服务行业高速发展的重要引擎</w:t>
      </w:r>
      <w:bookmarkEnd w:id="425"/>
    </w:p>
    <w:p w:rsidR="009418A4" w:rsidRDefault="009418A4" w:rsidP="000D4DCD">
      <w:pPr>
        <w:spacing w:line="400" w:lineRule="exact"/>
        <w:ind w:firstLineChars="200" w:firstLine="420"/>
        <w:rPr>
          <w:rFonts w:ascii="微软雅黑" w:eastAsia="微软雅黑" w:hAnsiTheme="minorHAnsi" w:cs="微软雅黑"/>
          <w:color w:val="000000"/>
          <w:kern w:val="0"/>
          <w:sz w:val="23"/>
          <w:szCs w:val="23"/>
        </w:rPr>
      </w:pPr>
      <w:r w:rsidRPr="00017C70">
        <w:rPr>
          <w:rFonts w:ascii="微软雅黑" w:eastAsia="微软雅黑" w:hAnsi="微软雅黑" w:hint="eastAsia"/>
          <w:szCs w:val="21"/>
        </w:rPr>
        <w:t>数据显示，</w:t>
      </w:r>
      <w:r w:rsidRPr="00017C70">
        <w:rPr>
          <w:rFonts w:ascii="微软雅黑" w:eastAsia="微软雅黑" w:hAnsi="微软雅黑"/>
          <w:szCs w:val="21"/>
        </w:rPr>
        <w:t>2017</w:t>
      </w:r>
      <w:r w:rsidRPr="00017C70">
        <w:rPr>
          <w:rFonts w:ascii="微软雅黑" w:eastAsia="微软雅黑" w:hAnsi="微软雅黑" w:hint="eastAsia"/>
          <w:szCs w:val="21"/>
        </w:rPr>
        <w:t>年中国餐饮</w:t>
      </w:r>
      <w:r w:rsidRPr="00017C70">
        <w:rPr>
          <w:rFonts w:ascii="微软雅黑" w:eastAsia="微软雅黑" w:hAnsi="微软雅黑"/>
          <w:szCs w:val="21"/>
        </w:rPr>
        <w:t>O2O</w:t>
      </w:r>
      <w:r w:rsidRPr="00017C70">
        <w:rPr>
          <w:rFonts w:ascii="微软雅黑" w:eastAsia="微软雅黑" w:hAnsi="微软雅黑" w:hint="eastAsia"/>
          <w:szCs w:val="21"/>
        </w:rPr>
        <w:t>市场规模为</w:t>
      </w:r>
      <w:r w:rsidRPr="00017C70">
        <w:rPr>
          <w:rFonts w:ascii="微软雅黑" w:eastAsia="微软雅黑" w:hAnsi="微软雅黑"/>
          <w:szCs w:val="21"/>
        </w:rPr>
        <w:t>7128.2</w:t>
      </w:r>
      <w:r w:rsidRPr="00017C70">
        <w:rPr>
          <w:rFonts w:ascii="微软雅黑" w:eastAsia="微软雅黑" w:hAnsi="微软雅黑" w:hint="eastAsia"/>
          <w:szCs w:val="21"/>
        </w:rPr>
        <w:t>亿元，同比增速高达</w:t>
      </w:r>
      <w:r w:rsidRPr="00017C70">
        <w:rPr>
          <w:rFonts w:ascii="微软雅黑" w:eastAsia="微软雅黑" w:hAnsi="微软雅黑"/>
          <w:szCs w:val="21"/>
        </w:rPr>
        <w:t>70.9%</w:t>
      </w:r>
      <w:r w:rsidRPr="00017C70">
        <w:rPr>
          <w:rFonts w:ascii="微软雅黑" w:eastAsia="微软雅黑" w:hAnsi="微软雅黑" w:hint="eastAsia"/>
          <w:szCs w:val="21"/>
        </w:rPr>
        <w:t>，延续了近几年爆发式的增长态势，是推动互联网生活服务行业高速发展的重要引擎。餐饮</w:t>
      </w:r>
      <w:r w:rsidRPr="00017C70">
        <w:rPr>
          <w:rFonts w:ascii="微软雅黑" w:eastAsia="微软雅黑" w:hAnsi="微软雅黑"/>
          <w:szCs w:val="21"/>
        </w:rPr>
        <w:t>O2O</w:t>
      </w:r>
      <w:r w:rsidRPr="00017C70">
        <w:rPr>
          <w:rFonts w:ascii="微软雅黑" w:eastAsia="微软雅黑" w:hAnsi="微软雅黑" w:hint="eastAsia"/>
          <w:szCs w:val="21"/>
        </w:rPr>
        <w:t>规模的高速增长一方面得益于近几年懒人经济及补贴刺激下外卖市场的火爆，另一方面，随着移动支付对用户生活场景覆盖度的不断提升，到店餐饮</w:t>
      </w:r>
      <w:r w:rsidRPr="00017C70">
        <w:rPr>
          <w:rFonts w:ascii="微软雅黑" w:eastAsia="微软雅黑" w:hAnsi="微软雅黑"/>
          <w:szCs w:val="21"/>
        </w:rPr>
        <w:t>O2O</w:t>
      </w:r>
      <w:r w:rsidRPr="00017C70">
        <w:rPr>
          <w:rFonts w:ascii="微软雅黑" w:eastAsia="微软雅黑" w:hAnsi="微软雅黑" w:hint="eastAsia"/>
          <w:szCs w:val="21"/>
        </w:rPr>
        <w:t>市场规模也在迅速上升。</w:t>
      </w:r>
    </w:p>
    <w:p w:rsidR="009418A4" w:rsidRDefault="009418A4" w:rsidP="000D4DCD">
      <w:pPr>
        <w:rPr>
          <w:rFonts w:ascii="微软雅黑" w:eastAsia="微软雅黑" w:hAnsiTheme="minorHAnsi" w:cs="微软雅黑"/>
          <w:color w:val="000000"/>
          <w:kern w:val="0"/>
          <w:sz w:val="23"/>
          <w:szCs w:val="23"/>
        </w:rPr>
      </w:pPr>
      <w:r>
        <w:rPr>
          <w:noProof/>
        </w:rPr>
        <w:drawing>
          <wp:inline distT="0" distB="0" distL="0" distR="0">
            <wp:extent cx="5278120" cy="1899879"/>
            <wp:effectExtent l="0" t="0" r="0" b="571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5278120" cy="1899879"/>
                    </a:xfrm>
                    <a:prstGeom prst="rect">
                      <a:avLst/>
                    </a:prstGeom>
                  </pic:spPr>
                </pic:pic>
              </a:graphicData>
            </a:graphic>
          </wp:inline>
        </w:drawing>
      </w:r>
    </w:p>
    <w:p w:rsidR="009418A4" w:rsidRPr="00017C70" w:rsidRDefault="009418A4" w:rsidP="00017C70">
      <w:pPr>
        <w:spacing w:line="360" w:lineRule="auto"/>
        <w:outlineLvl w:val="2"/>
        <w:rPr>
          <w:rFonts w:ascii="微软雅黑" w:eastAsia="微软雅黑" w:hAnsi="微软雅黑"/>
          <w:b/>
        </w:rPr>
      </w:pPr>
      <w:bookmarkStart w:id="426" w:name="_Toc524418052"/>
      <w:r w:rsidRPr="00017C70">
        <w:rPr>
          <w:rFonts w:ascii="微软雅黑" w:eastAsia="微软雅黑" w:hAnsi="微软雅黑" w:hint="eastAsia"/>
          <w:b/>
        </w:rPr>
        <w:t>（四）在线旅游</w:t>
      </w:r>
      <w:bookmarkEnd w:id="426"/>
    </w:p>
    <w:p w:rsidR="009418A4" w:rsidRPr="00017C70" w:rsidRDefault="000D4DCD" w:rsidP="000D4DCD">
      <w:pPr>
        <w:spacing w:line="400" w:lineRule="exact"/>
        <w:outlineLvl w:val="3"/>
        <w:rPr>
          <w:rFonts w:ascii="微软雅黑" w:eastAsia="微软雅黑" w:hAnsi="微软雅黑"/>
          <w:b/>
        </w:rPr>
      </w:pPr>
      <w:bookmarkStart w:id="427" w:name="_Toc524418053"/>
      <w:r>
        <w:rPr>
          <w:rFonts w:ascii="微软雅黑" w:eastAsia="微软雅黑" w:hAnsi="微软雅黑" w:hint="eastAsia"/>
          <w:b/>
        </w:rPr>
        <w:t>1.</w:t>
      </w:r>
      <w:r w:rsidR="009418A4" w:rsidRPr="00017C70">
        <w:rPr>
          <w:rFonts w:ascii="微软雅黑" w:eastAsia="微软雅黑" w:hAnsi="微软雅黑" w:hint="eastAsia"/>
          <w:b/>
        </w:rPr>
        <w:t>流量运营进入提质阶段</w:t>
      </w:r>
      <w:bookmarkEnd w:id="427"/>
    </w:p>
    <w:p w:rsidR="009418A4" w:rsidRDefault="009418A4"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szCs w:val="21"/>
        </w:rPr>
        <w:t>2017</w:t>
      </w:r>
      <w:r w:rsidRPr="00017C70">
        <w:rPr>
          <w:rFonts w:ascii="微软雅黑" w:eastAsia="微软雅黑" w:hAnsi="微软雅黑" w:hint="eastAsia"/>
          <w:szCs w:val="21"/>
        </w:rPr>
        <w:t>年中国整体网民规模增长率将会进一步降低，以高额数量增长的互联网人口作为红利来进行迅速扩张的在线旅游企业们面临着流量消退的困局。面对这种局面，各家的应对方式各有其特点。透过这些解决方案，延长产业链，扩大产品提供品类，进行场景式营销，提高单客户消费金额是改变流量困局的关键。</w:t>
      </w:r>
    </w:p>
    <w:p w:rsidR="009418A4" w:rsidRDefault="009418A4" w:rsidP="00913983">
      <w:pPr>
        <w:spacing w:line="400" w:lineRule="exact"/>
        <w:ind w:firstLineChars="200" w:firstLine="420"/>
        <w:rPr>
          <w:rFonts w:ascii="微软雅黑" w:eastAsia="微软雅黑" w:hAnsi="微软雅黑"/>
          <w:szCs w:val="21"/>
        </w:rPr>
      </w:pPr>
    </w:p>
    <w:p w:rsidR="009418A4" w:rsidRDefault="009418A4" w:rsidP="009418A4">
      <w:pPr>
        <w:ind w:firstLineChars="200" w:firstLine="420"/>
        <w:rPr>
          <w:rFonts w:ascii="微软雅黑" w:eastAsia="微软雅黑" w:hAnsi="微软雅黑"/>
          <w:noProof/>
          <w:szCs w:val="21"/>
        </w:rPr>
      </w:pPr>
      <w:r>
        <w:rPr>
          <w:noProof/>
        </w:rPr>
        <w:drawing>
          <wp:inline distT="0" distB="0" distL="0" distR="0">
            <wp:extent cx="5278120" cy="2171116"/>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5278120" cy="2171116"/>
                    </a:xfrm>
                    <a:prstGeom prst="rect">
                      <a:avLst/>
                    </a:prstGeom>
                  </pic:spPr>
                </pic:pic>
              </a:graphicData>
            </a:graphic>
          </wp:inline>
        </w:drawing>
      </w:r>
    </w:p>
    <w:p w:rsidR="009418A4" w:rsidRDefault="009418A4" w:rsidP="009418A4">
      <w:pPr>
        <w:spacing w:line="400" w:lineRule="exact"/>
        <w:ind w:firstLineChars="200" w:firstLine="420"/>
        <w:rPr>
          <w:rFonts w:ascii="微软雅黑" w:eastAsia="微软雅黑" w:hAnsi="微软雅黑"/>
          <w:noProof/>
          <w:szCs w:val="21"/>
        </w:rPr>
      </w:pPr>
    </w:p>
    <w:p w:rsidR="009418A4" w:rsidRPr="00017C70" w:rsidRDefault="000D4DCD" w:rsidP="00017C70">
      <w:pPr>
        <w:spacing w:line="400" w:lineRule="exact"/>
        <w:outlineLvl w:val="3"/>
        <w:rPr>
          <w:rFonts w:ascii="微软雅黑" w:eastAsia="微软雅黑" w:hAnsi="微软雅黑"/>
          <w:b/>
        </w:rPr>
      </w:pPr>
      <w:bookmarkStart w:id="428" w:name="_Toc524418054"/>
      <w:r>
        <w:rPr>
          <w:rFonts w:ascii="微软雅黑" w:eastAsia="微软雅黑" w:hAnsi="微软雅黑" w:hint="eastAsia"/>
          <w:b/>
        </w:rPr>
        <w:t>2.</w:t>
      </w:r>
      <w:r w:rsidR="009418A4" w:rsidRPr="00017C70">
        <w:rPr>
          <w:rFonts w:ascii="微软雅黑" w:eastAsia="微软雅黑" w:hAnsi="微软雅黑" w:hint="eastAsia"/>
          <w:b/>
        </w:rPr>
        <w:t>度假成为发展亮点，但机遇和困难并存</w:t>
      </w:r>
      <w:bookmarkEnd w:id="428"/>
    </w:p>
    <w:p w:rsidR="009418A4" w:rsidRDefault="009418A4" w:rsidP="000D4DCD">
      <w:pPr>
        <w:spacing w:line="400" w:lineRule="exact"/>
        <w:ind w:firstLineChars="200" w:firstLine="420"/>
        <w:rPr>
          <w:rFonts w:ascii="微软雅黑" w:eastAsia="微软雅黑" w:hAnsi="微软雅黑"/>
          <w:szCs w:val="21"/>
        </w:rPr>
      </w:pPr>
      <w:r w:rsidRPr="00017C70">
        <w:rPr>
          <w:rFonts w:ascii="微软雅黑" w:eastAsia="微软雅黑" w:hAnsi="微软雅黑"/>
          <w:szCs w:val="21"/>
        </w:rPr>
        <w:t>2009</w:t>
      </w:r>
      <w:r w:rsidRPr="00017C70">
        <w:rPr>
          <w:rFonts w:ascii="微软雅黑" w:eastAsia="微软雅黑" w:hAnsi="微软雅黑" w:hint="eastAsia"/>
          <w:szCs w:val="21"/>
        </w:rPr>
        <w:t>年以来，中国在线度假市场交易规模占在线旅游市场交易规模的比重持续上升，且其增长率持续超过在线旅游市场交易规模增长率，原因主要有以下两点：第一，随着中国的消费升级，旅游消费者在旅游形式上不再只满足于景区观光，而是产生了更高的需求，如旅游体验和休闲度假等，因此度假交易规模在很长一段时间以来以高于整个在线旅游行业的增长率保持增长；第二，随着在线旅游市场的进一步扩张，行业内竞争激烈，传统的机票酒店预订产品毛利率逐渐下滑，以</w:t>
      </w:r>
      <w:r w:rsidRPr="00017C70">
        <w:rPr>
          <w:rFonts w:ascii="微软雅黑" w:eastAsia="微软雅黑" w:hAnsi="微软雅黑"/>
          <w:szCs w:val="21"/>
        </w:rPr>
        <w:t>OTA</w:t>
      </w:r>
      <w:r w:rsidRPr="00017C70">
        <w:rPr>
          <w:rFonts w:ascii="微软雅黑" w:eastAsia="微软雅黑" w:hAnsi="微软雅黑" w:hint="eastAsia"/>
          <w:szCs w:val="21"/>
        </w:rPr>
        <w:t>为首的在线旅游企业急需寻找新的利润增长点，而度假产品以其高毛利率性及多样性吸引了在线旅游企业的关注。但目前，机票酒店规模仍高于度假规模，在线度假市场未来如何进一步成长仍需行业共同探索。</w:t>
      </w:r>
    </w:p>
    <w:p w:rsidR="009418A4" w:rsidRDefault="009418A4" w:rsidP="000D4DCD">
      <w:pPr>
        <w:rPr>
          <w:rFonts w:ascii="微软雅黑" w:eastAsia="微软雅黑" w:hAnsi="微软雅黑"/>
          <w:noProof/>
          <w:szCs w:val="21"/>
        </w:rPr>
      </w:pPr>
      <w:r>
        <w:rPr>
          <w:noProof/>
        </w:rPr>
        <w:drawing>
          <wp:inline distT="0" distB="0" distL="0" distR="0">
            <wp:extent cx="5278120" cy="1680568"/>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5278120" cy="1680568"/>
                    </a:xfrm>
                    <a:prstGeom prst="rect">
                      <a:avLst/>
                    </a:prstGeom>
                  </pic:spPr>
                </pic:pic>
              </a:graphicData>
            </a:graphic>
          </wp:inline>
        </w:drawing>
      </w:r>
    </w:p>
    <w:p w:rsidR="0031385F" w:rsidRPr="00017C70" w:rsidRDefault="000D4DCD" w:rsidP="00017C70">
      <w:pPr>
        <w:spacing w:line="400" w:lineRule="exact"/>
        <w:outlineLvl w:val="3"/>
        <w:rPr>
          <w:rFonts w:ascii="微软雅黑" w:eastAsia="微软雅黑" w:hAnsi="微软雅黑"/>
          <w:b/>
        </w:rPr>
      </w:pPr>
      <w:bookmarkStart w:id="429" w:name="_Toc524418055"/>
      <w:r>
        <w:rPr>
          <w:rFonts w:ascii="微软雅黑" w:eastAsia="微软雅黑" w:hAnsi="微软雅黑" w:hint="eastAsia"/>
          <w:b/>
        </w:rPr>
        <w:t>3.</w:t>
      </w:r>
      <w:r w:rsidR="0031385F" w:rsidRPr="00017C70">
        <w:rPr>
          <w:rFonts w:ascii="微软雅黑" w:eastAsia="微软雅黑" w:hAnsi="微软雅黑" w:hint="eastAsia"/>
          <w:b/>
        </w:rPr>
        <w:t>目的地服务准备起跑</w:t>
      </w:r>
      <w:bookmarkEnd w:id="429"/>
    </w:p>
    <w:p w:rsidR="009418A4" w:rsidRPr="00017C70" w:rsidRDefault="0031385F"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目的地服务的崛起一方面代表着</w:t>
      </w:r>
      <w:r w:rsidRPr="00017C70">
        <w:rPr>
          <w:rFonts w:ascii="微软雅黑" w:eastAsia="微软雅黑" w:hAnsi="微软雅黑"/>
          <w:szCs w:val="21"/>
        </w:rPr>
        <w:t>OTA</w:t>
      </w:r>
      <w:r w:rsidRPr="00017C70">
        <w:rPr>
          <w:rFonts w:ascii="微软雅黑" w:eastAsia="微软雅黑" w:hAnsi="微软雅黑" w:hint="eastAsia"/>
          <w:szCs w:val="21"/>
        </w:rPr>
        <w:t>等在线旅游企业对高毛利率产品及服务的追求；一方面代表着旅游消费者的消费意识发生改变，对旅游产品及服务的质量等要求提高。在目的地服务兴起的背后，主要有三种影响因素：一是旅游领域移动互联网化程度的提高，消费者在行程途中通过移动设备及移动互联网进行预订、查询、消费，使得</w:t>
      </w:r>
      <w:r w:rsidRPr="00017C70">
        <w:rPr>
          <w:rFonts w:ascii="微软雅黑" w:eastAsia="微软雅黑" w:hAnsi="微软雅黑"/>
          <w:szCs w:val="21"/>
        </w:rPr>
        <w:t>OTA</w:t>
      </w:r>
      <w:r w:rsidRPr="00017C70">
        <w:rPr>
          <w:rFonts w:ascii="微软雅黑" w:eastAsia="微软雅黑" w:hAnsi="微软雅黑" w:hint="eastAsia"/>
          <w:szCs w:val="21"/>
        </w:rPr>
        <w:t>等在线旅游企业急需在旅游目的地铺展服务，通过高质量服务提高自身的客户留存率；二是旅游方式的个性化，消费升级的大环境使得传统的目的地服务难以满足消费者越来越多的个性化需求；三是</w:t>
      </w:r>
      <w:r w:rsidRPr="00017C70">
        <w:rPr>
          <w:rFonts w:ascii="微软雅黑" w:eastAsia="微软雅黑" w:hAnsi="微软雅黑"/>
          <w:szCs w:val="21"/>
        </w:rPr>
        <w:t>P2P</w:t>
      </w:r>
      <w:r w:rsidRPr="00017C70">
        <w:rPr>
          <w:rFonts w:ascii="微软雅黑" w:eastAsia="微软雅黑" w:hAnsi="微软雅黑" w:hint="eastAsia"/>
          <w:szCs w:val="21"/>
        </w:rPr>
        <w:t>服务的发展，个人与个人的资源共享及资源交换弥补了大企业在目的地服务领域中的不足，促使目的地服务的升级和健康发展。</w:t>
      </w:r>
    </w:p>
    <w:p w:rsidR="0031385F" w:rsidRDefault="0031385F" w:rsidP="0031385F">
      <w:pPr>
        <w:spacing w:line="400" w:lineRule="exact"/>
        <w:ind w:firstLineChars="200" w:firstLine="460"/>
        <w:rPr>
          <w:rFonts w:ascii="微软雅黑" w:eastAsia="微软雅黑" w:hAnsiTheme="minorHAnsi" w:cs="微软雅黑"/>
          <w:color w:val="000000"/>
          <w:kern w:val="0"/>
          <w:sz w:val="23"/>
          <w:szCs w:val="23"/>
        </w:rPr>
      </w:pPr>
    </w:p>
    <w:p w:rsidR="0031385F" w:rsidRDefault="0031385F" w:rsidP="000D4DCD">
      <w:pPr>
        <w:rPr>
          <w:rFonts w:ascii="微软雅黑" w:eastAsia="微软雅黑" w:hAnsiTheme="minorHAnsi" w:cs="微软雅黑"/>
          <w:color w:val="000000"/>
          <w:kern w:val="0"/>
          <w:sz w:val="23"/>
          <w:szCs w:val="23"/>
        </w:rPr>
      </w:pPr>
      <w:r>
        <w:rPr>
          <w:noProof/>
        </w:rPr>
        <w:drawing>
          <wp:inline distT="0" distB="0" distL="0" distR="0">
            <wp:extent cx="5278120" cy="2129575"/>
            <wp:effectExtent l="0" t="0" r="0"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5278120" cy="2129575"/>
                    </a:xfrm>
                    <a:prstGeom prst="rect">
                      <a:avLst/>
                    </a:prstGeom>
                  </pic:spPr>
                </pic:pic>
              </a:graphicData>
            </a:graphic>
          </wp:inline>
        </w:drawing>
      </w:r>
    </w:p>
    <w:p w:rsidR="009418A4" w:rsidRPr="00017C70" w:rsidRDefault="0031385F" w:rsidP="00017C70">
      <w:pPr>
        <w:spacing w:line="360" w:lineRule="auto"/>
        <w:outlineLvl w:val="2"/>
        <w:rPr>
          <w:rFonts w:ascii="微软雅黑" w:eastAsia="微软雅黑" w:hAnsi="微软雅黑"/>
          <w:b/>
        </w:rPr>
      </w:pPr>
      <w:bookmarkStart w:id="430" w:name="_Toc524418056"/>
      <w:r w:rsidRPr="00017C70">
        <w:rPr>
          <w:rFonts w:ascii="微软雅黑" w:eastAsia="微软雅黑" w:hAnsi="微软雅黑" w:hint="eastAsia"/>
          <w:b/>
        </w:rPr>
        <w:t>（五）</w:t>
      </w:r>
      <w:r w:rsidR="009418A4" w:rsidRPr="00017C70">
        <w:rPr>
          <w:rFonts w:ascii="微软雅黑" w:eastAsia="微软雅黑" w:hAnsi="微软雅黑" w:hint="eastAsia"/>
          <w:b/>
        </w:rPr>
        <w:t>在线教育</w:t>
      </w:r>
      <w:bookmarkEnd w:id="430"/>
    </w:p>
    <w:p w:rsidR="0031385F" w:rsidRPr="00017C70" w:rsidRDefault="000D4DCD" w:rsidP="00017C70">
      <w:pPr>
        <w:spacing w:line="400" w:lineRule="exact"/>
        <w:outlineLvl w:val="3"/>
        <w:rPr>
          <w:rFonts w:ascii="微软雅黑" w:eastAsia="微软雅黑" w:hAnsi="微软雅黑"/>
          <w:b/>
        </w:rPr>
      </w:pPr>
      <w:bookmarkStart w:id="431" w:name="_Toc524418057"/>
      <w:r>
        <w:rPr>
          <w:rFonts w:ascii="微软雅黑" w:eastAsia="微软雅黑" w:hAnsi="微软雅黑" w:hint="eastAsia"/>
          <w:b/>
        </w:rPr>
        <w:t>1.在线教育</w:t>
      </w:r>
      <w:r w:rsidR="0031385F" w:rsidRPr="00017C70">
        <w:rPr>
          <w:rFonts w:ascii="微软雅黑" w:eastAsia="微软雅黑" w:hAnsi="微软雅黑" w:hint="eastAsia"/>
          <w:b/>
        </w:rPr>
        <w:t>逐渐步入初步成熟期，市场进一步回归教育本质</w:t>
      </w:r>
      <w:bookmarkEnd w:id="431"/>
    </w:p>
    <w:p w:rsidR="0031385F" w:rsidRPr="00017C70" w:rsidRDefault="0031385F"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艾瑞咨询数据显示，</w:t>
      </w:r>
      <w:r w:rsidRPr="00017C70">
        <w:rPr>
          <w:rFonts w:ascii="微软雅黑" w:eastAsia="微软雅黑" w:hAnsi="微软雅黑"/>
          <w:szCs w:val="21"/>
        </w:rPr>
        <w:t>2017</w:t>
      </w:r>
      <w:r w:rsidRPr="00017C70">
        <w:rPr>
          <w:rFonts w:ascii="微软雅黑" w:eastAsia="微软雅黑" w:hAnsi="微软雅黑" w:hint="eastAsia"/>
          <w:szCs w:val="21"/>
        </w:rPr>
        <w:t>年中国在线教育市场规模达</w:t>
      </w:r>
      <w:r w:rsidRPr="00017C70">
        <w:rPr>
          <w:rFonts w:ascii="微软雅黑" w:eastAsia="微软雅黑" w:hAnsi="微软雅黑"/>
          <w:szCs w:val="21"/>
        </w:rPr>
        <w:t>2002.6</w:t>
      </w:r>
      <w:r w:rsidRPr="00017C70">
        <w:rPr>
          <w:rFonts w:ascii="微软雅黑" w:eastAsia="微软雅黑" w:hAnsi="微软雅黑" w:hint="eastAsia"/>
          <w:szCs w:val="21"/>
        </w:rPr>
        <w:t>亿元，同比增长</w:t>
      </w:r>
      <w:r w:rsidRPr="00017C70">
        <w:rPr>
          <w:rFonts w:ascii="微软雅黑" w:eastAsia="微软雅黑" w:hAnsi="微软雅黑"/>
          <w:szCs w:val="21"/>
        </w:rPr>
        <w:t>27.9%</w:t>
      </w:r>
      <w:r w:rsidRPr="00017C70">
        <w:rPr>
          <w:rFonts w:ascii="微软雅黑" w:eastAsia="微软雅黑" w:hAnsi="微软雅黑" w:hint="eastAsia"/>
          <w:szCs w:val="21"/>
        </w:rPr>
        <w:t>。未来几年，中国在线教育的市场规模同比增长幅度持续降低但增长势头保持稳健，预计在</w:t>
      </w:r>
      <w:r w:rsidRPr="00017C70">
        <w:rPr>
          <w:rFonts w:ascii="微软雅黑" w:eastAsia="微软雅黑" w:hAnsi="微软雅黑"/>
          <w:szCs w:val="21"/>
        </w:rPr>
        <w:t>2022</w:t>
      </w:r>
      <w:r w:rsidRPr="00017C70">
        <w:rPr>
          <w:rFonts w:ascii="微软雅黑" w:eastAsia="微软雅黑" w:hAnsi="微软雅黑" w:hint="eastAsia"/>
          <w:szCs w:val="21"/>
        </w:rPr>
        <w:t>年其市场规模将达</w:t>
      </w:r>
      <w:r w:rsidRPr="00017C70">
        <w:rPr>
          <w:rFonts w:ascii="微软雅黑" w:eastAsia="微软雅黑" w:hAnsi="微软雅黑"/>
          <w:szCs w:val="21"/>
        </w:rPr>
        <w:t>5433.5</w:t>
      </w:r>
      <w:r w:rsidRPr="00017C70">
        <w:rPr>
          <w:rFonts w:ascii="微软雅黑" w:eastAsia="微软雅黑" w:hAnsi="微软雅黑" w:hint="eastAsia"/>
          <w:szCs w:val="21"/>
        </w:rPr>
        <w:t>亿元。用户对在线教育的接受度不断提升、付费意识的觉醒以及线上学习丰富度的完善等是在线教育市场规模持续增长的主要原因。</w:t>
      </w:r>
    </w:p>
    <w:p w:rsidR="0031385F" w:rsidRDefault="0031385F" w:rsidP="009418A4">
      <w:pPr>
        <w:spacing w:line="400" w:lineRule="exact"/>
        <w:ind w:firstLineChars="200" w:firstLine="420"/>
        <w:rPr>
          <w:rFonts w:ascii="微软雅黑" w:eastAsia="微软雅黑" w:hAnsi="微软雅黑"/>
          <w:noProof/>
          <w:szCs w:val="21"/>
        </w:rPr>
      </w:pPr>
      <w:r w:rsidRPr="00017C70">
        <w:rPr>
          <w:rFonts w:ascii="微软雅黑" w:eastAsia="微软雅黑" w:hAnsi="微软雅黑" w:hint="eastAsia"/>
          <w:szCs w:val="21"/>
        </w:rPr>
        <w:t>艾瑞分析认为，中国在线教育经过前两年的野蛮生长和市场检验，部分重要赛道的商业模式已经成熟，现阶段资本市场开始回归理性，而创业者也变得更加谨慎，市场整体开始步入初步成熟期。在这个阶段，市场对教学教研能力更高、技术研发能力更强和运营服务水平更好的企业更具包容性，同时企业需要不断提升用户学习的有效性、服务的完整性和学习体验以提升用户的忠诚度，进而提升企业的盈利能力。</w:t>
      </w:r>
    </w:p>
    <w:p w:rsidR="0031385F" w:rsidRDefault="0031385F" w:rsidP="000D4DCD">
      <w:pPr>
        <w:rPr>
          <w:rFonts w:ascii="微软雅黑" w:eastAsia="微软雅黑" w:hAnsi="微软雅黑"/>
          <w:noProof/>
          <w:szCs w:val="21"/>
        </w:rPr>
      </w:pPr>
      <w:r>
        <w:rPr>
          <w:noProof/>
        </w:rPr>
        <w:drawing>
          <wp:inline distT="0" distB="0" distL="0" distR="0">
            <wp:extent cx="5278120" cy="1689121"/>
            <wp:effectExtent l="0" t="0" r="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5278120" cy="1689121"/>
                    </a:xfrm>
                    <a:prstGeom prst="rect">
                      <a:avLst/>
                    </a:prstGeom>
                  </pic:spPr>
                </pic:pic>
              </a:graphicData>
            </a:graphic>
          </wp:inline>
        </w:drawing>
      </w:r>
    </w:p>
    <w:p w:rsidR="0031385F" w:rsidRPr="00017C70" w:rsidRDefault="000D4DCD" w:rsidP="00017C70">
      <w:pPr>
        <w:spacing w:line="400" w:lineRule="exact"/>
        <w:outlineLvl w:val="3"/>
        <w:rPr>
          <w:rFonts w:ascii="微软雅黑" w:eastAsia="微软雅黑" w:hAnsi="微软雅黑"/>
          <w:b/>
        </w:rPr>
      </w:pPr>
      <w:bookmarkStart w:id="432" w:name="_Toc524418058"/>
      <w:r>
        <w:rPr>
          <w:rFonts w:ascii="微软雅黑" w:eastAsia="微软雅黑" w:hAnsi="微软雅黑" w:hint="eastAsia"/>
          <w:b/>
        </w:rPr>
        <w:t>2.</w:t>
      </w:r>
      <w:r w:rsidR="0031385F" w:rsidRPr="00017C70">
        <w:rPr>
          <w:rFonts w:ascii="微软雅黑" w:eastAsia="微软雅黑" w:hAnsi="微软雅黑" w:hint="eastAsia"/>
          <w:b/>
        </w:rPr>
        <w:t>中小学在线教育市场份额逐年提升</w:t>
      </w:r>
      <w:bookmarkEnd w:id="432"/>
    </w:p>
    <w:p w:rsidR="0031385F" w:rsidRDefault="0031385F"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艾瑞咨询数据显示，中小学在线教育、高等学历在线教育及职业在线教育将一直是在线教育的市场主体，占整个在线教育市场规模的</w:t>
      </w:r>
      <w:r w:rsidRPr="00017C70">
        <w:rPr>
          <w:rFonts w:ascii="微软雅黑" w:eastAsia="微软雅黑" w:hAnsi="微软雅黑"/>
          <w:szCs w:val="21"/>
        </w:rPr>
        <w:t>95.0%</w:t>
      </w:r>
      <w:r w:rsidRPr="00017C70">
        <w:rPr>
          <w:rFonts w:ascii="微软雅黑" w:eastAsia="微软雅黑" w:hAnsi="微软雅黑" w:hint="eastAsia"/>
          <w:szCs w:val="21"/>
        </w:rPr>
        <w:t>以上。艾瑞分析认为，虽然中小学课外培训是一个刚需市场，但是该阶段的学习存在着不可逆性和市场成本高的特点，因此在市场初期阶的占比相对较低。用户不断被市场培养及教育，线上学习的场景属性和体验不断提升，用户对线上教育的接受度不断提升，因此该赛道的市场份额占比不断提升。而职业在线教育的学习内容与工作的相关度比较高，且有效的弥补企业与学校之间、用户与所在岗位之间的需求不匹配，因此用户的付费意识高，付费意愿强，其盈利模式较为成熟，因此在市场中的份额总体较为稳定。</w:t>
      </w:r>
    </w:p>
    <w:p w:rsidR="009418A4" w:rsidRDefault="0031385F" w:rsidP="000D4DCD">
      <w:pPr>
        <w:rPr>
          <w:rFonts w:ascii="微软雅黑" w:eastAsia="微软雅黑" w:hAnsi="微软雅黑"/>
          <w:noProof/>
          <w:szCs w:val="21"/>
        </w:rPr>
      </w:pPr>
      <w:r>
        <w:rPr>
          <w:noProof/>
        </w:rPr>
        <w:drawing>
          <wp:inline distT="0" distB="0" distL="0" distR="0">
            <wp:extent cx="5278120" cy="1888883"/>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5278120" cy="1888883"/>
                    </a:xfrm>
                    <a:prstGeom prst="rect">
                      <a:avLst/>
                    </a:prstGeom>
                  </pic:spPr>
                </pic:pic>
              </a:graphicData>
            </a:graphic>
          </wp:inline>
        </w:drawing>
      </w:r>
    </w:p>
    <w:p w:rsidR="0031385F" w:rsidRPr="00017C70" w:rsidRDefault="000D4DCD" w:rsidP="000D4DCD">
      <w:pPr>
        <w:spacing w:line="400" w:lineRule="exact"/>
        <w:outlineLvl w:val="3"/>
        <w:rPr>
          <w:rFonts w:ascii="微软雅黑" w:eastAsia="微软雅黑" w:hAnsi="微软雅黑"/>
          <w:b/>
        </w:rPr>
      </w:pPr>
      <w:bookmarkStart w:id="433" w:name="_Toc524418059"/>
      <w:r>
        <w:rPr>
          <w:rFonts w:ascii="微软雅黑" w:eastAsia="微软雅黑" w:hAnsi="微软雅黑" w:hint="eastAsia"/>
          <w:b/>
        </w:rPr>
        <w:t>3.</w:t>
      </w:r>
      <w:r w:rsidR="0031385F" w:rsidRPr="00017C70">
        <w:rPr>
          <w:rFonts w:ascii="微软雅黑" w:eastAsia="微软雅黑" w:hAnsi="微软雅黑" w:hint="eastAsia"/>
          <w:b/>
        </w:rPr>
        <w:t>中国在线教育用户规模未来将持续增长</w:t>
      </w:r>
      <w:bookmarkEnd w:id="433"/>
    </w:p>
    <w:p w:rsidR="0031385F" w:rsidRPr="00017C70" w:rsidRDefault="0031385F"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艾瑞咨询数据显示，</w:t>
      </w:r>
      <w:r w:rsidRPr="00017C70">
        <w:rPr>
          <w:rFonts w:ascii="微软雅黑" w:eastAsia="微软雅黑" w:hAnsi="微软雅黑"/>
          <w:szCs w:val="21"/>
        </w:rPr>
        <w:t>2017</w:t>
      </w:r>
      <w:r w:rsidRPr="00017C70">
        <w:rPr>
          <w:rFonts w:ascii="微软雅黑" w:eastAsia="微软雅黑" w:hAnsi="微软雅黑" w:hint="eastAsia"/>
          <w:szCs w:val="21"/>
        </w:rPr>
        <w:t>年中国在线教育的用户达到</w:t>
      </w:r>
      <w:r w:rsidRPr="00017C70">
        <w:rPr>
          <w:rFonts w:ascii="微软雅黑" w:eastAsia="微软雅黑" w:hAnsi="微软雅黑"/>
          <w:szCs w:val="21"/>
        </w:rPr>
        <w:t>10979.9</w:t>
      </w:r>
      <w:r w:rsidRPr="00017C70">
        <w:rPr>
          <w:rFonts w:ascii="微软雅黑" w:eastAsia="微软雅黑" w:hAnsi="微软雅黑" w:hint="eastAsia"/>
          <w:szCs w:val="21"/>
        </w:rPr>
        <w:t>万人，预计未来几年在线教育用户规模将持续攀升。</w:t>
      </w:r>
    </w:p>
    <w:p w:rsidR="0031385F" w:rsidRDefault="0031385F" w:rsidP="000D4DCD">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艾瑞分析认为，中国在线教育的用户规模不断增长主要原因如下：</w:t>
      </w:r>
      <w:r w:rsidRPr="00017C70">
        <w:rPr>
          <w:rFonts w:ascii="微软雅黑" w:eastAsia="微软雅黑" w:hAnsi="微软雅黑"/>
          <w:szCs w:val="21"/>
        </w:rPr>
        <w:t>1</w:t>
      </w:r>
      <w:r w:rsidRPr="00017C70">
        <w:rPr>
          <w:rFonts w:ascii="微软雅黑" w:eastAsia="微软雅黑" w:hAnsi="微软雅黑" w:hint="eastAsia"/>
          <w:szCs w:val="21"/>
        </w:rPr>
        <w:t>、在线教育学习平台越发成熟，名师、</w:t>
      </w:r>
      <w:r w:rsidRPr="00017C70">
        <w:rPr>
          <w:rFonts w:ascii="微软雅黑" w:eastAsia="微软雅黑" w:hAnsi="微软雅黑"/>
          <w:szCs w:val="21"/>
        </w:rPr>
        <w:t>“</w:t>
      </w:r>
      <w:r w:rsidRPr="00017C70">
        <w:rPr>
          <w:rFonts w:ascii="微软雅黑" w:eastAsia="微软雅黑" w:hAnsi="微软雅黑" w:hint="eastAsia"/>
          <w:szCs w:val="21"/>
        </w:rPr>
        <w:t>大</w:t>
      </w:r>
      <w:r w:rsidRPr="00017C70">
        <w:rPr>
          <w:rFonts w:ascii="微软雅黑" w:eastAsia="微软雅黑" w:hAnsi="微软雅黑"/>
          <w:szCs w:val="21"/>
        </w:rPr>
        <w:t>V”</w:t>
      </w:r>
      <w:r w:rsidRPr="00017C70">
        <w:rPr>
          <w:rFonts w:ascii="微软雅黑" w:eastAsia="微软雅黑" w:hAnsi="微软雅黑" w:hint="eastAsia"/>
          <w:szCs w:val="21"/>
        </w:rPr>
        <w:t>等均可通过各类平台在线教学或传递知识，实现教育资源优质共享，吸引更多用户；</w:t>
      </w:r>
      <w:r w:rsidRPr="00017C70">
        <w:rPr>
          <w:rFonts w:ascii="微软雅黑" w:eastAsia="微软雅黑" w:hAnsi="微软雅黑"/>
          <w:szCs w:val="21"/>
        </w:rPr>
        <w:t>2</w:t>
      </w:r>
      <w:r w:rsidRPr="00017C70">
        <w:rPr>
          <w:rFonts w:ascii="微软雅黑" w:eastAsia="微软雅黑" w:hAnsi="微软雅黑" w:hint="eastAsia"/>
          <w:szCs w:val="21"/>
        </w:rPr>
        <w:t>、在线教育对学校和辅导机构的服务进一步延伸渗透，传统教育企业不断拓展或转型线上业务，用户覆盖区域不断触达三四线及以下城市，用户转化率不断提升；</w:t>
      </w:r>
      <w:r w:rsidRPr="00017C70">
        <w:rPr>
          <w:rFonts w:ascii="微软雅黑" w:eastAsia="微软雅黑" w:hAnsi="微软雅黑"/>
          <w:szCs w:val="21"/>
        </w:rPr>
        <w:t>3</w:t>
      </w:r>
      <w:r w:rsidRPr="00017C70">
        <w:rPr>
          <w:rFonts w:ascii="微软雅黑" w:eastAsia="微软雅黑" w:hAnsi="微软雅黑" w:hint="eastAsia"/>
          <w:szCs w:val="21"/>
        </w:rPr>
        <w:t>、工具及技术支持不断进化，解决了不同的用户需求，吸引更多的用户；</w:t>
      </w:r>
      <w:r w:rsidRPr="00017C70">
        <w:rPr>
          <w:rFonts w:ascii="微软雅黑" w:eastAsia="微软雅黑" w:hAnsi="微软雅黑"/>
          <w:szCs w:val="21"/>
        </w:rPr>
        <w:t>4</w:t>
      </w:r>
      <w:r w:rsidRPr="00017C70">
        <w:rPr>
          <w:rFonts w:ascii="微软雅黑" w:eastAsia="微软雅黑" w:hAnsi="微软雅黑" w:hint="eastAsia"/>
          <w:szCs w:val="21"/>
        </w:rPr>
        <w:t>、移动端入口不断普及，用户触达在线教育的门槛降低。</w:t>
      </w:r>
    </w:p>
    <w:p w:rsidR="0031385F" w:rsidRDefault="0031385F" w:rsidP="000D4DCD">
      <w:pPr>
        <w:rPr>
          <w:rFonts w:ascii="微软雅黑" w:eastAsia="微软雅黑" w:hAnsi="微软雅黑"/>
          <w:noProof/>
          <w:szCs w:val="21"/>
        </w:rPr>
      </w:pPr>
      <w:r>
        <w:rPr>
          <w:noProof/>
        </w:rPr>
        <w:drawing>
          <wp:inline distT="0" distB="0" distL="0" distR="0">
            <wp:extent cx="5278120" cy="1771591"/>
            <wp:effectExtent l="0" t="0" r="0"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5278120" cy="1771591"/>
                    </a:xfrm>
                    <a:prstGeom prst="rect">
                      <a:avLst/>
                    </a:prstGeom>
                  </pic:spPr>
                </pic:pic>
              </a:graphicData>
            </a:graphic>
          </wp:inline>
        </w:drawing>
      </w:r>
    </w:p>
    <w:p w:rsidR="009418A4" w:rsidRPr="00017C70" w:rsidRDefault="0031385F" w:rsidP="00017C70">
      <w:pPr>
        <w:spacing w:line="360" w:lineRule="auto"/>
        <w:outlineLvl w:val="2"/>
        <w:rPr>
          <w:rFonts w:ascii="微软雅黑" w:eastAsia="微软雅黑" w:hAnsi="微软雅黑"/>
          <w:b/>
        </w:rPr>
      </w:pPr>
      <w:bookmarkStart w:id="434" w:name="_Toc524418060"/>
      <w:r w:rsidRPr="00017C70">
        <w:rPr>
          <w:rFonts w:ascii="微软雅黑" w:eastAsia="微软雅黑" w:hAnsi="微软雅黑" w:hint="eastAsia"/>
          <w:b/>
        </w:rPr>
        <w:t>（六</w:t>
      </w:r>
      <w:r w:rsidR="009418A4" w:rsidRPr="00017C70">
        <w:rPr>
          <w:rFonts w:ascii="微软雅黑" w:eastAsia="微软雅黑" w:hAnsi="微软雅黑" w:hint="eastAsia"/>
          <w:b/>
        </w:rPr>
        <w:t>）新金融</w:t>
      </w:r>
      <w:bookmarkEnd w:id="434"/>
    </w:p>
    <w:p w:rsidR="009418A4" w:rsidRPr="00017C70" w:rsidRDefault="000D4DCD" w:rsidP="00017C70">
      <w:pPr>
        <w:spacing w:line="400" w:lineRule="exact"/>
        <w:outlineLvl w:val="3"/>
        <w:rPr>
          <w:rFonts w:ascii="微软雅黑" w:eastAsia="微软雅黑" w:hAnsi="微软雅黑"/>
          <w:b/>
        </w:rPr>
      </w:pPr>
      <w:bookmarkStart w:id="435" w:name="_Toc524418061"/>
      <w:r w:rsidRPr="000D4DCD">
        <w:rPr>
          <w:rFonts w:ascii="微软雅黑" w:eastAsia="微软雅黑" w:hAnsi="微软雅黑" w:hint="eastAsia"/>
          <w:b/>
        </w:rPr>
        <w:t>1.</w:t>
      </w:r>
      <w:r w:rsidR="0031385F" w:rsidRPr="00017C70">
        <w:rPr>
          <w:rFonts w:ascii="微软雅黑" w:eastAsia="微软雅黑" w:hAnsi="微软雅黑" w:hint="eastAsia"/>
          <w:b/>
        </w:rPr>
        <w:t>十年酝酿，中国金融才真正开始线上化</w:t>
      </w:r>
      <w:bookmarkEnd w:id="435"/>
    </w:p>
    <w:p w:rsidR="0031385F" w:rsidRPr="00017C70" w:rsidRDefault="0031385F"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信贷是金融的核心，自</w:t>
      </w:r>
      <w:r w:rsidRPr="00017C70">
        <w:rPr>
          <w:rFonts w:ascii="微软雅黑" w:eastAsia="微软雅黑" w:hAnsi="微软雅黑"/>
          <w:szCs w:val="21"/>
        </w:rPr>
        <w:t>2007</w:t>
      </w:r>
      <w:r w:rsidRPr="00017C70">
        <w:rPr>
          <w:rFonts w:ascii="微软雅黑" w:eastAsia="微软雅黑" w:hAnsi="微软雅黑" w:hint="eastAsia"/>
          <w:szCs w:val="21"/>
        </w:rPr>
        <w:t>年</w:t>
      </w:r>
      <w:r w:rsidRPr="00017C70">
        <w:rPr>
          <w:rFonts w:ascii="微软雅黑" w:eastAsia="微软雅黑" w:hAnsi="微软雅黑"/>
          <w:szCs w:val="21"/>
        </w:rPr>
        <w:t>P2P</w:t>
      </w:r>
      <w:r w:rsidRPr="00017C70">
        <w:rPr>
          <w:rFonts w:ascii="微软雅黑" w:eastAsia="微软雅黑" w:hAnsi="微软雅黑" w:hint="eastAsia"/>
          <w:szCs w:val="21"/>
        </w:rPr>
        <w:t>登陆中国开始，国内的信贷就开始了漫长的线上化进程。但是碍于体制和理念的原因，中国的信贷线上化，始终停留在</w:t>
      </w:r>
      <w:r w:rsidRPr="00017C70">
        <w:rPr>
          <w:rFonts w:ascii="微软雅黑" w:eastAsia="微软雅黑" w:hAnsi="微软雅黑"/>
          <w:szCs w:val="21"/>
        </w:rPr>
        <w:t>“</w:t>
      </w:r>
      <w:r w:rsidRPr="00017C70">
        <w:rPr>
          <w:rFonts w:ascii="微软雅黑" w:eastAsia="微软雅黑" w:hAnsi="微软雅黑" w:hint="eastAsia"/>
          <w:szCs w:val="21"/>
        </w:rPr>
        <w:t>电商</w:t>
      </w:r>
      <w:r w:rsidRPr="00017C70">
        <w:rPr>
          <w:rFonts w:ascii="微软雅黑" w:eastAsia="微软雅黑" w:hAnsi="微软雅黑"/>
          <w:szCs w:val="21"/>
        </w:rPr>
        <w:t>”</w:t>
      </w:r>
      <w:r w:rsidRPr="00017C70">
        <w:rPr>
          <w:rFonts w:ascii="微软雅黑" w:eastAsia="微软雅黑" w:hAnsi="微软雅黑" w:hint="eastAsia"/>
          <w:szCs w:val="21"/>
        </w:rPr>
        <w:t>层面，以一种网络兜售信贷的方式试水线上信贷。这种初级又低效的方式持续了很久，然而对传统金融机构的促进却极其有限。导致</w:t>
      </w:r>
      <w:r w:rsidRPr="00017C70">
        <w:rPr>
          <w:rFonts w:ascii="微软雅黑" w:eastAsia="微软雅黑" w:hAnsi="微软雅黑"/>
          <w:szCs w:val="21"/>
        </w:rPr>
        <w:t>2007-2017</w:t>
      </w:r>
      <w:r w:rsidRPr="00017C70">
        <w:rPr>
          <w:rFonts w:ascii="微软雅黑" w:eastAsia="微软雅黑" w:hAnsi="微软雅黑" w:hint="eastAsia"/>
          <w:szCs w:val="21"/>
        </w:rPr>
        <w:t>这十年间，中国的线上信贷始终停留在网络信贷的层面，互联网金融无论是非功过，至少都在探索信贷线上化的种种可能。</w:t>
      </w:r>
      <w:r w:rsidRPr="00017C70">
        <w:rPr>
          <w:rFonts w:ascii="微软雅黑" w:eastAsia="微软雅黑" w:hAnsi="微软雅黑"/>
          <w:szCs w:val="21"/>
        </w:rPr>
        <w:t>2017</w:t>
      </w:r>
      <w:r w:rsidRPr="00017C70">
        <w:rPr>
          <w:rFonts w:ascii="微软雅黑" w:eastAsia="微软雅黑" w:hAnsi="微软雅黑" w:hint="eastAsia"/>
          <w:szCs w:val="21"/>
        </w:rPr>
        <w:t>年，现金贷的兴起是中国金融孕育出的</w:t>
      </w:r>
      <w:r w:rsidRPr="00017C70">
        <w:rPr>
          <w:rFonts w:ascii="微软雅黑" w:eastAsia="微软雅黑" w:hAnsi="微软雅黑"/>
          <w:szCs w:val="21"/>
        </w:rPr>
        <w:t>“</w:t>
      </w:r>
      <w:r w:rsidRPr="00017C70">
        <w:rPr>
          <w:rFonts w:ascii="微软雅黑" w:eastAsia="微软雅黑" w:hAnsi="微软雅黑" w:hint="eastAsia"/>
          <w:szCs w:val="21"/>
        </w:rPr>
        <w:t>怪胎</w:t>
      </w:r>
      <w:r w:rsidRPr="00017C70">
        <w:rPr>
          <w:rFonts w:ascii="微软雅黑" w:eastAsia="微软雅黑" w:hAnsi="微软雅黑"/>
          <w:szCs w:val="21"/>
        </w:rPr>
        <w:t>”</w:t>
      </w:r>
      <w:r w:rsidRPr="00017C70">
        <w:rPr>
          <w:rFonts w:ascii="微软雅黑" w:eastAsia="微软雅黑" w:hAnsi="微软雅黑" w:hint="eastAsia"/>
          <w:szCs w:val="21"/>
        </w:rPr>
        <w:t>，它既保留了传统金融的运作方法和理念，又融入了许多网络金融的技术元素，更为重要的是，现金贷在网络平台出现之后，经过历次改版升级后的电子银行产品也悄无声息的融入了现金贷的功能。至此，更加深入的信贷线上化，才算正式拉开帷幕，金融业真正进入了互联网人常说的</w:t>
      </w:r>
      <w:r w:rsidRPr="00017C70">
        <w:rPr>
          <w:rFonts w:ascii="微软雅黑" w:eastAsia="微软雅黑" w:hAnsi="微软雅黑"/>
          <w:szCs w:val="21"/>
        </w:rPr>
        <w:t>“</w:t>
      </w:r>
      <w:r w:rsidRPr="00017C70">
        <w:rPr>
          <w:rFonts w:ascii="微软雅黑" w:eastAsia="微软雅黑" w:hAnsi="微软雅黑" w:hint="eastAsia"/>
          <w:szCs w:val="21"/>
        </w:rPr>
        <w:t>最好的时代</w:t>
      </w:r>
      <w:r w:rsidRPr="00017C70">
        <w:rPr>
          <w:rFonts w:ascii="微软雅黑" w:eastAsia="微软雅黑" w:hAnsi="微软雅黑"/>
          <w:szCs w:val="21"/>
        </w:rPr>
        <w:t>”</w:t>
      </w:r>
      <w:r w:rsidRPr="00017C70">
        <w:rPr>
          <w:rFonts w:ascii="微软雅黑" w:eastAsia="微软雅黑" w:hAnsi="微软雅黑" w:hint="eastAsia"/>
          <w:szCs w:val="21"/>
        </w:rPr>
        <w:t>。</w:t>
      </w:r>
    </w:p>
    <w:p w:rsidR="0031385F" w:rsidRPr="00017C70" w:rsidRDefault="0031385F" w:rsidP="000D4DCD">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信贷业务的全流程存在四个重要的节点，这四个节点有任何一个节点涉及线上，从更加宏观的视角审视，都应该涵盖在中国整体信贷线上化的蓝图中。</w:t>
      </w:r>
    </w:p>
    <w:p w:rsidR="0031385F" w:rsidRDefault="0031385F" w:rsidP="000D4DCD">
      <w:pPr>
        <w:rPr>
          <w:rFonts w:ascii="微软雅黑" w:eastAsia="微软雅黑" w:hAnsiTheme="minorHAnsi" w:cs="微软雅黑"/>
          <w:color w:val="000000"/>
          <w:kern w:val="0"/>
          <w:sz w:val="23"/>
          <w:szCs w:val="23"/>
        </w:rPr>
      </w:pPr>
      <w:r>
        <w:rPr>
          <w:noProof/>
        </w:rPr>
        <w:drawing>
          <wp:inline distT="0" distB="0" distL="0" distR="0">
            <wp:extent cx="5278120" cy="1625588"/>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5278120" cy="1625588"/>
                    </a:xfrm>
                    <a:prstGeom prst="rect">
                      <a:avLst/>
                    </a:prstGeom>
                  </pic:spPr>
                </pic:pic>
              </a:graphicData>
            </a:graphic>
          </wp:inline>
        </w:drawing>
      </w:r>
    </w:p>
    <w:p w:rsidR="0031385F" w:rsidRPr="00017C70" w:rsidRDefault="000D4DCD" w:rsidP="000D4DCD">
      <w:pPr>
        <w:tabs>
          <w:tab w:val="left" w:pos="3030"/>
        </w:tabs>
        <w:spacing w:line="400" w:lineRule="exact"/>
        <w:outlineLvl w:val="3"/>
        <w:rPr>
          <w:rFonts w:ascii="微软雅黑" w:eastAsia="微软雅黑" w:hAnsi="微软雅黑"/>
          <w:b/>
        </w:rPr>
      </w:pPr>
      <w:bookmarkStart w:id="436" w:name="_Toc524418062"/>
      <w:r>
        <w:rPr>
          <w:rFonts w:ascii="微软雅黑" w:eastAsia="微软雅黑" w:hAnsi="微软雅黑" w:hint="eastAsia"/>
          <w:b/>
        </w:rPr>
        <w:t>2.</w:t>
      </w:r>
      <w:r w:rsidR="0031385F" w:rsidRPr="00017C70">
        <w:rPr>
          <w:rFonts w:ascii="微软雅黑" w:eastAsia="微软雅黑" w:hAnsi="微软雅黑" w:hint="eastAsia"/>
          <w:b/>
        </w:rPr>
        <w:t>互联网信贷进入品牌时代</w:t>
      </w:r>
      <w:bookmarkEnd w:id="436"/>
    </w:p>
    <w:p w:rsidR="0031385F" w:rsidRPr="00017C70" w:rsidRDefault="0031385F" w:rsidP="000D4DCD">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尽管增速放缓，但即便未来保持平均每年</w:t>
      </w:r>
      <w:r w:rsidRPr="00017C70">
        <w:rPr>
          <w:rFonts w:ascii="微软雅黑" w:eastAsia="微软雅黑" w:hAnsi="微软雅黑"/>
          <w:szCs w:val="21"/>
        </w:rPr>
        <w:t>40%</w:t>
      </w:r>
      <w:r w:rsidRPr="00017C70">
        <w:rPr>
          <w:rFonts w:ascii="微软雅黑" w:eastAsia="微软雅黑" w:hAnsi="微软雅黑" w:hint="eastAsia"/>
          <w:szCs w:val="21"/>
        </w:rPr>
        <w:t>左右的信贷余额增速，在互联网各行业中也属于高速成长的行业。因此，未来互联网环境将继续承担</w:t>
      </w:r>
      <w:r w:rsidRPr="00017C70">
        <w:rPr>
          <w:rFonts w:ascii="微软雅黑" w:eastAsia="微软雅黑" w:hAnsi="微软雅黑"/>
          <w:szCs w:val="21"/>
        </w:rPr>
        <w:t>“</w:t>
      </w:r>
      <w:r w:rsidRPr="00017C70">
        <w:rPr>
          <w:rFonts w:ascii="微软雅黑" w:eastAsia="微软雅黑" w:hAnsi="微软雅黑" w:hint="eastAsia"/>
          <w:szCs w:val="21"/>
        </w:rPr>
        <w:t>资产工厂</w:t>
      </w:r>
      <w:r w:rsidRPr="00017C70">
        <w:rPr>
          <w:rFonts w:ascii="微软雅黑" w:eastAsia="微软雅黑" w:hAnsi="微软雅黑"/>
          <w:szCs w:val="21"/>
        </w:rPr>
        <w:t>”</w:t>
      </w:r>
      <w:r w:rsidRPr="00017C70">
        <w:rPr>
          <w:rFonts w:ascii="微软雅黑" w:eastAsia="微软雅黑" w:hAnsi="微软雅黑" w:hint="eastAsia"/>
          <w:szCs w:val="21"/>
        </w:rPr>
        <w:t>的角色，高速高效的生成新资产。而在这一过程中，坐拥资金的金融机构如何进行筛选将变成核心课题。在没有合作风控，或者资本关系的前提下，平台的品牌积淀将成为资金端选择优质资产的重要考量指标。艾瑞认为，以下三点将成为评价互联网信贷机构品牌实力的指标：第一：成立时间，越长越好。第二，平台转化率，高于同业机构，越高越好。第三，复购率，复购率指用户再次借贷行为。在没有深入合作的基础上，考量以上三个指标，能最大限度的帮助企业鉴别资产质量。</w:t>
      </w:r>
    </w:p>
    <w:p w:rsidR="0031385F" w:rsidRDefault="0031385F" w:rsidP="000D4DCD">
      <w:pPr>
        <w:rPr>
          <w:rFonts w:ascii="微软雅黑" w:eastAsia="微软雅黑" w:hAnsiTheme="minorHAnsi" w:cs="微软雅黑"/>
          <w:color w:val="000000"/>
          <w:kern w:val="0"/>
          <w:sz w:val="23"/>
          <w:szCs w:val="23"/>
        </w:rPr>
      </w:pPr>
      <w:r>
        <w:rPr>
          <w:noProof/>
        </w:rPr>
        <w:drawing>
          <wp:inline distT="0" distB="0" distL="0" distR="0">
            <wp:extent cx="5278120" cy="1863836"/>
            <wp:effectExtent l="0" t="0" r="0" b="317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5278120" cy="1863836"/>
                    </a:xfrm>
                    <a:prstGeom prst="rect">
                      <a:avLst/>
                    </a:prstGeom>
                  </pic:spPr>
                </pic:pic>
              </a:graphicData>
            </a:graphic>
          </wp:inline>
        </w:drawing>
      </w:r>
    </w:p>
    <w:p w:rsidR="0031385F" w:rsidRPr="00017C70" w:rsidRDefault="000D4DCD" w:rsidP="00017C70">
      <w:pPr>
        <w:spacing w:line="400" w:lineRule="exact"/>
        <w:outlineLvl w:val="3"/>
        <w:rPr>
          <w:rFonts w:ascii="微软雅黑" w:eastAsia="微软雅黑" w:hAnsi="微软雅黑"/>
          <w:b/>
        </w:rPr>
      </w:pPr>
      <w:bookmarkStart w:id="437" w:name="_Toc524418063"/>
      <w:r>
        <w:rPr>
          <w:rFonts w:ascii="微软雅黑" w:eastAsia="微软雅黑" w:hAnsi="微软雅黑" w:hint="eastAsia"/>
          <w:b/>
        </w:rPr>
        <w:t>3.多样化的资产处理方式</w:t>
      </w:r>
      <w:r w:rsidR="0031385F" w:rsidRPr="00017C70">
        <w:rPr>
          <w:rFonts w:ascii="微软雅黑" w:eastAsia="微软雅黑" w:hAnsi="微软雅黑" w:hint="eastAsia"/>
          <w:b/>
        </w:rPr>
        <w:t>加速传统金融互联网进程</w:t>
      </w:r>
      <w:bookmarkEnd w:id="437"/>
    </w:p>
    <w:p w:rsidR="0031385F" w:rsidRDefault="0031385F" w:rsidP="00017C70">
      <w:pPr>
        <w:spacing w:line="400" w:lineRule="exact"/>
        <w:ind w:firstLineChars="200" w:firstLine="420"/>
        <w:rPr>
          <w:rFonts w:ascii="微软雅黑" w:eastAsia="微软雅黑" w:hAnsi="微软雅黑"/>
          <w:szCs w:val="21"/>
        </w:rPr>
      </w:pPr>
      <w:r w:rsidRPr="00017C70">
        <w:rPr>
          <w:rFonts w:ascii="微软雅黑" w:eastAsia="微软雅黑" w:hAnsi="微软雅黑" w:hint="eastAsia"/>
          <w:szCs w:val="21"/>
        </w:rPr>
        <w:t>自余额宝之后，网络理财行业发展比较缓慢，主要问题在于模式上的创新难以突破想象力的天花板。并且随着传统金融也对优质资产的渴求，网络金融生态面临</w:t>
      </w:r>
      <w:r w:rsidRPr="00017C70">
        <w:rPr>
          <w:rFonts w:ascii="微软雅黑" w:eastAsia="微软雅黑" w:hAnsi="微软雅黑"/>
          <w:szCs w:val="21"/>
        </w:rPr>
        <w:t>“</w:t>
      </w:r>
      <w:r w:rsidRPr="00017C70">
        <w:rPr>
          <w:rFonts w:ascii="微软雅黑" w:eastAsia="微软雅黑" w:hAnsi="微软雅黑" w:hint="eastAsia"/>
          <w:szCs w:val="21"/>
        </w:rPr>
        <w:t>外来</w:t>
      </w:r>
      <w:r w:rsidRPr="00017C70">
        <w:rPr>
          <w:rFonts w:ascii="微软雅黑" w:eastAsia="微软雅黑" w:hAnsi="微软雅黑"/>
          <w:szCs w:val="21"/>
        </w:rPr>
        <w:t>”</w:t>
      </w:r>
      <w:r w:rsidRPr="00017C70">
        <w:rPr>
          <w:rFonts w:ascii="微软雅黑" w:eastAsia="微软雅黑" w:hAnsi="微软雅黑" w:hint="eastAsia"/>
          <w:szCs w:val="21"/>
        </w:rPr>
        <w:t>势力的侵蚀。部分互联网金融平台，为求低价连续的现金流，选择将资产向外输出。从宏观大环境上看，这有利于提高我国金融行业的活性，促进线上线下融合。但从网络金融的视角看，一旦全行业完全依赖于传统金融机构的资金供给，有可能进一步抑制网络理财行业的创新能力。</w:t>
      </w:r>
    </w:p>
    <w:p w:rsidR="00D95902" w:rsidRPr="00C8794E" w:rsidRDefault="00913983" w:rsidP="00D95902">
      <w:pPr>
        <w:spacing w:line="360" w:lineRule="auto"/>
        <w:outlineLvl w:val="1"/>
        <w:rPr>
          <w:rFonts w:ascii="微软雅黑" w:eastAsia="微软雅黑" w:hAnsi="微软雅黑"/>
          <w:b/>
        </w:rPr>
      </w:pPr>
      <w:bookmarkStart w:id="438" w:name="_Toc524418064"/>
      <w:r>
        <w:rPr>
          <w:rFonts w:ascii="微软雅黑" w:eastAsia="微软雅黑" w:hAnsi="微软雅黑" w:hint="eastAsia"/>
          <w:b/>
        </w:rPr>
        <w:t>二</w:t>
      </w:r>
      <w:r w:rsidR="00D95902" w:rsidRPr="00455896">
        <w:rPr>
          <w:rFonts w:ascii="微软雅黑" w:eastAsia="微软雅黑" w:hAnsi="微软雅黑" w:hint="eastAsia"/>
          <w:b/>
        </w:rPr>
        <w:t>、</w:t>
      </w:r>
      <w:bookmarkEnd w:id="414"/>
      <w:r w:rsidR="00D95902">
        <w:rPr>
          <w:rFonts w:ascii="微软雅黑" w:eastAsia="微软雅黑" w:hAnsi="微软雅黑" w:hint="eastAsia"/>
          <w:b/>
        </w:rPr>
        <w:t>陕西省</w:t>
      </w:r>
      <w:r w:rsidR="00D95902" w:rsidRPr="00C8794E">
        <w:rPr>
          <w:rFonts w:ascii="微软雅黑" w:eastAsia="微软雅黑" w:hAnsi="微软雅黑"/>
          <w:b/>
        </w:rPr>
        <w:t>网民网络使用粘性</w:t>
      </w:r>
      <w:r w:rsidR="00D95902">
        <w:rPr>
          <w:rFonts w:ascii="微软雅黑" w:eastAsia="微软雅黑" w:hAnsi="微软雅黑"/>
          <w:b/>
        </w:rPr>
        <w:t>比较</w:t>
      </w:r>
      <w:bookmarkEnd w:id="438"/>
    </w:p>
    <w:p w:rsidR="00D95902" w:rsidRPr="002361E0" w:rsidRDefault="00D95902" w:rsidP="00D95902">
      <w:pPr>
        <w:spacing w:line="400" w:lineRule="exact"/>
        <w:outlineLvl w:val="2"/>
        <w:rPr>
          <w:rFonts w:ascii="微软雅黑" w:eastAsia="微软雅黑" w:hAnsi="微软雅黑"/>
          <w:b/>
        </w:rPr>
      </w:pPr>
      <w:bookmarkStart w:id="439" w:name="_Toc524418065"/>
      <w:r w:rsidRPr="002361E0">
        <w:rPr>
          <w:rFonts w:ascii="微软雅黑" w:eastAsia="微软雅黑" w:hAnsi="微软雅黑" w:hint="eastAsia"/>
          <w:b/>
        </w:rPr>
        <w:t>（一）网民在PC端网络使用粘性</w:t>
      </w:r>
      <w:bookmarkEnd w:id="439"/>
    </w:p>
    <w:p w:rsidR="00D95902" w:rsidRPr="002361E0" w:rsidRDefault="00D95902" w:rsidP="00D95902">
      <w:pPr>
        <w:spacing w:line="400" w:lineRule="exact"/>
        <w:outlineLvl w:val="3"/>
        <w:rPr>
          <w:rFonts w:ascii="微软雅黑" w:eastAsia="微软雅黑" w:hAnsi="微软雅黑"/>
          <w:b/>
        </w:rPr>
      </w:pPr>
      <w:bookmarkStart w:id="440" w:name="_Toc524418066"/>
      <w:r w:rsidRPr="002361E0">
        <w:rPr>
          <w:rFonts w:ascii="微软雅黑" w:eastAsia="微软雅黑" w:hAnsi="微软雅黑" w:hint="eastAsia"/>
          <w:b/>
        </w:rPr>
        <w:t>1.人均月度访问天数</w:t>
      </w:r>
      <w:bookmarkEnd w:id="440"/>
    </w:p>
    <w:p w:rsidR="00D95902" w:rsidRDefault="00D95902" w:rsidP="0087099E">
      <w:pPr>
        <w:spacing w:line="400" w:lineRule="exact"/>
        <w:ind w:firstLineChars="200" w:firstLine="420"/>
        <w:rPr>
          <w:rFonts w:asciiTheme="minorEastAsia" w:eastAsiaTheme="minorEastAsia" w:hAnsiTheme="minorEastAsia"/>
          <w:noProof/>
          <w:szCs w:val="21"/>
        </w:rPr>
      </w:pPr>
      <w:r w:rsidRPr="00C85E87">
        <w:rPr>
          <w:rFonts w:ascii="微软雅黑" w:eastAsia="微软雅黑" w:hAnsi="微软雅黑" w:cs="仿宋" w:hint="eastAsia"/>
          <w:szCs w:val="21"/>
        </w:rPr>
        <w:t>近年来陕西省网民在PC端的人均月度访问天数整体呈下降趋势。截至</w:t>
      </w:r>
      <w:r w:rsidRPr="00C85E87">
        <w:rPr>
          <w:rFonts w:ascii="微软雅黑" w:eastAsia="微软雅黑" w:hAnsi="微软雅黑"/>
          <w:szCs w:val="21"/>
        </w:rPr>
        <w:t>2017年</w:t>
      </w:r>
      <w:r w:rsidRPr="00C85E87">
        <w:rPr>
          <w:rFonts w:ascii="微软雅黑" w:eastAsia="微软雅黑" w:hAnsi="微软雅黑" w:hint="eastAsia"/>
          <w:szCs w:val="21"/>
        </w:rPr>
        <w:t>12月</w:t>
      </w:r>
      <w:r w:rsidRPr="00C85E87">
        <w:rPr>
          <w:rFonts w:ascii="微软雅黑" w:eastAsia="微软雅黑" w:hAnsi="微软雅黑"/>
          <w:szCs w:val="21"/>
        </w:rPr>
        <w:t>，全省网民人均月度访问天数为</w:t>
      </w:r>
      <w:r w:rsidRPr="00C85E87">
        <w:rPr>
          <w:rFonts w:ascii="微软雅黑" w:eastAsia="微软雅黑" w:hAnsi="微软雅黑" w:hint="eastAsia"/>
          <w:szCs w:val="21"/>
        </w:rPr>
        <w:t>13.2</w:t>
      </w:r>
      <w:r w:rsidRPr="00C85E87">
        <w:rPr>
          <w:rFonts w:ascii="微软雅黑" w:eastAsia="微软雅黑" w:hAnsi="微软雅黑"/>
          <w:szCs w:val="21"/>
        </w:rPr>
        <w:t>天，略高于全年</w:t>
      </w:r>
      <w:r w:rsidRPr="00C85E87">
        <w:rPr>
          <w:rFonts w:ascii="微软雅黑" w:eastAsia="微软雅黑" w:hAnsi="微软雅黑" w:hint="eastAsia"/>
          <w:szCs w:val="21"/>
        </w:rPr>
        <w:t>12.9的平均值，与2016年12月相比略有增加，这表明网民</w:t>
      </w:r>
      <w:r w:rsidRPr="00C85E87">
        <w:rPr>
          <w:rFonts w:ascii="微软雅黑" w:eastAsia="微软雅黑" w:hAnsi="微软雅黑" w:cs="仿宋" w:hint="eastAsia"/>
          <w:szCs w:val="21"/>
        </w:rPr>
        <w:t>人均月度访问天数已暂时趋于平稳</w:t>
      </w:r>
      <w:r w:rsidRPr="00C85E87">
        <w:rPr>
          <w:rFonts w:ascii="微软雅黑" w:eastAsia="微软雅黑" w:hAnsi="微软雅黑" w:hint="eastAsia"/>
          <w:szCs w:val="21"/>
        </w:rPr>
        <w:t>。</w:t>
      </w:r>
      <w:r>
        <w:rPr>
          <w:rFonts w:ascii="微软雅黑" w:eastAsia="微软雅黑" w:hAnsi="微软雅黑" w:hint="eastAsia"/>
          <w:szCs w:val="21"/>
        </w:rPr>
        <w:t>与四川、安徽等省分相比较，陕西省网民</w:t>
      </w:r>
      <w:r w:rsidRPr="00C85E87">
        <w:rPr>
          <w:rFonts w:ascii="微软雅黑" w:eastAsia="微软雅黑" w:hAnsi="微软雅黑" w:cs="仿宋" w:hint="eastAsia"/>
          <w:szCs w:val="21"/>
        </w:rPr>
        <w:t>人均月度访问天数</w:t>
      </w:r>
      <w:r>
        <w:rPr>
          <w:rFonts w:ascii="微软雅黑" w:eastAsia="微软雅黑" w:hAnsi="微软雅黑" w:cs="仿宋" w:hint="eastAsia"/>
          <w:szCs w:val="21"/>
        </w:rPr>
        <w:t>指标介于两者之间。</w:t>
      </w:r>
    </w:p>
    <w:p w:rsidR="00D95902" w:rsidRDefault="00D95902" w:rsidP="00D95902">
      <w:pPr>
        <w:snapToGrid w:val="0"/>
        <w:jc w:val="center"/>
        <w:rPr>
          <w:rFonts w:asciiTheme="minorEastAsia" w:eastAsiaTheme="minorEastAsia" w:hAnsiTheme="minorEastAsia"/>
          <w:noProof/>
          <w:szCs w:val="21"/>
          <w:highlight w:val="yellow"/>
        </w:rPr>
      </w:pPr>
      <w:r>
        <w:rPr>
          <w:noProof/>
        </w:rPr>
        <w:drawing>
          <wp:inline distT="0" distB="0" distL="0" distR="0">
            <wp:extent cx="4809600" cy="2880000"/>
            <wp:effectExtent l="0" t="0" r="10160" b="15875"/>
            <wp:docPr id="1139" name="图表 1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87099E" w:rsidRDefault="0087099E" w:rsidP="00D95902">
      <w:pPr>
        <w:snapToGrid w:val="0"/>
        <w:jc w:val="center"/>
        <w:rPr>
          <w:rFonts w:asciiTheme="minorEastAsia" w:eastAsiaTheme="minorEastAsia" w:hAnsiTheme="minorEastAsia"/>
          <w:noProof/>
          <w:szCs w:val="21"/>
          <w:highlight w:val="yellow"/>
        </w:rPr>
      </w:pPr>
    </w:p>
    <w:p w:rsidR="00D95902" w:rsidRDefault="00D95902" w:rsidP="00D95902">
      <w:pPr>
        <w:jc w:val="center"/>
      </w:pPr>
      <w:r>
        <w:rPr>
          <w:noProof/>
        </w:rPr>
        <w:drawing>
          <wp:inline distT="0" distB="0" distL="0" distR="0">
            <wp:extent cx="4809600" cy="2880000"/>
            <wp:effectExtent l="0" t="0" r="10160" b="15875"/>
            <wp:docPr id="1140" name="图表 1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59303E" w:rsidRDefault="0059303E" w:rsidP="00D95902">
      <w:pPr>
        <w:jc w:val="center"/>
      </w:pPr>
    </w:p>
    <w:p w:rsidR="0059303E" w:rsidRDefault="0059303E" w:rsidP="00D95902">
      <w:pPr>
        <w:jc w:val="center"/>
      </w:pPr>
    </w:p>
    <w:p w:rsidR="00D95902" w:rsidRPr="002361E0" w:rsidRDefault="00D95902" w:rsidP="00D95902">
      <w:pPr>
        <w:spacing w:line="400" w:lineRule="exact"/>
        <w:outlineLvl w:val="3"/>
        <w:rPr>
          <w:rFonts w:ascii="微软雅黑" w:eastAsia="微软雅黑" w:hAnsi="微软雅黑"/>
          <w:b/>
        </w:rPr>
      </w:pPr>
      <w:bookmarkStart w:id="441" w:name="_Toc524418067"/>
      <w:r>
        <w:rPr>
          <w:rFonts w:ascii="微软雅黑" w:eastAsia="微软雅黑" w:hAnsi="微软雅黑" w:hint="eastAsia"/>
          <w:b/>
        </w:rPr>
        <w:t>2.</w:t>
      </w:r>
      <w:r w:rsidRPr="002361E0">
        <w:rPr>
          <w:rFonts w:ascii="微软雅黑" w:eastAsia="微软雅黑" w:hAnsi="微软雅黑" w:hint="eastAsia"/>
          <w:b/>
        </w:rPr>
        <w:t>人均月度访问次数</w:t>
      </w:r>
      <w:bookmarkEnd w:id="441"/>
    </w:p>
    <w:p w:rsidR="00D95902" w:rsidRDefault="00D95902" w:rsidP="00D95902">
      <w:pPr>
        <w:spacing w:line="400" w:lineRule="exact"/>
        <w:ind w:firstLineChars="200" w:firstLine="420"/>
        <w:rPr>
          <w:rFonts w:ascii="微软雅黑" w:eastAsia="微软雅黑" w:hAnsi="微软雅黑"/>
          <w:szCs w:val="21"/>
        </w:rPr>
      </w:pPr>
      <w:r>
        <w:rPr>
          <w:rFonts w:ascii="微软雅黑" w:eastAsia="微软雅黑" w:hAnsi="微软雅黑"/>
          <w:szCs w:val="21"/>
        </w:rPr>
        <w:t>2017年</w:t>
      </w:r>
      <w:r>
        <w:rPr>
          <w:rFonts w:ascii="微软雅黑" w:eastAsia="微软雅黑" w:hAnsi="微软雅黑" w:hint="eastAsia"/>
          <w:szCs w:val="21"/>
        </w:rPr>
        <w:t>12月</w:t>
      </w:r>
      <w:r w:rsidRPr="009D423B">
        <w:rPr>
          <w:rFonts w:ascii="微软雅黑" w:eastAsia="微软雅黑" w:hAnsi="微软雅黑"/>
          <w:szCs w:val="21"/>
        </w:rPr>
        <w:t>，陕西省网民</w:t>
      </w:r>
      <w:r>
        <w:rPr>
          <w:rFonts w:ascii="微软雅黑" w:eastAsia="微软雅黑" w:hAnsi="微软雅黑"/>
          <w:szCs w:val="21"/>
        </w:rPr>
        <w:t>人均月度访问次数为</w:t>
      </w:r>
      <w:r>
        <w:rPr>
          <w:rFonts w:ascii="微软雅黑" w:eastAsia="微软雅黑" w:hAnsi="微软雅黑" w:hint="eastAsia"/>
          <w:szCs w:val="21"/>
        </w:rPr>
        <w:t>254.4次，与2016年12月相比增加了2.6%，且</w:t>
      </w:r>
      <w:r>
        <w:rPr>
          <w:rFonts w:ascii="微软雅黑" w:eastAsia="微软雅黑" w:hAnsi="微软雅黑"/>
          <w:szCs w:val="21"/>
        </w:rPr>
        <w:t>略</w:t>
      </w:r>
      <w:r>
        <w:rPr>
          <w:rFonts w:ascii="微软雅黑" w:eastAsia="微软雅黑" w:hAnsi="微软雅黑" w:hint="eastAsia"/>
          <w:szCs w:val="21"/>
        </w:rPr>
        <w:t>高于</w:t>
      </w:r>
      <w:r>
        <w:rPr>
          <w:rFonts w:ascii="微软雅黑" w:eastAsia="微软雅黑" w:hAnsi="微软雅黑"/>
          <w:szCs w:val="21"/>
        </w:rPr>
        <w:t>全国</w:t>
      </w:r>
      <w:r>
        <w:rPr>
          <w:rFonts w:ascii="微软雅黑" w:eastAsia="微软雅黑" w:hAnsi="微软雅黑" w:hint="eastAsia"/>
          <w:szCs w:val="21"/>
        </w:rPr>
        <w:t>252.7次的平均值。从整体趋势来看，</w:t>
      </w:r>
      <w:r w:rsidRPr="009D423B">
        <w:rPr>
          <w:rFonts w:ascii="微软雅黑" w:eastAsia="微软雅黑" w:hAnsi="微软雅黑"/>
          <w:szCs w:val="21"/>
        </w:rPr>
        <w:t>陕西省网民</w:t>
      </w:r>
      <w:r>
        <w:rPr>
          <w:rFonts w:ascii="微软雅黑" w:eastAsia="微软雅黑" w:hAnsi="微软雅黑"/>
          <w:szCs w:val="21"/>
        </w:rPr>
        <w:t>人均月度访问次数指标</w:t>
      </w:r>
      <w:r>
        <w:rPr>
          <w:rFonts w:ascii="微软雅黑" w:eastAsia="微软雅黑" w:hAnsi="微软雅黑" w:hint="eastAsia"/>
          <w:szCs w:val="21"/>
        </w:rPr>
        <w:t>仍处于低位，与2013年至2015年的相比仍存在一定差距。</w:t>
      </w:r>
    </w:p>
    <w:p w:rsidR="00D95902" w:rsidRPr="00575FCE" w:rsidRDefault="00D95902" w:rsidP="00D95902">
      <w:pPr>
        <w:snapToGrid w:val="0"/>
        <w:jc w:val="center"/>
        <w:rPr>
          <w:rFonts w:asciiTheme="minorEastAsia" w:eastAsiaTheme="minorEastAsia" w:hAnsiTheme="minorEastAsia"/>
          <w:szCs w:val="21"/>
        </w:rPr>
      </w:pPr>
    </w:p>
    <w:p w:rsidR="00D95902" w:rsidRDefault="00D95902" w:rsidP="00D95902">
      <w:pPr>
        <w:snapToGrid w:val="0"/>
        <w:jc w:val="center"/>
        <w:rPr>
          <w:rFonts w:ascii="微软雅黑" w:eastAsia="微软雅黑" w:hAnsi="微软雅黑"/>
          <w:szCs w:val="21"/>
        </w:rPr>
      </w:pPr>
      <w:r>
        <w:rPr>
          <w:noProof/>
        </w:rPr>
        <w:drawing>
          <wp:inline distT="0" distB="0" distL="0" distR="0">
            <wp:extent cx="4809600" cy="2880000"/>
            <wp:effectExtent l="0" t="0" r="10160" b="15875"/>
            <wp:docPr id="1141" name="图表 1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D95902" w:rsidRDefault="00D95902" w:rsidP="00D95902">
      <w:pPr>
        <w:snapToGrid w:val="0"/>
        <w:jc w:val="center"/>
        <w:rPr>
          <w:rFonts w:ascii="微软雅黑" w:eastAsia="微软雅黑" w:hAnsi="微软雅黑"/>
          <w:szCs w:val="21"/>
        </w:rPr>
      </w:pPr>
    </w:p>
    <w:p w:rsidR="00D95902" w:rsidRDefault="00D95902" w:rsidP="00D95902">
      <w:pPr>
        <w:snapToGrid w:val="0"/>
        <w:jc w:val="center"/>
        <w:rPr>
          <w:rFonts w:ascii="微软雅黑" w:eastAsia="微软雅黑" w:hAnsi="微软雅黑"/>
          <w:szCs w:val="21"/>
        </w:rPr>
      </w:pPr>
      <w:r>
        <w:rPr>
          <w:noProof/>
        </w:rPr>
        <w:drawing>
          <wp:inline distT="0" distB="0" distL="0" distR="0">
            <wp:extent cx="4809600" cy="2880000"/>
            <wp:effectExtent l="0" t="0" r="10160" b="15875"/>
            <wp:docPr id="1142" name="图表 1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D95902" w:rsidRPr="002361E0" w:rsidRDefault="00D95902" w:rsidP="00D95902">
      <w:pPr>
        <w:spacing w:line="400" w:lineRule="exact"/>
        <w:outlineLvl w:val="3"/>
        <w:rPr>
          <w:rFonts w:ascii="微软雅黑" w:eastAsia="微软雅黑" w:hAnsi="微软雅黑"/>
          <w:b/>
        </w:rPr>
      </w:pPr>
      <w:bookmarkStart w:id="442" w:name="_Toc524418068"/>
      <w:r>
        <w:rPr>
          <w:rFonts w:ascii="微软雅黑" w:eastAsia="微软雅黑" w:hAnsi="微软雅黑" w:hint="eastAsia"/>
          <w:b/>
        </w:rPr>
        <w:t>3.</w:t>
      </w:r>
      <w:r w:rsidRPr="002361E0">
        <w:rPr>
          <w:rFonts w:ascii="微软雅黑" w:eastAsia="微软雅黑" w:hAnsi="微软雅黑"/>
          <w:b/>
        </w:rPr>
        <w:t>人均单日有效浏览时间</w:t>
      </w:r>
      <w:bookmarkEnd w:id="442"/>
    </w:p>
    <w:p w:rsidR="00D95902" w:rsidRPr="0087099E" w:rsidRDefault="00D95902" w:rsidP="0087099E">
      <w:pPr>
        <w:widowControl/>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hint="eastAsia"/>
          <w:szCs w:val="21"/>
        </w:rPr>
        <w:t>12月</w:t>
      </w:r>
      <w:r w:rsidRPr="003E0CE0">
        <w:rPr>
          <w:rFonts w:ascii="微软雅黑" w:eastAsia="微软雅黑" w:hAnsi="微软雅黑"/>
          <w:szCs w:val="21"/>
        </w:rPr>
        <w:t>，</w:t>
      </w:r>
      <w:r>
        <w:rPr>
          <w:rFonts w:ascii="微软雅黑" w:eastAsia="微软雅黑" w:hAnsi="微软雅黑"/>
          <w:szCs w:val="21"/>
        </w:rPr>
        <w:t>陕西省</w:t>
      </w:r>
      <w:r w:rsidRPr="003E0CE0">
        <w:rPr>
          <w:rFonts w:ascii="微软雅黑" w:eastAsia="微软雅黑" w:hAnsi="微软雅黑"/>
          <w:szCs w:val="21"/>
        </w:rPr>
        <w:t>网民人均单日有效浏览时间为</w:t>
      </w:r>
      <w:r>
        <w:rPr>
          <w:rFonts w:ascii="微软雅黑" w:eastAsia="微软雅黑" w:hAnsi="微软雅黑" w:hint="eastAsia"/>
          <w:szCs w:val="21"/>
        </w:rPr>
        <w:t>83.6</w:t>
      </w:r>
      <w:r w:rsidRPr="003E0CE0">
        <w:rPr>
          <w:rFonts w:ascii="微软雅黑" w:eastAsia="微软雅黑" w:hAnsi="微软雅黑"/>
          <w:szCs w:val="21"/>
        </w:rPr>
        <w:t>分钟</w:t>
      </w:r>
      <w:r>
        <w:rPr>
          <w:rFonts w:ascii="微软雅黑" w:eastAsia="微软雅黑" w:hAnsi="微软雅黑" w:hint="eastAsia"/>
          <w:szCs w:val="21"/>
        </w:rPr>
        <w:t>，是2017年最低的月份，较年平均值少8分钟；与2016年12月相比较，也减少了3.1分钟，减少幅度为3.6%</w:t>
      </w:r>
      <w:r w:rsidRPr="003E0CE0">
        <w:rPr>
          <w:rFonts w:ascii="微软雅黑" w:eastAsia="微软雅黑" w:hAnsi="微软雅黑"/>
          <w:szCs w:val="21"/>
        </w:rPr>
        <w:t>。</w:t>
      </w:r>
      <w:r>
        <w:rPr>
          <w:rFonts w:ascii="微软雅黑" w:eastAsia="微软雅黑" w:hAnsi="微软雅黑"/>
          <w:szCs w:val="21"/>
        </w:rPr>
        <w:t>从近五年</w:t>
      </w:r>
      <w:r>
        <w:rPr>
          <w:rFonts w:ascii="微软雅黑" w:eastAsia="微软雅黑" w:hAnsi="微软雅黑" w:hint="eastAsia"/>
          <w:szCs w:val="21"/>
        </w:rPr>
        <w:t>12月份</w:t>
      </w:r>
      <w:r>
        <w:rPr>
          <w:rFonts w:ascii="微软雅黑" w:eastAsia="微软雅黑" w:hAnsi="微软雅黑"/>
          <w:szCs w:val="21"/>
        </w:rPr>
        <w:t>的趋势来看</w:t>
      </w:r>
      <w:r>
        <w:rPr>
          <w:rFonts w:ascii="微软雅黑" w:eastAsia="微软雅黑" w:hAnsi="微软雅黑" w:hint="eastAsia"/>
          <w:szCs w:val="21"/>
        </w:rPr>
        <w:t>，2013年至2015年处于上升趋势，但在2015-2017年则有所回落。与四川、安徽等省份比较，在2013-2016年的12月份，陕西省</w:t>
      </w:r>
      <w:r w:rsidRPr="003E0CE0">
        <w:rPr>
          <w:rFonts w:ascii="微软雅黑" w:eastAsia="微软雅黑" w:hAnsi="微软雅黑"/>
          <w:szCs w:val="21"/>
        </w:rPr>
        <w:t>网民人均单日有效浏览时间</w:t>
      </w:r>
      <w:r>
        <w:rPr>
          <w:rFonts w:ascii="微软雅黑" w:eastAsia="微软雅黑" w:hAnsi="微软雅黑"/>
          <w:szCs w:val="21"/>
        </w:rPr>
        <w:t>处于领先</w:t>
      </w:r>
      <w:r>
        <w:rPr>
          <w:rFonts w:ascii="微软雅黑" w:eastAsia="微软雅黑" w:hAnsi="微软雅黑" w:hint="eastAsia"/>
          <w:szCs w:val="21"/>
        </w:rPr>
        <w:t>，</w:t>
      </w:r>
      <w:r>
        <w:rPr>
          <w:rFonts w:ascii="微软雅黑" w:eastAsia="微软雅黑" w:hAnsi="微软雅黑"/>
          <w:szCs w:val="21"/>
        </w:rPr>
        <w:t>但在</w:t>
      </w:r>
      <w:r>
        <w:rPr>
          <w:rFonts w:ascii="微软雅黑" w:eastAsia="微软雅黑" w:hAnsi="微软雅黑" w:hint="eastAsia"/>
          <w:szCs w:val="21"/>
        </w:rPr>
        <w:t>2017年12月份则相对较低。</w:t>
      </w:r>
    </w:p>
    <w:p w:rsidR="00D95902" w:rsidRDefault="00D95902" w:rsidP="00D95902">
      <w:pPr>
        <w:jc w:val="center"/>
      </w:pPr>
      <w:r>
        <w:rPr>
          <w:noProof/>
        </w:rPr>
        <w:drawing>
          <wp:inline distT="0" distB="0" distL="0" distR="0">
            <wp:extent cx="4809600" cy="2880000"/>
            <wp:effectExtent l="0" t="0" r="10160" b="15875"/>
            <wp:docPr id="1143" name="图表 1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D95902" w:rsidRDefault="00D95902" w:rsidP="00D95902">
      <w:pPr>
        <w:jc w:val="center"/>
      </w:pPr>
    </w:p>
    <w:p w:rsidR="00D95902" w:rsidRDefault="00D95902" w:rsidP="00D95902">
      <w:pPr>
        <w:jc w:val="center"/>
      </w:pPr>
      <w:r>
        <w:rPr>
          <w:noProof/>
        </w:rPr>
        <w:drawing>
          <wp:inline distT="0" distB="0" distL="0" distR="0">
            <wp:extent cx="4809600" cy="2880000"/>
            <wp:effectExtent l="0" t="0" r="10160" b="15875"/>
            <wp:docPr id="1144" name="图表 1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D95902" w:rsidRDefault="00D95902" w:rsidP="00D95902">
      <w:pPr>
        <w:jc w:val="center"/>
      </w:pPr>
    </w:p>
    <w:p w:rsidR="00D95902" w:rsidRPr="002361E0" w:rsidRDefault="00D95902" w:rsidP="00D95902">
      <w:pPr>
        <w:spacing w:line="400" w:lineRule="exact"/>
        <w:outlineLvl w:val="3"/>
        <w:rPr>
          <w:rFonts w:ascii="微软雅黑" w:eastAsia="微软雅黑" w:hAnsi="微软雅黑"/>
          <w:b/>
        </w:rPr>
      </w:pPr>
      <w:bookmarkStart w:id="443" w:name="_Toc524418069"/>
      <w:r>
        <w:rPr>
          <w:rFonts w:ascii="微软雅黑" w:eastAsia="微软雅黑" w:hAnsi="微软雅黑" w:hint="eastAsia"/>
          <w:b/>
        </w:rPr>
        <w:t>4.</w:t>
      </w:r>
      <w:r w:rsidRPr="002361E0">
        <w:rPr>
          <w:rFonts w:ascii="微软雅黑" w:eastAsia="微软雅黑" w:hAnsi="微软雅黑"/>
          <w:b/>
        </w:rPr>
        <w:t>人均单次浏览页面</w:t>
      </w:r>
      <w:bookmarkEnd w:id="443"/>
    </w:p>
    <w:p w:rsidR="00D95902" w:rsidRDefault="00D95902" w:rsidP="00D95902">
      <w:pPr>
        <w:widowControl/>
        <w:spacing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2017年</w:t>
      </w:r>
      <w:r>
        <w:rPr>
          <w:rFonts w:ascii="微软雅黑" w:eastAsia="微软雅黑" w:hAnsi="微软雅黑" w:hint="eastAsia"/>
          <w:szCs w:val="21"/>
        </w:rPr>
        <w:t>12月</w:t>
      </w:r>
      <w:r w:rsidRPr="003E0CE0">
        <w:rPr>
          <w:rFonts w:ascii="微软雅黑" w:eastAsia="微软雅黑" w:hAnsi="微软雅黑"/>
          <w:szCs w:val="21"/>
        </w:rPr>
        <w:t>，</w:t>
      </w:r>
      <w:r>
        <w:rPr>
          <w:rFonts w:ascii="微软雅黑" w:eastAsia="微软雅黑" w:hAnsi="微软雅黑"/>
          <w:szCs w:val="21"/>
        </w:rPr>
        <w:t>陕西省</w:t>
      </w:r>
      <w:r w:rsidRPr="003E0CE0">
        <w:rPr>
          <w:rFonts w:ascii="微软雅黑" w:eastAsia="微软雅黑" w:hAnsi="微软雅黑"/>
          <w:szCs w:val="21"/>
        </w:rPr>
        <w:t>网民人均单次浏览页面数</w:t>
      </w:r>
      <w:r>
        <w:rPr>
          <w:rFonts w:ascii="微软雅黑" w:eastAsia="微软雅黑" w:hAnsi="微软雅黑"/>
          <w:szCs w:val="21"/>
        </w:rPr>
        <w:t>为</w:t>
      </w:r>
      <w:r>
        <w:rPr>
          <w:rFonts w:ascii="微软雅黑" w:eastAsia="微软雅黑" w:hAnsi="微软雅黑" w:hint="eastAsia"/>
          <w:szCs w:val="21"/>
        </w:rPr>
        <w:t>2.75页，与2016年12月相比差别不大，整体呈平稳趋势。与四川、安徽等省份比较，2013-2015年，</w:t>
      </w:r>
      <w:r>
        <w:rPr>
          <w:rFonts w:ascii="微软雅黑" w:eastAsia="微软雅黑" w:hAnsi="微软雅黑"/>
          <w:szCs w:val="21"/>
        </w:rPr>
        <w:t>陕西省</w:t>
      </w:r>
      <w:r w:rsidRPr="003E0CE0">
        <w:rPr>
          <w:rFonts w:ascii="微软雅黑" w:eastAsia="微软雅黑" w:hAnsi="微软雅黑"/>
          <w:szCs w:val="21"/>
        </w:rPr>
        <w:t>网民人均单次浏览页面数</w:t>
      </w:r>
      <w:r>
        <w:rPr>
          <w:rFonts w:ascii="微软雅黑" w:eastAsia="微软雅黑" w:hAnsi="微软雅黑"/>
          <w:szCs w:val="21"/>
        </w:rPr>
        <w:t>总体排在前列</w:t>
      </w:r>
      <w:r>
        <w:rPr>
          <w:rFonts w:ascii="微软雅黑" w:eastAsia="微软雅黑" w:hAnsi="微软雅黑" w:hint="eastAsia"/>
          <w:szCs w:val="21"/>
        </w:rPr>
        <w:t>，但</w:t>
      </w:r>
      <w:r>
        <w:rPr>
          <w:rFonts w:ascii="微软雅黑" w:eastAsia="微软雅黑" w:hAnsi="微软雅黑"/>
          <w:szCs w:val="21"/>
        </w:rPr>
        <w:t>近两年来相对较低</w:t>
      </w:r>
      <w:r>
        <w:rPr>
          <w:rFonts w:ascii="微软雅黑" w:eastAsia="微软雅黑" w:hAnsi="微软雅黑" w:hint="eastAsia"/>
          <w:szCs w:val="21"/>
        </w:rPr>
        <w:t>。</w:t>
      </w:r>
    </w:p>
    <w:p w:rsidR="00D95902" w:rsidRPr="00A46EDF" w:rsidRDefault="00D95902" w:rsidP="00D95902">
      <w:pPr>
        <w:jc w:val="center"/>
        <w:rPr>
          <w:rFonts w:asciiTheme="minorEastAsia" w:eastAsiaTheme="minorEastAsia" w:hAnsiTheme="minorEastAsia"/>
          <w:szCs w:val="21"/>
        </w:rPr>
      </w:pPr>
    </w:p>
    <w:p w:rsidR="00D95902" w:rsidRDefault="00D95902" w:rsidP="00D95902">
      <w:pPr>
        <w:jc w:val="center"/>
        <w:rPr>
          <w:rFonts w:ascii="微软雅黑" w:eastAsia="微软雅黑" w:hAnsi="微软雅黑"/>
          <w:szCs w:val="21"/>
        </w:rPr>
      </w:pPr>
      <w:r>
        <w:rPr>
          <w:noProof/>
        </w:rPr>
        <w:drawing>
          <wp:inline distT="0" distB="0" distL="0" distR="0">
            <wp:extent cx="4809600" cy="2880000"/>
            <wp:effectExtent l="0" t="0" r="10160" b="15875"/>
            <wp:docPr id="1145" name="图表 1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D95902" w:rsidRPr="00A46EDF" w:rsidRDefault="00D95902" w:rsidP="00D95902">
      <w:pPr>
        <w:jc w:val="center"/>
        <w:rPr>
          <w:rFonts w:asciiTheme="minorEastAsia" w:eastAsiaTheme="minorEastAsia" w:hAnsiTheme="minorEastAsia"/>
          <w:szCs w:val="21"/>
        </w:rPr>
      </w:pPr>
    </w:p>
    <w:p w:rsidR="00D95902" w:rsidRDefault="00D95902" w:rsidP="00D95902">
      <w:pPr>
        <w:jc w:val="center"/>
        <w:rPr>
          <w:rFonts w:ascii="微软雅黑" w:eastAsia="微软雅黑" w:hAnsi="微软雅黑"/>
          <w:szCs w:val="21"/>
        </w:rPr>
      </w:pPr>
      <w:r>
        <w:rPr>
          <w:noProof/>
        </w:rPr>
        <w:drawing>
          <wp:inline distT="0" distB="0" distL="0" distR="0">
            <wp:extent cx="4809600" cy="2880000"/>
            <wp:effectExtent l="0" t="0" r="10160" b="15875"/>
            <wp:docPr id="1146" name="图表 1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D95902" w:rsidRPr="00A46EDF" w:rsidRDefault="00D95902" w:rsidP="00D95902">
      <w:pPr>
        <w:jc w:val="center"/>
        <w:rPr>
          <w:rFonts w:asciiTheme="minorEastAsia" w:eastAsiaTheme="minorEastAsia" w:hAnsiTheme="minorEastAsia"/>
          <w:szCs w:val="21"/>
        </w:rPr>
      </w:pPr>
    </w:p>
    <w:p w:rsidR="00D95902" w:rsidRPr="002361E0" w:rsidRDefault="00D95902" w:rsidP="00D95902">
      <w:pPr>
        <w:spacing w:line="400" w:lineRule="exact"/>
        <w:outlineLvl w:val="2"/>
        <w:rPr>
          <w:rFonts w:ascii="微软雅黑" w:eastAsia="微软雅黑" w:hAnsi="微软雅黑"/>
          <w:b/>
        </w:rPr>
      </w:pPr>
      <w:bookmarkStart w:id="444" w:name="_Toc524418070"/>
      <w:r w:rsidRPr="002361E0">
        <w:rPr>
          <w:rFonts w:ascii="微软雅黑" w:eastAsia="微软雅黑" w:hAnsi="微软雅黑" w:hint="eastAsia"/>
          <w:b/>
        </w:rPr>
        <w:t>（二）网民在移动端网络使用粘性</w:t>
      </w:r>
      <w:bookmarkEnd w:id="444"/>
    </w:p>
    <w:p w:rsidR="00D95902" w:rsidRPr="009D423B" w:rsidRDefault="00D95902" w:rsidP="00D95902">
      <w:pPr>
        <w:outlineLvl w:val="3"/>
        <w:rPr>
          <w:rFonts w:ascii="微软雅黑" w:eastAsia="微软雅黑" w:hAnsi="微软雅黑"/>
          <w:b/>
          <w:bCs/>
        </w:rPr>
      </w:pPr>
      <w:bookmarkStart w:id="445" w:name="_Toc524418071"/>
      <w:r>
        <w:rPr>
          <w:rFonts w:ascii="微软雅黑" w:eastAsia="微软雅黑" w:hAnsi="微软雅黑" w:hint="eastAsia"/>
          <w:b/>
          <w:bCs/>
        </w:rPr>
        <w:t>1</w:t>
      </w:r>
      <w:r w:rsidRPr="009D423B">
        <w:rPr>
          <w:rFonts w:ascii="微软雅黑" w:eastAsia="微软雅黑" w:hAnsi="微软雅黑"/>
          <w:b/>
          <w:bCs/>
        </w:rPr>
        <w:t>.</w:t>
      </w:r>
      <w:r>
        <w:rPr>
          <w:rFonts w:ascii="微软雅黑" w:eastAsia="微软雅黑" w:hAnsi="微软雅黑"/>
          <w:b/>
          <w:bCs/>
        </w:rPr>
        <w:t>月</w:t>
      </w:r>
      <w:r w:rsidRPr="009D423B">
        <w:rPr>
          <w:rFonts w:ascii="微软雅黑" w:eastAsia="微软雅黑" w:hAnsi="微软雅黑"/>
          <w:b/>
          <w:bCs/>
        </w:rPr>
        <w:t>独立设备数量</w:t>
      </w:r>
      <w:bookmarkEnd w:id="445"/>
    </w:p>
    <w:p w:rsidR="00D95902" w:rsidRDefault="00D95902" w:rsidP="00D95902">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2017年，</w:t>
      </w:r>
      <w:r>
        <w:rPr>
          <w:rFonts w:ascii="微软雅黑" w:eastAsia="微软雅黑" w:hAnsi="微软雅黑"/>
          <w:szCs w:val="21"/>
        </w:rPr>
        <w:t>陕西</w:t>
      </w:r>
      <w:r>
        <w:rPr>
          <w:rFonts w:ascii="微软雅黑" w:eastAsia="微软雅黑" w:hAnsi="微软雅黑" w:hint="eastAsia"/>
          <w:szCs w:val="21"/>
        </w:rPr>
        <w:t>省</w:t>
      </w:r>
      <w:r w:rsidRPr="009D423B">
        <w:rPr>
          <w:rFonts w:ascii="微软雅黑" w:eastAsia="微软雅黑" w:hAnsi="微软雅黑" w:hint="eastAsia"/>
          <w:szCs w:val="21"/>
        </w:rPr>
        <w:t>网民</w:t>
      </w:r>
      <w:r>
        <w:rPr>
          <w:rFonts w:ascii="微软雅黑" w:eastAsia="微软雅黑" w:hAnsi="微软雅黑" w:hint="eastAsia"/>
          <w:szCs w:val="21"/>
        </w:rPr>
        <w:t>在移动端使用</w:t>
      </w:r>
      <w:r w:rsidRPr="009D423B">
        <w:rPr>
          <w:rFonts w:ascii="微软雅黑" w:eastAsia="微软雅黑" w:hAnsi="微软雅黑" w:hint="eastAsia"/>
          <w:szCs w:val="21"/>
        </w:rPr>
        <w:t>的月独立设备数量</w:t>
      </w:r>
      <w:r>
        <w:rPr>
          <w:rFonts w:ascii="微软雅黑" w:eastAsia="微软雅黑" w:hAnsi="微软雅黑" w:hint="eastAsia"/>
          <w:szCs w:val="21"/>
        </w:rPr>
        <w:t>持续增长，截至12月破3700万台大关。移动设备数量的增长，与移动电话用户数量的持续增长有着相对密切关系。从总量方面来看，</w:t>
      </w:r>
      <w:r>
        <w:rPr>
          <w:rFonts w:ascii="微软雅黑" w:eastAsia="微软雅黑" w:hAnsi="微软雅黑"/>
          <w:szCs w:val="21"/>
        </w:rPr>
        <w:t>陕西</w:t>
      </w:r>
      <w:r>
        <w:rPr>
          <w:rFonts w:ascii="微软雅黑" w:eastAsia="微软雅黑" w:hAnsi="微软雅黑" w:hint="eastAsia"/>
          <w:szCs w:val="21"/>
        </w:rPr>
        <w:t>省</w:t>
      </w:r>
      <w:r w:rsidRPr="009D423B">
        <w:rPr>
          <w:rFonts w:ascii="微软雅黑" w:eastAsia="微软雅黑" w:hAnsi="微软雅黑" w:hint="eastAsia"/>
          <w:szCs w:val="21"/>
        </w:rPr>
        <w:t>网民</w:t>
      </w:r>
      <w:r>
        <w:rPr>
          <w:rFonts w:ascii="微软雅黑" w:eastAsia="微软雅黑" w:hAnsi="微软雅黑" w:hint="eastAsia"/>
          <w:szCs w:val="21"/>
        </w:rPr>
        <w:t>在移动端使用</w:t>
      </w:r>
      <w:r w:rsidRPr="009D423B">
        <w:rPr>
          <w:rFonts w:ascii="微软雅黑" w:eastAsia="微软雅黑" w:hAnsi="微软雅黑" w:hint="eastAsia"/>
          <w:szCs w:val="21"/>
        </w:rPr>
        <w:t>的月独立设备数量</w:t>
      </w:r>
      <w:r>
        <w:rPr>
          <w:rFonts w:ascii="微软雅黑" w:eastAsia="微软雅黑" w:hAnsi="微软雅黑" w:hint="eastAsia"/>
          <w:szCs w:val="21"/>
        </w:rPr>
        <w:t>与安徽省比较接近，但与四川省存在显著差距，这主要是四川省常驻人口较多原因导致的。从年末常驻人口（2017年）人均拥有的</w:t>
      </w:r>
      <w:r w:rsidRPr="009D423B">
        <w:rPr>
          <w:rFonts w:ascii="微软雅黑" w:eastAsia="微软雅黑" w:hAnsi="微软雅黑" w:hint="eastAsia"/>
          <w:szCs w:val="21"/>
        </w:rPr>
        <w:t>月独立设备数量</w:t>
      </w:r>
      <w:r>
        <w:rPr>
          <w:rFonts w:ascii="微软雅黑" w:eastAsia="微软雅黑" w:hAnsi="微软雅黑" w:hint="eastAsia"/>
          <w:szCs w:val="21"/>
        </w:rPr>
        <w:t>来看，陕西省人均达到0.97台，领先于四川省人均0.89台，安徽省该指标仅0.59台，与陕西、四川均有较大的差距。</w:t>
      </w:r>
    </w:p>
    <w:p w:rsidR="00D95902" w:rsidRPr="005D33F6" w:rsidRDefault="00D95902" w:rsidP="00D95902">
      <w:pPr>
        <w:snapToGrid w:val="0"/>
        <w:rPr>
          <w:rFonts w:asciiTheme="minorEastAsia" w:eastAsiaTheme="minorEastAsia" w:hAnsiTheme="minorEastAsia"/>
          <w:szCs w:val="21"/>
        </w:rPr>
      </w:pPr>
    </w:p>
    <w:p w:rsidR="00D95902" w:rsidRDefault="00D95902" w:rsidP="00D95902">
      <w:pPr>
        <w:snapToGrid w:val="0"/>
        <w:jc w:val="center"/>
        <w:rPr>
          <w:rFonts w:ascii="微软雅黑" w:eastAsia="微软雅黑" w:hAnsi="微软雅黑"/>
          <w:szCs w:val="21"/>
        </w:rPr>
      </w:pPr>
      <w:r>
        <w:rPr>
          <w:noProof/>
        </w:rPr>
        <w:drawing>
          <wp:inline distT="0" distB="0" distL="0" distR="0">
            <wp:extent cx="4809600" cy="2880000"/>
            <wp:effectExtent l="0" t="0" r="10160" b="15875"/>
            <wp:docPr id="1147" name="图表 1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D95902" w:rsidRDefault="00D95902" w:rsidP="00D95902">
      <w:pPr>
        <w:snapToGrid w:val="0"/>
        <w:jc w:val="center"/>
        <w:rPr>
          <w:rFonts w:ascii="微软雅黑" w:eastAsia="微软雅黑" w:hAnsi="微软雅黑"/>
          <w:szCs w:val="21"/>
        </w:rPr>
      </w:pPr>
    </w:p>
    <w:p w:rsidR="00D95902" w:rsidRDefault="00D95902" w:rsidP="00D95902">
      <w:pPr>
        <w:snapToGrid w:val="0"/>
        <w:jc w:val="center"/>
        <w:rPr>
          <w:rFonts w:ascii="微软雅黑" w:eastAsia="微软雅黑" w:hAnsi="微软雅黑"/>
          <w:szCs w:val="21"/>
        </w:rPr>
      </w:pPr>
      <w:r>
        <w:rPr>
          <w:noProof/>
        </w:rPr>
        <w:drawing>
          <wp:inline distT="0" distB="0" distL="0" distR="0">
            <wp:extent cx="4809600" cy="2880000"/>
            <wp:effectExtent l="0" t="0" r="10160" b="15875"/>
            <wp:docPr id="1148" name="图表 1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87099E" w:rsidRDefault="0087099E" w:rsidP="00D95902">
      <w:pPr>
        <w:snapToGrid w:val="0"/>
        <w:jc w:val="center"/>
        <w:rPr>
          <w:rFonts w:ascii="微软雅黑" w:eastAsia="微软雅黑" w:hAnsi="微软雅黑"/>
          <w:szCs w:val="21"/>
        </w:rPr>
      </w:pPr>
    </w:p>
    <w:p w:rsidR="00D95902" w:rsidRPr="002361E0" w:rsidRDefault="00D95902" w:rsidP="00D95902">
      <w:pPr>
        <w:spacing w:line="400" w:lineRule="exact"/>
        <w:outlineLvl w:val="3"/>
        <w:rPr>
          <w:rFonts w:ascii="微软雅黑" w:eastAsia="微软雅黑" w:hAnsi="微软雅黑"/>
          <w:b/>
        </w:rPr>
      </w:pPr>
      <w:bookmarkStart w:id="446" w:name="_Toc524418072"/>
      <w:r>
        <w:rPr>
          <w:rFonts w:ascii="微软雅黑" w:eastAsia="微软雅黑" w:hAnsi="微软雅黑" w:hint="eastAsia"/>
          <w:b/>
        </w:rPr>
        <w:t>2</w:t>
      </w:r>
      <w:r w:rsidRPr="002361E0">
        <w:rPr>
          <w:rFonts w:ascii="微软雅黑" w:eastAsia="微软雅黑" w:hAnsi="微软雅黑" w:hint="eastAsia"/>
          <w:b/>
        </w:rPr>
        <w:t>.单机使用天数</w:t>
      </w:r>
      <w:bookmarkEnd w:id="446"/>
    </w:p>
    <w:p w:rsidR="00D95902" w:rsidRDefault="00D95902" w:rsidP="00D95902">
      <w:pPr>
        <w:snapToGrid w:val="0"/>
        <w:ind w:firstLineChars="202" w:firstLine="424"/>
        <w:rPr>
          <w:rFonts w:ascii="微软雅黑" w:eastAsia="微软雅黑" w:hAnsi="微软雅黑"/>
          <w:szCs w:val="21"/>
        </w:rPr>
      </w:pPr>
      <w:r>
        <w:rPr>
          <w:rFonts w:ascii="微软雅黑" w:eastAsia="微软雅黑" w:hAnsi="微软雅黑" w:hint="eastAsia"/>
          <w:szCs w:val="21"/>
        </w:rPr>
        <w:t>从2016-2017年各季度末网民</w:t>
      </w:r>
      <w:r w:rsidRPr="000A1E45">
        <w:rPr>
          <w:rFonts w:ascii="微软雅黑" w:eastAsia="微软雅黑" w:hAnsi="微软雅黑" w:hint="eastAsia"/>
        </w:rPr>
        <w:t>指标来看，</w:t>
      </w:r>
      <w:r>
        <w:rPr>
          <w:rFonts w:ascii="微软雅黑" w:eastAsia="微软雅黑" w:hAnsi="微软雅黑" w:hint="eastAsia"/>
          <w:szCs w:val="21"/>
        </w:rPr>
        <w:t>陕西省网民单机使用天数稳中有升，截至2017年12月达到27.1天。与四川、安徽等省份比较，网民单机使用天数的差异程度较小，曲线几乎重合，这表明各地网民在移动端的使用频次受地域影响较小。</w:t>
      </w:r>
    </w:p>
    <w:p w:rsidR="00D95902" w:rsidRDefault="00D95902" w:rsidP="00D95902">
      <w:pPr>
        <w:snapToGrid w:val="0"/>
        <w:ind w:firstLineChars="202" w:firstLine="424"/>
        <w:rPr>
          <w:rFonts w:asciiTheme="minorEastAsia" w:eastAsiaTheme="minorEastAsia" w:hAnsiTheme="minorEastAsia"/>
          <w:szCs w:val="21"/>
        </w:rPr>
      </w:pPr>
    </w:p>
    <w:p w:rsidR="00D95902" w:rsidRDefault="00D95902" w:rsidP="00D95902">
      <w:pPr>
        <w:snapToGrid w:val="0"/>
        <w:ind w:firstLineChars="202" w:firstLine="424"/>
        <w:rPr>
          <w:rFonts w:asciiTheme="minorEastAsia" w:eastAsiaTheme="minorEastAsia" w:hAnsiTheme="minorEastAsia"/>
          <w:szCs w:val="21"/>
        </w:rPr>
      </w:pPr>
      <w:r>
        <w:rPr>
          <w:noProof/>
        </w:rPr>
        <w:drawing>
          <wp:inline distT="0" distB="0" distL="0" distR="0">
            <wp:extent cx="4809600" cy="2880000"/>
            <wp:effectExtent l="0" t="0" r="10160" b="15875"/>
            <wp:docPr id="1149" name="图表 1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87099E" w:rsidRDefault="0087099E" w:rsidP="0087099E">
      <w:pPr>
        <w:snapToGrid w:val="0"/>
        <w:ind w:firstLineChars="202" w:firstLine="424"/>
        <w:jc w:val="center"/>
        <w:rPr>
          <w:rFonts w:asciiTheme="minorEastAsia" w:eastAsiaTheme="minorEastAsia" w:hAnsiTheme="minorEastAsia"/>
          <w:szCs w:val="21"/>
        </w:rPr>
      </w:pPr>
    </w:p>
    <w:p w:rsidR="00D95902" w:rsidRDefault="00D95902" w:rsidP="00D95902">
      <w:pPr>
        <w:snapToGrid w:val="0"/>
        <w:ind w:firstLineChars="202" w:firstLine="424"/>
        <w:rPr>
          <w:rFonts w:asciiTheme="minorEastAsia" w:eastAsiaTheme="minorEastAsia" w:hAnsiTheme="minorEastAsia"/>
          <w:szCs w:val="21"/>
        </w:rPr>
      </w:pPr>
      <w:r>
        <w:rPr>
          <w:noProof/>
        </w:rPr>
        <w:drawing>
          <wp:inline distT="0" distB="0" distL="0" distR="0">
            <wp:extent cx="4809600" cy="2880000"/>
            <wp:effectExtent l="0" t="0" r="10160" b="15875"/>
            <wp:docPr id="1150" name="图表 1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87099E" w:rsidRPr="005D33F6" w:rsidRDefault="0087099E" w:rsidP="0087099E">
      <w:pPr>
        <w:snapToGrid w:val="0"/>
        <w:ind w:firstLineChars="202" w:firstLine="424"/>
        <w:jc w:val="center"/>
        <w:rPr>
          <w:rFonts w:asciiTheme="minorEastAsia" w:eastAsiaTheme="minorEastAsia" w:hAnsiTheme="minorEastAsia"/>
          <w:szCs w:val="21"/>
        </w:rPr>
      </w:pPr>
    </w:p>
    <w:p w:rsidR="00D95902" w:rsidRPr="002361E0" w:rsidRDefault="00D95902" w:rsidP="00D95902">
      <w:pPr>
        <w:spacing w:line="400" w:lineRule="exact"/>
        <w:outlineLvl w:val="3"/>
        <w:rPr>
          <w:rFonts w:ascii="微软雅黑" w:eastAsia="微软雅黑" w:hAnsi="微软雅黑"/>
          <w:b/>
        </w:rPr>
      </w:pPr>
      <w:bookmarkStart w:id="447" w:name="_Toc524418073"/>
      <w:r>
        <w:rPr>
          <w:rFonts w:ascii="微软雅黑" w:eastAsia="微软雅黑" w:hAnsi="微软雅黑" w:hint="eastAsia"/>
          <w:b/>
        </w:rPr>
        <w:t>3</w:t>
      </w:r>
      <w:r w:rsidRPr="002361E0">
        <w:rPr>
          <w:rFonts w:ascii="微软雅黑" w:eastAsia="微软雅黑" w:hAnsi="微软雅黑" w:hint="eastAsia"/>
          <w:b/>
        </w:rPr>
        <w:t>.单机单日使用次数</w:t>
      </w:r>
      <w:bookmarkEnd w:id="447"/>
    </w:p>
    <w:p w:rsidR="00D95902" w:rsidRDefault="00D95902" w:rsidP="00D95902">
      <w:pPr>
        <w:snapToGrid w:val="0"/>
        <w:spacing w:line="400" w:lineRule="exact"/>
        <w:ind w:firstLineChars="202" w:firstLine="424"/>
        <w:rPr>
          <w:rFonts w:ascii="微软雅黑" w:eastAsia="微软雅黑" w:hAnsi="微软雅黑"/>
          <w:szCs w:val="21"/>
        </w:rPr>
      </w:pPr>
      <w:r>
        <w:rPr>
          <w:rFonts w:ascii="微软雅黑" w:eastAsia="微软雅黑" w:hAnsi="微软雅黑" w:hint="eastAsia"/>
          <w:szCs w:val="21"/>
        </w:rPr>
        <w:t>2017年</w:t>
      </w:r>
      <w:r w:rsidRPr="004A1DC4">
        <w:rPr>
          <w:rFonts w:ascii="微软雅黑" w:eastAsia="微软雅黑" w:hAnsi="微软雅黑" w:hint="eastAsia"/>
          <w:szCs w:val="21"/>
        </w:rPr>
        <w:t>，</w:t>
      </w:r>
      <w:r>
        <w:rPr>
          <w:rFonts w:ascii="微软雅黑" w:eastAsia="微软雅黑" w:hAnsi="微软雅黑" w:hint="eastAsia"/>
          <w:szCs w:val="21"/>
        </w:rPr>
        <w:t>陕西省网民</w:t>
      </w:r>
      <w:r w:rsidRPr="004A1DC4">
        <w:rPr>
          <w:rFonts w:ascii="微软雅黑" w:eastAsia="微软雅黑" w:hAnsi="微软雅黑" w:hint="eastAsia"/>
          <w:szCs w:val="21"/>
        </w:rPr>
        <w:t>单机单日使用次</w:t>
      </w:r>
      <w:r>
        <w:rPr>
          <w:rFonts w:ascii="微软雅黑" w:eastAsia="微软雅黑" w:hAnsi="微软雅黑" w:hint="eastAsia"/>
          <w:szCs w:val="21"/>
        </w:rPr>
        <w:t>数整体呈现增长趋势，截至12月达到25.2次，较2016年12月提升了4.9次。总体来看，四川、安徽等省份在2017年度</w:t>
      </w:r>
      <w:r w:rsidRPr="004A1DC4">
        <w:rPr>
          <w:rFonts w:ascii="微软雅黑" w:eastAsia="微软雅黑" w:hAnsi="微软雅黑" w:hint="eastAsia"/>
          <w:szCs w:val="21"/>
        </w:rPr>
        <w:t>单机单日使用次</w:t>
      </w:r>
      <w:r>
        <w:rPr>
          <w:rFonts w:ascii="微软雅黑" w:eastAsia="微软雅黑" w:hAnsi="微软雅黑" w:hint="eastAsia"/>
          <w:szCs w:val="21"/>
        </w:rPr>
        <w:t>数都显著增长，与陕西省之间的差异不大。</w:t>
      </w:r>
    </w:p>
    <w:p w:rsidR="00D95902" w:rsidRDefault="00D95902" w:rsidP="002D6EFA">
      <w:pPr>
        <w:snapToGrid w:val="0"/>
        <w:ind w:firstLineChars="202" w:firstLine="424"/>
        <w:rPr>
          <w:rFonts w:ascii="微软雅黑" w:eastAsia="微软雅黑" w:hAnsi="微软雅黑"/>
          <w:szCs w:val="21"/>
        </w:rPr>
      </w:pPr>
      <w:r>
        <w:rPr>
          <w:noProof/>
        </w:rPr>
        <w:drawing>
          <wp:inline distT="0" distB="0" distL="0" distR="0">
            <wp:extent cx="4809600" cy="2880000"/>
            <wp:effectExtent l="0" t="0" r="10160" b="15875"/>
            <wp:docPr id="1151" name="图表 1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D95902" w:rsidRDefault="00D95902" w:rsidP="00D95902">
      <w:pPr>
        <w:snapToGrid w:val="0"/>
        <w:ind w:firstLineChars="202" w:firstLine="424"/>
        <w:jc w:val="center"/>
        <w:rPr>
          <w:rFonts w:ascii="微软雅黑" w:eastAsia="微软雅黑" w:hAnsi="微软雅黑"/>
          <w:szCs w:val="21"/>
        </w:rPr>
      </w:pPr>
    </w:p>
    <w:p w:rsidR="00D95902" w:rsidRDefault="00D95902" w:rsidP="002D6EFA">
      <w:pPr>
        <w:snapToGrid w:val="0"/>
        <w:ind w:firstLineChars="202" w:firstLine="424"/>
        <w:rPr>
          <w:rFonts w:ascii="微软雅黑" w:eastAsia="微软雅黑" w:hAnsi="微软雅黑"/>
          <w:szCs w:val="21"/>
        </w:rPr>
      </w:pPr>
      <w:r>
        <w:rPr>
          <w:noProof/>
        </w:rPr>
        <w:drawing>
          <wp:inline distT="0" distB="0" distL="0" distR="0">
            <wp:extent cx="4809600" cy="2880000"/>
            <wp:effectExtent l="0" t="0" r="10160" b="15875"/>
            <wp:docPr id="97477" name="图表 97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D95902" w:rsidRDefault="00D95902" w:rsidP="00D95902">
      <w:pPr>
        <w:snapToGrid w:val="0"/>
        <w:ind w:firstLineChars="202" w:firstLine="424"/>
        <w:jc w:val="center"/>
        <w:rPr>
          <w:rFonts w:ascii="微软雅黑" w:eastAsia="微软雅黑" w:hAnsi="微软雅黑"/>
          <w:szCs w:val="21"/>
        </w:rPr>
      </w:pPr>
    </w:p>
    <w:p w:rsidR="00D95902" w:rsidRPr="002361E0" w:rsidRDefault="00D95902" w:rsidP="00D95902">
      <w:pPr>
        <w:spacing w:line="400" w:lineRule="exact"/>
        <w:outlineLvl w:val="3"/>
        <w:rPr>
          <w:rFonts w:ascii="微软雅黑" w:eastAsia="微软雅黑" w:hAnsi="微软雅黑"/>
          <w:b/>
        </w:rPr>
      </w:pPr>
      <w:bookmarkStart w:id="448" w:name="_Toc524418074"/>
      <w:r>
        <w:rPr>
          <w:rFonts w:ascii="微软雅黑" w:eastAsia="微软雅黑" w:hAnsi="微软雅黑" w:hint="eastAsia"/>
          <w:b/>
        </w:rPr>
        <w:t>4</w:t>
      </w:r>
      <w:r w:rsidRPr="002361E0">
        <w:rPr>
          <w:rFonts w:ascii="微软雅黑" w:eastAsia="微软雅黑" w:hAnsi="微软雅黑" w:hint="eastAsia"/>
          <w:b/>
        </w:rPr>
        <w:t>.单机单次有效时间</w:t>
      </w:r>
      <w:bookmarkEnd w:id="448"/>
    </w:p>
    <w:p w:rsidR="00D95902" w:rsidRDefault="00D95902" w:rsidP="00D95902">
      <w:pPr>
        <w:snapToGrid w:val="0"/>
        <w:spacing w:line="400" w:lineRule="exact"/>
        <w:ind w:firstLineChars="202" w:firstLine="424"/>
        <w:rPr>
          <w:rFonts w:ascii="微软雅黑" w:eastAsia="微软雅黑" w:hAnsi="微软雅黑"/>
        </w:rPr>
      </w:pPr>
      <w:r>
        <w:rPr>
          <w:rFonts w:ascii="微软雅黑" w:eastAsia="微软雅黑" w:hAnsi="微软雅黑" w:hint="eastAsia"/>
          <w:szCs w:val="21"/>
        </w:rPr>
        <w:t>2017年</w:t>
      </w:r>
      <w:r w:rsidRPr="004A1DC4">
        <w:rPr>
          <w:rFonts w:ascii="微软雅黑" w:eastAsia="微软雅黑" w:hAnsi="微软雅黑" w:hint="eastAsia"/>
          <w:szCs w:val="21"/>
        </w:rPr>
        <w:t>，陕西省网民</w:t>
      </w:r>
      <w:r>
        <w:rPr>
          <w:rFonts w:ascii="微软雅黑" w:eastAsia="微软雅黑" w:hAnsi="微软雅黑" w:hint="eastAsia"/>
          <w:szCs w:val="21"/>
        </w:rPr>
        <w:t>在</w:t>
      </w:r>
      <w:r w:rsidRPr="004A1DC4">
        <w:rPr>
          <w:rFonts w:ascii="微软雅黑" w:eastAsia="微软雅黑" w:hAnsi="微软雅黑" w:hint="eastAsia"/>
          <w:szCs w:val="21"/>
        </w:rPr>
        <w:t>移动端</w:t>
      </w:r>
      <w:r>
        <w:rPr>
          <w:rFonts w:ascii="微软雅黑" w:eastAsia="微软雅黑" w:hAnsi="微软雅黑" w:hint="eastAsia"/>
          <w:szCs w:val="21"/>
        </w:rPr>
        <w:t>的</w:t>
      </w:r>
      <w:r w:rsidRPr="00376174">
        <w:rPr>
          <w:rFonts w:ascii="微软雅黑" w:eastAsia="微软雅黑" w:hAnsi="微软雅黑" w:hint="eastAsia"/>
          <w:szCs w:val="21"/>
        </w:rPr>
        <w:t>单机单次有效时间</w:t>
      </w:r>
      <w:r>
        <w:rPr>
          <w:rFonts w:ascii="微软雅黑" w:eastAsia="微软雅黑" w:hAnsi="微软雅黑" w:hint="eastAsia"/>
          <w:szCs w:val="21"/>
        </w:rPr>
        <w:t>有所下降，截至到12月仅6.6分钟，与2016年12月相比减少0.8分钟；但从单日总有效使用时间来看，变化幅度不大。而同期，四川、安徽等省份</w:t>
      </w:r>
      <w:r w:rsidRPr="00376174">
        <w:rPr>
          <w:rFonts w:ascii="微软雅黑" w:eastAsia="微软雅黑" w:hAnsi="微软雅黑" w:hint="eastAsia"/>
          <w:szCs w:val="21"/>
        </w:rPr>
        <w:t>单机单次有效时间</w:t>
      </w:r>
      <w:r>
        <w:rPr>
          <w:rFonts w:ascii="微软雅黑" w:eastAsia="微软雅黑" w:hAnsi="微软雅黑" w:hint="eastAsia"/>
          <w:szCs w:val="21"/>
        </w:rPr>
        <w:t>也呈现出下降态势，与陕西省该指标走势大体相当。在</w:t>
      </w:r>
      <w:r w:rsidRPr="00CD2A29">
        <w:rPr>
          <w:rFonts w:ascii="微软雅黑" w:eastAsia="微软雅黑" w:hAnsi="微软雅黑" w:hint="eastAsia"/>
        </w:rPr>
        <w:t>单机单日使用次数</w:t>
      </w:r>
      <w:r>
        <w:rPr>
          <w:rFonts w:ascii="微软雅黑" w:eastAsia="微软雅黑" w:hAnsi="微软雅黑" w:hint="eastAsia"/>
        </w:rPr>
        <w:t>指标不断增长情况下，单机单次使用的时长却在下降，这表明网民在移动端的使用行为更加灵活，使用的时间更碎片化。</w:t>
      </w:r>
    </w:p>
    <w:p w:rsidR="00D95902" w:rsidRDefault="00D95902" w:rsidP="002D6EFA">
      <w:pPr>
        <w:snapToGrid w:val="0"/>
        <w:ind w:firstLineChars="202" w:firstLine="424"/>
        <w:rPr>
          <w:rFonts w:ascii="微软雅黑" w:eastAsia="微软雅黑" w:hAnsi="微软雅黑"/>
          <w:szCs w:val="21"/>
        </w:rPr>
      </w:pPr>
      <w:r>
        <w:rPr>
          <w:noProof/>
        </w:rPr>
        <w:drawing>
          <wp:inline distT="0" distB="0" distL="0" distR="0">
            <wp:extent cx="4809600" cy="2880000"/>
            <wp:effectExtent l="0" t="0" r="10160" b="15875"/>
            <wp:docPr id="97478" name="图表 97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D95902" w:rsidRDefault="00D95902" w:rsidP="00D95902">
      <w:pPr>
        <w:snapToGrid w:val="0"/>
        <w:ind w:firstLineChars="202" w:firstLine="424"/>
        <w:jc w:val="center"/>
        <w:rPr>
          <w:rFonts w:ascii="微软雅黑" w:eastAsia="微软雅黑" w:hAnsi="微软雅黑"/>
          <w:szCs w:val="21"/>
        </w:rPr>
      </w:pPr>
    </w:p>
    <w:p w:rsidR="00D95902" w:rsidRDefault="00D95902" w:rsidP="002D6EFA">
      <w:pPr>
        <w:snapToGrid w:val="0"/>
        <w:ind w:firstLineChars="202" w:firstLine="424"/>
        <w:rPr>
          <w:rFonts w:ascii="微软雅黑" w:eastAsia="微软雅黑" w:hAnsi="微软雅黑"/>
          <w:szCs w:val="21"/>
        </w:rPr>
      </w:pPr>
      <w:r>
        <w:rPr>
          <w:noProof/>
        </w:rPr>
        <w:drawing>
          <wp:inline distT="0" distB="0" distL="0" distR="0">
            <wp:extent cx="4809600" cy="2880000"/>
            <wp:effectExtent l="0" t="0" r="10160" b="15875"/>
            <wp:docPr id="97479" name="图表 97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D95902" w:rsidRPr="00DF38C8" w:rsidRDefault="00D95902" w:rsidP="00D95902">
      <w:pPr>
        <w:pStyle w:val="ab"/>
        <w:ind w:firstLineChars="0" w:firstLine="0"/>
        <w:outlineLvl w:val="9"/>
        <w:rPr>
          <w:i w:val="0"/>
        </w:rPr>
      </w:pPr>
    </w:p>
    <w:p w:rsidR="00D95902" w:rsidRDefault="0087099E" w:rsidP="00D95902">
      <w:pPr>
        <w:spacing w:line="360" w:lineRule="auto"/>
        <w:outlineLvl w:val="1"/>
        <w:rPr>
          <w:rFonts w:ascii="微软雅黑" w:eastAsia="微软雅黑" w:hAnsi="微软雅黑"/>
          <w:b/>
        </w:rPr>
      </w:pPr>
      <w:bookmarkStart w:id="449" w:name="_Toc524418075"/>
      <w:r>
        <w:rPr>
          <w:rFonts w:ascii="微软雅黑" w:eastAsia="微软雅黑" w:hAnsi="微软雅黑" w:hint="eastAsia"/>
          <w:b/>
        </w:rPr>
        <w:t>三</w:t>
      </w:r>
      <w:r w:rsidR="00D95902" w:rsidRPr="00022408">
        <w:rPr>
          <w:rFonts w:ascii="微软雅黑" w:eastAsia="微软雅黑" w:hAnsi="微软雅黑" w:hint="eastAsia"/>
          <w:b/>
        </w:rPr>
        <w:t>、</w:t>
      </w:r>
      <w:r w:rsidR="00D95902" w:rsidRPr="00022408">
        <w:rPr>
          <w:rFonts w:ascii="微软雅黑" w:eastAsia="微软雅黑" w:hAnsi="微软雅黑"/>
          <w:b/>
        </w:rPr>
        <w:t>陕西省与</w:t>
      </w:r>
      <w:r w:rsidR="00D95902">
        <w:rPr>
          <w:rFonts w:ascii="微软雅黑" w:eastAsia="微软雅黑" w:hAnsi="微软雅黑" w:hint="eastAsia"/>
          <w:b/>
        </w:rPr>
        <w:t>部分</w:t>
      </w:r>
      <w:r w:rsidR="00D95902" w:rsidRPr="00022408">
        <w:rPr>
          <w:rFonts w:ascii="微软雅黑" w:eastAsia="微软雅黑" w:hAnsi="微软雅黑"/>
          <w:b/>
        </w:rPr>
        <w:t>省份</w:t>
      </w:r>
      <w:r w:rsidR="00D95902">
        <w:rPr>
          <w:rFonts w:ascii="微软雅黑" w:eastAsia="微软雅黑" w:hAnsi="微软雅黑" w:hint="eastAsia"/>
          <w:b/>
        </w:rPr>
        <w:t>互联网</w:t>
      </w:r>
      <w:r w:rsidR="00D95902">
        <w:rPr>
          <w:rFonts w:ascii="微软雅黑" w:eastAsia="微软雅黑" w:hAnsi="微软雅黑"/>
          <w:b/>
        </w:rPr>
        <w:t>行业动向</w:t>
      </w:r>
      <w:bookmarkEnd w:id="449"/>
    </w:p>
    <w:p w:rsidR="006E26E3" w:rsidRDefault="00027E1A" w:rsidP="00027E1A">
      <w:pPr>
        <w:spacing w:line="400" w:lineRule="exact"/>
        <w:ind w:firstLineChars="200" w:firstLine="420"/>
        <w:outlineLvl w:val="2"/>
        <w:rPr>
          <w:rFonts w:ascii="微软雅黑" w:eastAsia="微软雅黑" w:hAnsi="微软雅黑"/>
          <w:b/>
        </w:rPr>
      </w:pPr>
      <w:bookmarkStart w:id="450" w:name="_Toc524418076"/>
      <w:r>
        <w:rPr>
          <w:rFonts w:ascii="微软雅黑" w:eastAsia="微软雅黑" w:hAnsi="微软雅黑" w:hint="eastAsia"/>
          <w:b/>
        </w:rPr>
        <w:t>（一）陕西省移动互联</w:t>
      </w:r>
      <w:r w:rsidR="006E26E3">
        <w:rPr>
          <w:rFonts w:ascii="微软雅黑" w:eastAsia="微软雅黑" w:hAnsi="微软雅黑" w:hint="eastAsia"/>
          <w:b/>
        </w:rPr>
        <w:t>应用渗透率较高</w:t>
      </w:r>
      <w:bookmarkEnd w:id="450"/>
    </w:p>
    <w:p w:rsidR="00E45B6E" w:rsidRDefault="00027E1A" w:rsidP="006E26E3">
      <w:pPr>
        <w:widowControl/>
        <w:spacing w:line="400" w:lineRule="exact"/>
        <w:ind w:firstLineChars="200" w:firstLine="420"/>
        <w:jc w:val="left"/>
        <w:rPr>
          <w:rFonts w:ascii="微软雅黑" w:eastAsia="微软雅黑" w:hAnsi="微软雅黑"/>
        </w:rPr>
      </w:pPr>
      <w:r w:rsidRPr="00027E1A">
        <w:rPr>
          <w:rFonts w:ascii="微软雅黑" w:eastAsia="微软雅黑" w:hAnsi="微软雅黑" w:hint="eastAsia"/>
        </w:rPr>
        <w:t>2017年</w:t>
      </w:r>
      <w:r w:rsidRPr="00027E1A">
        <w:rPr>
          <w:rFonts w:ascii="微软雅黑" w:eastAsia="微软雅黑" w:hAnsi="微软雅黑" w:hint="eastAsia"/>
          <w:szCs w:val="21"/>
        </w:rPr>
        <w:t>陕西省大力推进通信基础设施建设，全省</w:t>
      </w:r>
      <w:r w:rsidRPr="00027E1A">
        <w:rPr>
          <w:rFonts w:ascii="微软雅黑" w:eastAsia="微软雅黑" w:hAnsi="微软雅黑" w:hint="eastAsia"/>
        </w:rPr>
        <w:t>互联网基础资源持续增加，宽带质量不断提升</w:t>
      </w:r>
      <w:r w:rsidR="006E26E3">
        <w:rPr>
          <w:rFonts w:ascii="微软雅黑" w:eastAsia="微软雅黑" w:hAnsi="微软雅黑" w:hint="eastAsia"/>
          <w:szCs w:val="21"/>
        </w:rPr>
        <w:t>，</w:t>
      </w:r>
      <w:r w:rsidR="00A02AA3" w:rsidRPr="00A02AA3">
        <w:rPr>
          <w:rFonts w:ascii="微软雅黑" w:eastAsia="微软雅黑" w:hAnsi="微软雅黑" w:hint="eastAsia"/>
          <w:szCs w:val="21"/>
        </w:rPr>
        <w:t>陕西省</w:t>
      </w:r>
      <w:r w:rsidR="00A02AA3" w:rsidRPr="00A02AA3">
        <w:rPr>
          <w:rFonts w:ascii="微软雅黑" w:eastAsia="微软雅黑" w:hAnsi="微软雅黑" w:hint="eastAsia"/>
        </w:rPr>
        <w:t>移动互联网用户也保持快速增长</w:t>
      </w:r>
      <w:r w:rsidR="006E26E3">
        <w:rPr>
          <w:rFonts w:ascii="微软雅黑" w:eastAsia="微软雅黑" w:hAnsi="微软雅黑" w:hint="eastAsia"/>
        </w:rPr>
        <w:t>。</w:t>
      </w:r>
    </w:p>
    <w:p w:rsidR="00E45B6E" w:rsidRDefault="00027E1A" w:rsidP="006E26E3">
      <w:pPr>
        <w:widowControl/>
        <w:spacing w:line="400" w:lineRule="exact"/>
        <w:ind w:firstLineChars="200" w:firstLine="420"/>
        <w:jc w:val="left"/>
        <w:rPr>
          <w:rFonts w:ascii="微软雅黑" w:eastAsia="微软雅黑" w:hAnsi="微软雅黑"/>
          <w:szCs w:val="21"/>
        </w:rPr>
      </w:pPr>
      <w:r w:rsidRPr="00A02AA3">
        <w:rPr>
          <w:rFonts w:ascii="微软雅黑" w:eastAsia="微软雅黑" w:hAnsi="微软雅黑" w:hint="eastAsia"/>
          <w:szCs w:val="21"/>
        </w:rPr>
        <w:t>截至2017年底，</w:t>
      </w:r>
      <w:r>
        <w:rPr>
          <w:rFonts w:ascii="微软雅黑" w:eastAsia="微软雅黑" w:hAnsi="微软雅黑" w:hint="eastAsia"/>
          <w:szCs w:val="21"/>
        </w:rPr>
        <w:t>全省4G用户到达3169.6万户，全省移动宽带</w:t>
      </w:r>
      <w:r w:rsidRPr="00702B7B">
        <w:rPr>
          <w:rFonts w:ascii="微软雅黑" w:eastAsia="微软雅黑" w:hAnsi="微软雅黑" w:hint="eastAsia"/>
          <w:szCs w:val="21"/>
        </w:rPr>
        <w:t>普及率也进一步提升</w:t>
      </w:r>
      <w:r>
        <w:rPr>
          <w:rFonts w:ascii="微软雅黑" w:eastAsia="微软雅黑" w:hAnsi="微软雅黑" w:hint="eastAsia"/>
          <w:szCs w:val="21"/>
        </w:rPr>
        <w:t>至94.2%。按常住人口计算，陕西省</w:t>
      </w:r>
      <w:r w:rsidRPr="00904B69">
        <w:rPr>
          <w:rFonts w:ascii="微软雅黑" w:eastAsia="微软雅黑" w:hAnsi="微软雅黑" w:hint="eastAsia"/>
          <w:szCs w:val="21"/>
        </w:rPr>
        <w:t>4G用户</w:t>
      </w:r>
      <w:r>
        <w:rPr>
          <w:rFonts w:ascii="微软雅黑" w:eastAsia="微软雅黑" w:hAnsi="微软雅黑" w:hint="eastAsia"/>
          <w:szCs w:val="21"/>
        </w:rPr>
        <w:t>总量</w:t>
      </w:r>
      <w:r w:rsidRPr="00904B69">
        <w:rPr>
          <w:rFonts w:ascii="微软雅黑" w:eastAsia="微软雅黑" w:hAnsi="微软雅黑" w:hint="eastAsia"/>
          <w:szCs w:val="21"/>
        </w:rPr>
        <w:t>占</w:t>
      </w:r>
      <w:r w:rsidRPr="00D055BE">
        <w:rPr>
          <w:rFonts w:ascii="微软雅黑" w:eastAsia="微软雅黑" w:hAnsi="微软雅黑" w:hint="eastAsia"/>
          <w:szCs w:val="21"/>
        </w:rPr>
        <w:t>常住人口的比重</w:t>
      </w:r>
      <w:r>
        <w:rPr>
          <w:rFonts w:ascii="微软雅黑" w:eastAsia="微软雅黑" w:hAnsi="微软雅黑" w:hint="eastAsia"/>
          <w:szCs w:val="21"/>
        </w:rPr>
        <w:t>达到82.6%</w:t>
      </w:r>
      <w:r w:rsidRPr="00D055BE">
        <w:rPr>
          <w:rFonts w:ascii="微软雅黑" w:eastAsia="微软雅黑" w:hAnsi="微软雅黑" w:hint="eastAsia"/>
          <w:szCs w:val="21"/>
        </w:rPr>
        <w:t>，</w:t>
      </w:r>
      <w:r w:rsidR="00A02AA3">
        <w:rPr>
          <w:rFonts w:ascii="微软雅黑" w:eastAsia="微软雅黑" w:hAnsi="微软雅黑" w:hint="eastAsia"/>
          <w:szCs w:val="21"/>
        </w:rPr>
        <w:t>已经</w:t>
      </w:r>
      <w:r w:rsidRPr="00D055BE">
        <w:rPr>
          <w:rFonts w:ascii="微软雅黑" w:eastAsia="微软雅黑" w:hAnsi="微软雅黑" w:hint="eastAsia"/>
          <w:szCs w:val="21"/>
        </w:rPr>
        <w:t>高于</w:t>
      </w:r>
      <w:r w:rsidRPr="00702B7B">
        <w:rPr>
          <w:rFonts w:ascii="微软雅黑" w:eastAsia="微软雅黑" w:hAnsi="微软雅黑" w:hint="eastAsia"/>
          <w:szCs w:val="21"/>
        </w:rPr>
        <w:t>四川、安徽等省份</w:t>
      </w:r>
      <w:r>
        <w:rPr>
          <w:rFonts w:ascii="微软雅黑" w:eastAsia="微软雅黑" w:hAnsi="微软雅黑" w:hint="eastAsia"/>
          <w:szCs w:val="21"/>
        </w:rPr>
        <w:t>15个百分点以上。</w:t>
      </w:r>
    </w:p>
    <w:p w:rsidR="006E26E3" w:rsidRDefault="00E45B6E" w:rsidP="006E26E3">
      <w:pPr>
        <w:widowControl/>
        <w:spacing w:line="400" w:lineRule="exact"/>
        <w:ind w:firstLineChars="200" w:firstLine="420"/>
        <w:jc w:val="left"/>
        <w:rPr>
          <w:rFonts w:ascii="微软雅黑" w:eastAsia="微软雅黑" w:hAnsi="微软雅黑"/>
          <w:szCs w:val="21"/>
        </w:rPr>
      </w:pPr>
      <w:r>
        <w:rPr>
          <w:rFonts w:ascii="微软雅黑" w:eastAsia="微软雅黑" w:hAnsi="微软雅黑" w:hint="eastAsia"/>
          <w:szCs w:val="21"/>
        </w:rPr>
        <w:t>同时</w:t>
      </w:r>
      <w:r w:rsidR="006E26E3">
        <w:rPr>
          <w:rFonts w:ascii="微软雅黑" w:eastAsia="微软雅黑" w:hAnsi="微软雅黑" w:hint="eastAsia"/>
          <w:szCs w:val="21"/>
        </w:rPr>
        <w:t>，根据艾瑞咨询对移动端的监测数据，</w:t>
      </w:r>
      <w:r>
        <w:rPr>
          <w:rFonts w:ascii="微软雅黑" w:eastAsia="微软雅黑" w:hAnsi="微软雅黑" w:hint="eastAsia"/>
          <w:szCs w:val="21"/>
        </w:rPr>
        <w:t>2017年12月，</w:t>
      </w:r>
      <w:r w:rsidR="006E26E3">
        <w:rPr>
          <w:rFonts w:ascii="微软雅黑" w:eastAsia="微软雅黑" w:hAnsi="微软雅黑" w:hint="eastAsia"/>
          <w:szCs w:val="21"/>
        </w:rPr>
        <w:t>陕西省、四川省和安徽省的月独立设备数分别为3117.8万台、7371.0万台和4592.0万台。</w:t>
      </w:r>
      <w:r>
        <w:rPr>
          <w:rFonts w:ascii="微软雅黑" w:eastAsia="微软雅黑" w:hAnsi="微软雅黑" w:hint="eastAsia"/>
          <w:szCs w:val="21"/>
        </w:rPr>
        <w:t>按常住人口计算，陕西省人均拥有的月独立设备数达到0.97台，而四川省和安徽省该指标分别为0.89台和0.73台。从发展质量的角度来看，进一步印证了陕西省在移动互联网领域有着更高的渗透率。</w:t>
      </w:r>
    </w:p>
    <w:p w:rsidR="002D6EFA" w:rsidRDefault="002D6EFA" w:rsidP="002D6EFA">
      <w:pPr>
        <w:widowControl/>
        <w:jc w:val="center"/>
        <w:rPr>
          <w:rFonts w:ascii="微软雅黑" w:eastAsia="微软雅黑" w:hAnsi="微软雅黑"/>
          <w:szCs w:val="21"/>
          <w:highlight w:val="yellow"/>
        </w:rPr>
      </w:pPr>
      <w:r>
        <w:rPr>
          <w:noProof/>
        </w:rPr>
        <w:drawing>
          <wp:inline distT="0" distB="0" distL="0" distR="0">
            <wp:extent cx="4809600" cy="2880000"/>
            <wp:effectExtent l="0" t="0" r="10160" b="15875"/>
            <wp:docPr id="118" name="图表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D95902" w:rsidRPr="009E64B5" w:rsidRDefault="00D95902" w:rsidP="00D95902">
      <w:pPr>
        <w:spacing w:line="400" w:lineRule="exact"/>
        <w:outlineLvl w:val="2"/>
        <w:rPr>
          <w:rFonts w:ascii="微软雅黑" w:eastAsia="微软雅黑" w:hAnsi="微软雅黑"/>
          <w:b/>
        </w:rPr>
      </w:pPr>
      <w:bookmarkStart w:id="451" w:name="_Toc524418077"/>
      <w:r w:rsidRPr="009E64B5">
        <w:rPr>
          <w:rFonts w:ascii="微软雅黑" w:eastAsia="微软雅黑" w:hAnsi="微软雅黑" w:hint="eastAsia"/>
          <w:b/>
        </w:rPr>
        <w:t>（</w:t>
      </w:r>
      <w:r w:rsidR="00027E1A">
        <w:rPr>
          <w:rFonts w:ascii="微软雅黑" w:eastAsia="微软雅黑" w:hAnsi="微软雅黑" w:hint="eastAsia"/>
          <w:b/>
        </w:rPr>
        <w:t>二</w:t>
      </w:r>
      <w:r w:rsidRPr="009E64B5">
        <w:rPr>
          <w:rFonts w:ascii="微软雅黑" w:eastAsia="微软雅黑" w:hAnsi="微软雅黑" w:hint="eastAsia"/>
          <w:b/>
        </w:rPr>
        <w:t>）“互联网+”是当前最为热门领域</w:t>
      </w:r>
      <w:bookmarkEnd w:id="451"/>
    </w:p>
    <w:p w:rsidR="00D95902" w:rsidRDefault="00D95902" w:rsidP="00D95902">
      <w:pPr>
        <w:snapToGrid w:val="0"/>
        <w:spacing w:line="400" w:lineRule="exact"/>
        <w:ind w:firstLineChars="202" w:firstLine="424"/>
        <w:rPr>
          <w:rFonts w:ascii="微软雅黑" w:eastAsia="微软雅黑" w:hAnsi="微软雅黑"/>
        </w:rPr>
      </w:pPr>
      <w:r>
        <w:rPr>
          <w:rFonts w:ascii="微软雅黑" w:eastAsia="微软雅黑" w:hAnsi="微软雅黑" w:hint="eastAsia"/>
        </w:rPr>
        <w:t>互联网在信息传播上具有</w:t>
      </w:r>
      <w:r w:rsidRPr="00C252F3">
        <w:rPr>
          <w:rFonts w:ascii="微软雅黑" w:eastAsia="微软雅黑" w:hAnsi="微软雅黑"/>
        </w:rPr>
        <w:t>全面、快捷、便利等诸多特点</w:t>
      </w:r>
      <w:r w:rsidRPr="00C252F3">
        <w:rPr>
          <w:rFonts w:ascii="微软雅黑" w:eastAsia="微软雅黑" w:hAnsi="微软雅黑" w:hint="eastAsia"/>
        </w:rPr>
        <w:t>，自</w:t>
      </w:r>
      <w:r w:rsidRPr="00C252F3">
        <w:rPr>
          <w:rFonts w:ascii="微软雅黑" w:eastAsia="微软雅黑" w:hAnsi="微软雅黑"/>
        </w:rPr>
        <w:t>诞生以来就显示出其作为工具的许多独特的运行特征。随着信息存储分析等技术的发展，信息还可以大量的保存和分析</w:t>
      </w:r>
      <w:r w:rsidRPr="00C252F3">
        <w:rPr>
          <w:rFonts w:ascii="微软雅黑" w:eastAsia="微软雅黑" w:hAnsi="微软雅黑" w:hint="eastAsia"/>
        </w:rPr>
        <w:t>，</w:t>
      </w:r>
      <w:r w:rsidRPr="00C252F3">
        <w:rPr>
          <w:rFonts w:ascii="微软雅黑" w:eastAsia="微软雅黑" w:hAnsi="微软雅黑"/>
        </w:rPr>
        <w:t>这使得移动互联网更是让随时随地链接处理信息成为可能。</w:t>
      </w:r>
      <w:r>
        <w:rPr>
          <w:rFonts w:ascii="微软雅黑" w:eastAsia="微软雅黑" w:hAnsi="微软雅黑" w:hint="eastAsia"/>
        </w:rPr>
        <w:t>互联网</w:t>
      </w:r>
      <w:r>
        <w:rPr>
          <w:rFonts w:ascii="微软雅黑" w:eastAsia="微软雅黑" w:hAnsi="微软雅黑"/>
        </w:rPr>
        <w:t>对于</w:t>
      </w:r>
      <w:r w:rsidRPr="003B4164">
        <w:rPr>
          <w:rFonts w:ascii="微软雅黑" w:eastAsia="微软雅黑" w:hAnsi="微软雅黑" w:hint="eastAsia"/>
        </w:rPr>
        <w:t>打破信息的</w:t>
      </w:r>
      <w:r>
        <w:rPr>
          <w:rFonts w:ascii="微软雅黑" w:eastAsia="微软雅黑" w:hAnsi="微软雅黑" w:hint="eastAsia"/>
        </w:rPr>
        <w:t>不对称性做出了极大贡献，这也是互联网能够得到快速发展和应用的重要原因。</w:t>
      </w:r>
    </w:p>
    <w:p w:rsidR="00D95902" w:rsidRDefault="00D95902" w:rsidP="00D95902">
      <w:pPr>
        <w:snapToGrid w:val="0"/>
        <w:spacing w:line="400" w:lineRule="exact"/>
        <w:ind w:firstLineChars="202" w:firstLine="424"/>
        <w:rPr>
          <w:rFonts w:ascii="微软雅黑" w:eastAsia="微软雅黑" w:hAnsi="微软雅黑"/>
        </w:rPr>
      </w:pPr>
      <w:r>
        <w:rPr>
          <w:rFonts w:ascii="微软雅黑" w:eastAsia="微软雅黑" w:hAnsi="微软雅黑" w:hint="eastAsia"/>
        </w:rPr>
        <w:t>2015年，国家</w:t>
      </w:r>
      <w:r w:rsidRPr="00FE21DB">
        <w:rPr>
          <w:rFonts w:ascii="微软雅黑" w:eastAsia="微软雅黑" w:hAnsi="微软雅黑" w:hint="eastAsia"/>
        </w:rPr>
        <w:t>提出</w:t>
      </w:r>
      <w:r>
        <w:rPr>
          <w:rFonts w:ascii="微软雅黑" w:eastAsia="微软雅黑" w:hAnsi="微软雅黑" w:hint="eastAsia"/>
        </w:rPr>
        <w:t>了</w:t>
      </w:r>
      <w:r w:rsidRPr="00FE21DB">
        <w:rPr>
          <w:rFonts w:ascii="微软雅黑" w:eastAsia="微软雅黑" w:hAnsi="微软雅黑" w:hint="eastAsia"/>
        </w:rPr>
        <w:t>“互联网+”行动计划</w:t>
      </w:r>
      <w:r>
        <w:rPr>
          <w:rFonts w:ascii="微软雅黑" w:eastAsia="微软雅黑" w:hAnsi="微软雅黑" w:hint="eastAsia"/>
        </w:rPr>
        <w:t>。在此背景下，</w:t>
      </w:r>
      <w:r w:rsidRPr="00FE21DB">
        <w:rPr>
          <w:rFonts w:ascii="微软雅黑" w:eastAsia="微软雅黑" w:hAnsi="微软雅黑" w:hint="eastAsia"/>
        </w:rPr>
        <w:t>全国各省</w:t>
      </w:r>
      <w:r>
        <w:rPr>
          <w:rFonts w:ascii="微软雅黑" w:eastAsia="微软雅黑" w:hAnsi="微软雅黑" w:hint="eastAsia"/>
        </w:rPr>
        <w:t>、市等纷纷结合自身实际，陆续制定并出台了具体的“互联网+”行动计划，期望通过互联网产业，有效促进传统行业的提档升级。随着各地“互联网+”以及“双创”行动计划的深入实施，各产业之间的界线已逐渐模糊，当前，</w:t>
      </w:r>
      <w:r w:rsidRPr="000F4F73">
        <w:rPr>
          <w:rFonts w:ascii="微软雅黑" w:eastAsia="微软雅黑" w:hAnsi="微软雅黑"/>
        </w:rPr>
        <w:t>互联网已经可以应用到各个行业和人们生活</w:t>
      </w:r>
      <w:r w:rsidRPr="000F4F73">
        <w:rPr>
          <w:rFonts w:ascii="微软雅黑" w:eastAsia="微软雅黑" w:hAnsi="微软雅黑" w:hint="eastAsia"/>
        </w:rPr>
        <w:t>，</w:t>
      </w:r>
      <w:r w:rsidRPr="000F4F73">
        <w:rPr>
          <w:rFonts w:ascii="微软雅黑" w:eastAsia="微软雅黑" w:hAnsi="微软雅黑"/>
        </w:rPr>
        <w:t>对传统企业</w:t>
      </w:r>
      <w:r w:rsidRPr="000F4F73">
        <w:rPr>
          <w:rFonts w:ascii="微软雅黑" w:eastAsia="微软雅黑" w:hAnsi="微软雅黑" w:hint="eastAsia"/>
        </w:rPr>
        <w:t>、</w:t>
      </w:r>
      <w:r w:rsidRPr="000F4F73">
        <w:rPr>
          <w:rFonts w:ascii="微软雅黑" w:eastAsia="微软雅黑" w:hAnsi="微软雅黑"/>
        </w:rPr>
        <w:t>商业等产生了深远</w:t>
      </w:r>
      <w:r>
        <w:rPr>
          <w:rFonts w:ascii="微软雅黑" w:eastAsia="微软雅黑" w:hAnsi="微软雅黑"/>
        </w:rPr>
        <w:t>的</w:t>
      </w:r>
      <w:r w:rsidRPr="000F4F73">
        <w:rPr>
          <w:rFonts w:ascii="微软雅黑" w:eastAsia="微软雅黑" w:hAnsi="微软雅黑"/>
        </w:rPr>
        <w:t>影响</w:t>
      </w:r>
      <w:r w:rsidRPr="000F4F73">
        <w:rPr>
          <w:rFonts w:ascii="微软雅黑" w:eastAsia="微软雅黑" w:hAnsi="微软雅黑" w:hint="eastAsia"/>
        </w:rPr>
        <w:t>。</w:t>
      </w:r>
    </w:p>
    <w:p w:rsidR="00D95902" w:rsidRPr="009E64B5" w:rsidRDefault="00D95902" w:rsidP="00D95902">
      <w:pPr>
        <w:spacing w:line="400" w:lineRule="exact"/>
        <w:outlineLvl w:val="2"/>
        <w:rPr>
          <w:rFonts w:ascii="微软雅黑" w:eastAsia="微软雅黑" w:hAnsi="微软雅黑"/>
          <w:b/>
        </w:rPr>
      </w:pPr>
      <w:bookmarkStart w:id="452" w:name="_Toc524418078"/>
      <w:r w:rsidRPr="009E64B5">
        <w:rPr>
          <w:rFonts w:ascii="微软雅黑" w:eastAsia="微软雅黑" w:hAnsi="微软雅黑" w:hint="eastAsia"/>
          <w:b/>
        </w:rPr>
        <w:t>（</w:t>
      </w:r>
      <w:r w:rsidR="00027E1A">
        <w:rPr>
          <w:rFonts w:ascii="微软雅黑" w:eastAsia="微软雅黑" w:hAnsi="微软雅黑" w:hint="eastAsia"/>
          <w:b/>
        </w:rPr>
        <w:t>三</w:t>
      </w:r>
      <w:r w:rsidRPr="009E64B5">
        <w:rPr>
          <w:rFonts w:ascii="微软雅黑" w:eastAsia="微软雅黑" w:hAnsi="微软雅黑" w:hint="eastAsia"/>
          <w:b/>
        </w:rPr>
        <w:t>）陕西及部分省市互联网行业动向</w:t>
      </w:r>
      <w:bookmarkEnd w:id="452"/>
    </w:p>
    <w:p w:rsidR="00A310C8" w:rsidRDefault="00D95902" w:rsidP="00D44D75">
      <w:pPr>
        <w:snapToGrid w:val="0"/>
        <w:spacing w:line="400" w:lineRule="exact"/>
        <w:ind w:firstLineChars="202" w:firstLine="424"/>
        <w:rPr>
          <w:rFonts w:ascii="微软雅黑" w:eastAsia="微软雅黑" w:hAnsi="微软雅黑"/>
        </w:rPr>
      </w:pPr>
      <w:r>
        <w:rPr>
          <w:rFonts w:ascii="微软雅黑" w:eastAsia="微软雅黑" w:hAnsi="微软雅黑" w:hint="eastAsia"/>
        </w:rPr>
        <w:t>2017年，陕西省在注重互联网基础设施建设的同时，制定出台了《</w:t>
      </w:r>
      <w:r w:rsidRPr="009A209D">
        <w:rPr>
          <w:rFonts w:ascii="微软雅黑" w:eastAsia="微软雅黑" w:hAnsi="微软雅黑" w:hint="eastAsia"/>
        </w:rPr>
        <w:t>陕西省人民政府关于加快推进全省“互联网+政务服务”工作的实施意见》、《陕西省人民政府关于深化制造业与互联网融合发展的实施意见》等具体政策，并在互联网+继续教育、互联网+涉税服务、互联网+公安政务服务</w:t>
      </w:r>
      <w:r>
        <w:rPr>
          <w:rFonts w:ascii="微软雅黑" w:eastAsia="微软雅黑" w:hAnsi="微软雅黑" w:hint="eastAsia"/>
        </w:rPr>
        <w:t>、</w:t>
      </w:r>
      <w:r w:rsidRPr="009A209D">
        <w:rPr>
          <w:rFonts w:ascii="微软雅黑" w:eastAsia="微软雅黑" w:hAnsi="微软雅黑" w:hint="eastAsia"/>
        </w:rPr>
        <w:t>互联网+精准扶贫等领域积极</w:t>
      </w:r>
      <w:r>
        <w:rPr>
          <w:rFonts w:ascii="微软雅黑" w:eastAsia="微软雅黑" w:hAnsi="微软雅黑" w:hint="eastAsia"/>
        </w:rPr>
        <w:t>摸索和实践。2017年，</w:t>
      </w:r>
      <w:r w:rsidRPr="008657E4">
        <w:rPr>
          <w:rFonts w:ascii="微软雅黑" w:eastAsia="微软雅黑" w:hAnsi="微软雅黑" w:hint="eastAsia"/>
        </w:rPr>
        <w:t>四川省和安徽省也围绕“互联网+”制定出台了相关政策。其中四川省</w:t>
      </w:r>
      <w:r>
        <w:rPr>
          <w:rFonts w:ascii="微软雅黑" w:eastAsia="微软雅黑" w:hAnsi="微软雅黑" w:hint="eastAsia"/>
        </w:rPr>
        <w:t>出台了《</w:t>
      </w:r>
      <w:r w:rsidRPr="00442430">
        <w:rPr>
          <w:rFonts w:ascii="微软雅黑" w:eastAsia="微软雅黑" w:hAnsi="微软雅黑" w:hint="eastAsia"/>
        </w:rPr>
        <w:t>四川省深化制造业与互联网融合发展实施方案</w:t>
      </w:r>
      <w:r>
        <w:rPr>
          <w:rFonts w:ascii="微软雅黑" w:eastAsia="微软雅黑" w:hAnsi="微软雅黑" w:hint="eastAsia"/>
        </w:rPr>
        <w:t>》、《</w:t>
      </w:r>
      <w:r w:rsidRPr="00442430">
        <w:rPr>
          <w:rFonts w:ascii="微软雅黑" w:eastAsia="微软雅黑" w:hAnsi="微软雅黑" w:hint="eastAsia"/>
        </w:rPr>
        <w:t>四川省加快推进“互联网+政务服务”工作方案</w:t>
      </w:r>
      <w:r>
        <w:rPr>
          <w:rFonts w:ascii="微软雅黑" w:eastAsia="微软雅黑" w:hAnsi="微软雅黑" w:hint="eastAsia"/>
        </w:rPr>
        <w:t>》等，安徽省则出台了《</w:t>
      </w:r>
      <w:r w:rsidRPr="00F07EBE">
        <w:rPr>
          <w:rFonts w:ascii="微软雅黑" w:eastAsia="微软雅黑" w:hAnsi="微软雅黑" w:hint="eastAsia"/>
        </w:rPr>
        <w:t>安徽省推进“互联网+政务服务”工作规划</w:t>
      </w:r>
      <w:r>
        <w:rPr>
          <w:rFonts w:ascii="微软雅黑" w:eastAsia="微软雅黑" w:hAnsi="微软雅黑" w:hint="eastAsia"/>
        </w:rPr>
        <w:t>》、《</w:t>
      </w:r>
      <w:r w:rsidRPr="00F07EBE">
        <w:rPr>
          <w:rFonts w:ascii="微软雅黑" w:eastAsia="微软雅黑" w:hAnsi="微软雅黑" w:hint="eastAsia"/>
        </w:rPr>
        <w:t>安徽省人民政府关于深化制造业与互联网融合发展的实施意见</w:t>
      </w:r>
      <w:r>
        <w:rPr>
          <w:rFonts w:ascii="微软雅黑" w:eastAsia="微软雅黑" w:hAnsi="微软雅黑" w:hint="eastAsia"/>
        </w:rPr>
        <w:t>》、《</w:t>
      </w:r>
      <w:r w:rsidRPr="00F07EBE">
        <w:rPr>
          <w:rFonts w:ascii="微软雅黑" w:eastAsia="微软雅黑" w:hAnsi="微软雅黑" w:hint="eastAsia"/>
        </w:rPr>
        <w:t>安徽省“互联网+”现代农业行动实施方案</w:t>
      </w:r>
      <w:r>
        <w:rPr>
          <w:rFonts w:ascii="微软雅黑" w:eastAsia="微软雅黑" w:hAnsi="微软雅黑" w:hint="eastAsia"/>
        </w:rPr>
        <w:t>》等政策。</w:t>
      </w:r>
    </w:p>
    <w:p w:rsidR="00D44D75" w:rsidRDefault="00D44D75" w:rsidP="00D44D75">
      <w:pPr>
        <w:snapToGrid w:val="0"/>
        <w:spacing w:line="400" w:lineRule="exact"/>
        <w:ind w:firstLineChars="202" w:firstLine="424"/>
        <w:rPr>
          <w:rFonts w:ascii="微软雅黑" w:eastAsia="微软雅黑" w:hAnsi="微软雅黑"/>
        </w:rPr>
      </w:pPr>
    </w:p>
    <w:p w:rsidR="00E45B6E" w:rsidRPr="00D44D75" w:rsidRDefault="00E45B6E" w:rsidP="00D44D75">
      <w:pPr>
        <w:snapToGrid w:val="0"/>
        <w:spacing w:line="400" w:lineRule="exact"/>
        <w:ind w:firstLineChars="202" w:firstLine="424"/>
        <w:rPr>
          <w:rFonts w:ascii="微软雅黑" w:eastAsia="微软雅黑" w:hAnsi="微软雅黑"/>
        </w:rPr>
      </w:pPr>
    </w:p>
    <w:tbl>
      <w:tblPr>
        <w:tblStyle w:val="ac"/>
        <w:tblW w:w="5000" w:type="pct"/>
        <w:tblLook w:val="04A0"/>
      </w:tblPr>
      <w:tblGrid>
        <w:gridCol w:w="1341"/>
        <w:gridCol w:w="7187"/>
      </w:tblGrid>
      <w:tr w:rsidR="00A310C8" w:rsidTr="00E45B6E">
        <w:trPr>
          <w:trHeight w:val="680"/>
        </w:trPr>
        <w:tc>
          <w:tcPr>
            <w:tcW w:w="786" w:type="pct"/>
            <w:vAlign w:val="center"/>
          </w:tcPr>
          <w:p w:rsidR="00A310C8" w:rsidRPr="00D44D75" w:rsidRDefault="00A310C8" w:rsidP="00AC0CD6">
            <w:pPr>
              <w:snapToGrid w:val="0"/>
              <w:spacing w:line="400" w:lineRule="exact"/>
              <w:jc w:val="center"/>
              <w:rPr>
                <w:rFonts w:ascii="微软雅黑" w:eastAsia="微软雅黑" w:hAnsi="微软雅黑"/>
                <w:b/>
              </w:rPr>
            </w:pPr>
            <w:r w:rsidRPr="00D44D75">
              <w:rPr>
                <w:rFonts w:ascii="微软雅黑" w:eastAsia="微软雅黑" w:hAnsi="微软雅黑" w:hint="eastAsia"/>
                <w:b/>
              </w:rPr>
              <w:t>地区</w:t>
            </w:r>
          </w:p>
        </w:tc>
        <w:tc>
          <w:tcPr>
            <w:tcW w:w="4214" w:type="pct"/>
            <w:vAlign w:val="center"/>
          </w:tcPr>
          <w:p w:rsidR="00A310C8" w:rsidRPr="00D44D75" w:rsidRDefault="00A310C8" w:rsidP="00AC0CD6">
            <w:pPr>
              <w:snapToGrid w:val="0"/>
              <w:spacing w:line="400" w:lineRule="exact"/>
              <w:jc w:val="center"/>
              <w:rPr>
                <w:rFonts w:ascii="微软雅黑" w:eastAsia="微软雅黑" w:hAnsi="微软雅黑"/>
                <w:b/>
              </w:rPr>
            </w:pPr>
            <w:r w:rsidRPr="00D44D75">
              <w:rPr>
                <w:rFonts w:ascii="微软雅黑" w:eastAsia="微软雅黑" w:hAnsi="微软雅黑" w:hint="eastAsia"/>
                <w:b/>
              </w:rPr>
              <w:t>出台政策</w:t>
            </w:r>
          </w:p>
        </w:tc>
      </w:tr>
      <w:tr w:rsidR="00A310C8" w:rsidTr="00E45B6E">
        <w:trPr>
          <w:trHeight w:val="1285"/>
        </w:trPr>
        <w:tc>
          <w:tcPr>
            <w:tcW w:w="786" w:type="pct"/>
            <w:vAlign w:val="center"/>
          </w:tcPr>
          <w:p w:rsidR="00A310C8" w:rsidRPr="00D44D75" w:rsidRDefault="00A310C8" w:rsidP="00AC0CD6">
            <w:pPr>
              <w:snapToGrid w:val="0"/>
              <w:spacing w:line="400" w:lineRule="exact"/>
              <w:jc w:val="center"/>
              <w:rPr>
                <w:rFonts w:ascii="微软雅黑" w:eastAsia="微软雅黑" w:hAnsi="微软雅黑"/>
                <w:b/>
              </w:rPr>
            </w:pPr>
            <w:r w:rsidRPr="00D44D75">
              <w:rPr>
                <w:rFonts w:ascii="微软雅黑" w:eastAsia="微软雅黑" w:hAnsi="微软雅黑" w:hint="eastAsia"/>
                <w:b/>
              </w:rPr>
              <w:t>陕西省</w:t>
            </w:r>
          </w:p>
        </w:tc>
        <w:tc>
          <w:tcPr>
            <w:tcW w:w="4214" w:type="pct"/>
            <w:vAlign w:val="center"/>
          </w:tcPr>
          <w:p w:rsidR="00A310C8" w:rsidRDefault="00A310C8" w:rsidP="00AC0CD6">
            <w:pPr>
              <w:snapToGrid w:val="0"/>
              <w:spacing w:line="400" w:lineRule="exact"/>
              <w:jc w:val="left"/>
              <w:rPr>
                <w:rFonts w:ascii="微软雅黑" w:eastAsia="微软雅黑" w:hAnsi="微软雅黑"/>
              </w:rPr>
            </w:pPr>
            <w:r>
              <w:rPr>
                <w:rFonts w:ascii="微软雅黑" w:eastAsia="微软雅黑" w:hAnsi="微软雅黑" w:hint="eastAsia"/>
              </w:rPr>
              <w:t>《</w:t>
            </w:r>
            <w:r w:rsidRPr="009A209D">
              <w:rPr>
                <w:rFonts w:ascii="微软雅黑" w:eastAsia="微软雅黑" w:hAnsi="微软雅黑" w:hint="eastAsia"/>
              </w:rPr>
              <w:t>陕西省人民政府关于加快推进全省“互联网+政务服务”工作的实施意见》</w:t>
            </w:r>
            <w:r>
              <w:rPr>
                <w:rFonts w:ascii="微软雅黑" w:eastAsia="微软雅黑" w:hAnsi="微软雅黑" w:hint="eastAsia"/>
              </w:rPr>
              <w:t>、</w:t>
            </w:r>
            <w:r w:rsidRPr="009A209D">
              <w:rPr>
                <w:rFonts w:ascii="微软雅黑" w:eastAsia="微软雅黑" w:hAnsi="微软雅黑" w:hint="eastAsia"/>
              </w:rPr>
              <w:t>《陕西省人民政府关于深化制造业与互联网融合发展的实施意见》</w:t>
            </w:r>
          </w:p>
        </w:tc>
      </w:tr>
      <w:tr w:rsidR="00A310C8" w:rsidTr="00E45B6E">
        <w:trPr>
          <w:trHeight w:val="1119"/>
        </w:trPr>
        <w:tc>
          <w:tcPr>
            <w:tcW w:w="786" w:type="pct"/>
            <w:vAlign w:val="center"/>
          </w:tcPr>
          <w:p w:rsidR="00A310C8" w:rsidRPr="00D44D75" w:rsidRDefault="00A310C8" w:rsidP="00AC0CD6">
            <w:pPr>
              <w:snapToGrid w:val="0"/>
              <w:spacing w:line="400" w:lineRule="exact"/>
              <w:jc w:val="center"/>
              <w:rPr>
                <w:rFonts w:ascii="微软雅黑" w:eastAsia="微软雅黑" w:hAnsi="微软雅黑"/>
                <w:b/>
              </w:rPr>
            </w:pPr>
            <w:r w:rsidRPr="00D44D75">
              <w:rPr>
                <w:rFonts w:ascii="微软雅黑" w:eastAsia="微软雅黑" w:hAnsi="微软雅黑" w:hint="eastAsia"/>
                <w:b/>
              </w:rPr>
              <w:t>四川省</w:t>
            </w:r>
          </w:p>
        </w:tc>
        <w:tc>
          <w:tcPr>
            <w:tcW w:w="4214" w:type="pct"/>
            <w:vAlign w:val="center"/>
          </w:tcPr>
          <w:p w:rsidR="00D44D75" w:rsidRDefault="00A310C8" w:rsidP="00D44D75">
            <w:pPr>
              <w:snapToGrid w:val="0"/>
              <w:spacing w:line="400" w:lineRule="exact"/>
              <w:rPr>
                <w:rFonts w:ascii="微软雅黑" w:eastAsia="微软雅黑" w:hAnsi="微软雅黑"/>
              </w:rPr>
            </w:pPr>
            <w:r>
              <w:rPr>
                <w:rFonts w:ascii="微软雅黑" w:eastAsia="微软雅黑" w:hAnsi="微软雅黑" w:hint="eastAsia"/>
              </w:rPr>
              <w:t>《</w:t>
            </w:r>
            <w:r w:rsidRPr="00442430">
              <w:rPr>
                <w:rFonts w:ascii="微软雅黑" w:eastAsia="微软雅黑" w:hAnsi="微软雅黑" w:hint="eastAsia"/>
              </w:rPr>
              <w:t>四川省深化制造业与互联网融合发展实施方案</w:t>
            </w:r>
            <w:r>
              <w:rPr>
                <w:rFonts w:ascii="微软雅黑" w:eastAsia="微软雅黑" w:hAnsi="微软雅黑" w:hint="eastAsia"/>
              </w:rPr>
              <w:t>》</w:t>
            </w:r>
          </w:p>
          <w:p w:rsidR="00A310C8" w:rsidRDefault="00A310C8" w:rsidP="00D44D75">
            <w:pPr>
              <w:snapToGrid w:val="0"/>
              <w:spacing w:line="400" w:lineRule="exact"/>
              <w:rPr>
                <w:rFonts w:ascii="微软雅黑" w:eastAsia="微软雅黑" w:hAnsi="微软雅黑"/>
              </w:rPr>
            </w:pPr>
            <w:r>
              <w:rPr>
                <w:rFonts w:ascii="微软雅黑" w:eastAsia="微软雅黑" w:hAnsi="微软雅黑" w:hint="eastAsia"/>
              </w:rPr>
              <w:t>《</w:t>
            </w:r>
            <w:r w:rsidRPr="00442430">
              <w:rPr>
                <w:rFonts w:ascii="微软雅黑" w:eastAsia="微软雅黑" w:hAnsi="微软雅黑" w:hint="eastAsia"/>
              </w:rPr>
              <w:t>四川省加快推进“互联网+政务服务”工作方案</w:t>
            </w:r>
            <w:r>
              <w:rPr>
                <w:rFonts w:ascii="微软雅黑" w:eastAsia="微软雅黑" w:hAnsi="微软雅黑" w:hint="eastAsia"/>
              </w:rPr>
              <w:t>》</w:t>
            </w:r>
          </w:p>
        </w:tc>
      </w:tr>
      <w:tr w:rsidR="00A310C8" w:rsidTr="00E45B6E">
        <w:trPr>
          <w:trHeight w:val="680"/>
        </w:trPr>
        <w:tc>
          <w:tcPr>
            <w:tcW w:w="786" w:type="pct"/>
            <w:vAlign w:val="center"/>
          </w:tcPr>
          <w:p w:rsidR="00A310C8" w:rsidRPr="00D44D75" w:rsidRDefault="00A310C8" w:rsidP="00AC0CD6">
            <w:pPr>
              <w:snapToGrid w:val="0"/>
              <w:spacing w:line="400" w:lineRule="exact"/>
              <w:jc w:val="center"/>
              <w:rPr>
                <w:rFonts w:ascii="微软雅黑" w:eastAsia="微软雅黑" w:hAnsi="微软雅黑"/>
                <w:b/>
              </w:rPr>
            </w:pPr>
            <w:r w:rsidRPr="00D44D75">
              <w:rPr>
                <w:rFonts w:ascii="微软雅黑" w:eastAsia="微软雅黑" w:hAnsi="微软雅黑" w:hint="eastAsia"/>
                <w:b/>
              </w:rPr>
              <w:t>安徽省</w:t>
            </w:r>
          </w:p>
        </w:tc>
        <w:tc>
          <w:tcPr>
            <w:tcW w:w="4214" w:type="pct"/>
            <w:vAlign w:val="center"/>
          </w:tcPr>
          <w:p w:rsidR="00D44D75" w:rsidRDefault="00A310C8" w:rsidP="00A310C8">
            <w:pPr>
              <w:snapToGrid w:val="0"/>
              <w:spacing w:line="400" w:lineRule="exact"/>
              <w:rPr>
                <w:rFonts w:ascii="微软雅黑" w:eastAsia="微软雅黑" w:hAnsi="微软雅黑"/>
              </w:rPr>
            </w:pPr>
            <w:r>
              <w:rPr>
                <w:rFonts w:ascii="微软雅黑" w:eastAsia="微软雅黑" w:hAnsi="微软雅黑" w:hint="eastAsia"/>
              </w:rPr>
              <w:t>《</w:t>
            </w:r>
            <w:r w:rsidRPr="00F07EBE">
              <w:rPr>
                <w:rFonts w:ascii="微软雅黑" w:eastAsia="微软雅黑" w:hAnsi="微软雅黑" w:hint="eastAsia"/>
              </w:rPr>
              <w:t>安徽省推进“互联网+政务服务”工作规划</w:t>
            </w:r>
            <w:r w:rsidR="00D44D75">
              <w:rPr>
                <w:rFonts w:ascii="微软雅黑" w:eastAsia="微软雅黑" w:hAnsi="微软雅黑" w:hint="eastAsia"/>
              </w:rPr>
              <w:t>》</w:t>
            </w:r>
          </w:p>
          <w:p w:rsidR="00D44D75" w:rsidRDefault="00A310C8" w:rsidP="00D44D75">
            <w:pPr>
              <w:snapToGrid w:val="0"/>
              <w:spacing w:line="400" w:lineRule="exact"/>
              <w:rPr>
                <w:rFonts w:ascii="微软雅黑" w:eastAsia="微软雅黑" w:hAnsi="微软雅黑"/>
              </w:rPr>
            </w:pPr>
            <w:r>
              <w:rPr>
                <w:rFonts w:ascii="微软雅黑" w:eastAsia="微软雅黑" w:hAnsi="微软雅黑" w:hint="eastAsia"/>
              </w:rPr>
              <w:t>《</w:t>
            </w:r>
            <w:r w:rsidRPr="00F07EBE">
              <w:rPr>
                <w:rFonts w:ascii="微软雅黑" w:eastAsia="微软雅黑" w:hAnsi="微软雅黑" w:hint="eastAsia"/>
              </w:rPr>
              <w:t>安徽省人民政府关于深化制造业与互联网融合发展的实施意见</w:t>
            </w:r>
            <w:r>
              <w:rPr>
                <w:rFonts w:ascii="微软雅黑" w:eastAsia="微软雅黑" w:hAnsi="微软雅黑" w:hint="eastAsia"/>
              </w:rPr>
              <w:t>》</w:t>
            </w:r>
          </w:p>
          <w:p w:rsidR="00A310C8" w:rsidRDefault="00A310C8" w:rsidP="00D44D75">
            <w:pPr>
              <w:snapToGrid w:val="0"/>
              <w:spacing w:line="400" w:lineRule="exact"/>
              <w:rPr>
                <w:rFonts w:ascii="微软雅黑" w:eastAsia="微软雅黑" w:hAnsi="微软雅黑"/>
              </w:rPr>
            </w:pPr>
            <w:r>
              <w:rPr>
                <w:rFonts w:ascii="微软雅黑" w:eastAsia="微软雅黑" w:hAnsi="微软雅黑" w:hint="eastAsia"/>
              </w:rPr>
              <w:t>《</w:t>
            </w:r>
            <w:r w:rsidRPr="00F07EBE">
              <w:rPr>
                <w:rFonts w:ascii="微软雅黑" w:eastAsia="微软雅黑" w:hAnsi="微软雅黑" w:hint="eastAsia"/>
              </w:rPr>
              <w:t>安徽省“互联网+”现代农业行动实施方案</w:t>
            </w:r>
            <w:r>
              <w:rPr>
                <w:rFonts w:ascii="微软雅黑" w:eastAsia="微软雅黑" w:hAnsi="微软雅黑" w:hint="eastAsia"/>
              </w:rPr>
              <w:t>》</w:t>
            </w:r>
          </w:p>
        </w:tc>
      </w:tr>
    </w:tbl>
    <w:p w:rsidR="00A310C8" w:rsidRPr="00D44D75" w:rsidRDefault="00A310C8" w:rsidP="00AC0CD6">
      <w:pPr>
        <w:snapToGrid w:val="0"/>
        <w:spacing w:line="400" w:lineRule="exact"/>
        <w:rPr>
          <w:rFonts w:ascii="微软雅黑" w:eastAsia="微软雅黑" w:hAnsi="微软雅黑"/>
        </w:rPr>
      </w:pPr>
    </w:p>
    <w:p w:rsidR="00D95902" w:rsidRDefault="00D95902" w:rsidP="0087099E">
      <w:pPr>
        <w:snapToGrid w:val="0"/>
        <w:spacing w:line="400" w:lineRule="exact"/>
        <w:ind w:firstLineChars="202" w:firstLine="424"/>
        <w:rPr>
          <w:rFonts w:ascii="微软雅黑" w:eastAsia="微软雅黑" w:hAnsi="微软雅黑"/>
        </w:rPr>
      </w:pPr>
      <w:r>
        <w:rPr>
          <w:rFonts w:ascii="微软雅黑" w:eastAsia="微软雅黑" w:hAnsi="微软雅黑" w:hint="eastAsia"/>
        </w:rPr>
        <w:t>从各省出台的</w:t>
      </w:r>
      <w:r w:rsidRPr="008657E4">
        <w:rPr>
          <w:rFonts w:ascii="微软雅黑" w:eastAsia="微软雅黑" w:hAnsi="微软雅黑" w:hint="eastAsia"/>
        </w:rPr>
        <w:t>“互联网+”</w:t>
      </w:r>
      <w:r>
        <w:rPr>
          <w:rFonts w:ascii="微软雅黑" w:eastAsia="微软雅黑" w:hAnsi="微软雅黑" w:hint="eastAsia"/>
        </w:rPr>
        <w:t>产业政策具体内容来看，当前多以电子政务、制造业等具体行业或产业为重点。其中</w:t>
      </w:r>
      <w:r w:rsidR="00D44D75">
        <w:rPr>
          <w:rFonts w:ascii="微软雅黑" w:eastAsia="微软雅黑" w:hAnsi="微软雅黑" w:hint="eastAsia"/>
        </w:rPr>
        <w:t>：</w:t>
      </w:r>
      <w:r w:rsidRPr="00D44D75">
        <w:rPr>
          <w:rFonts w:ascii="微软雅黑" w:eastAsia="微软雅黑" w:hAnsi="微软雅黑" w:hint="eastAsia"/>
          <w:b/>
        </w:rPr>
        <w:t>“互联网+电子政务”</w:t>
      </w:r>
      <w:r>
        <w:rPr>
          <w:rFonts w:ascii="微软雅黑" w:eastAsia="微软雅黑" w:hAnsi="微软雅黑" w:hint="eastAsia"/>
        </w:rPr>
        <w:t>多以营造更为高效的政务服务为出发点，</w:t>
      </w:r>
      <w:r w:rsidR="00D44D75">
        <w:rPr>
          <w:rFonts w:ascii="微软雅黑" w:eastAsia="微软雅黑" w:hAnsi="微软雅黑" w:hint="eastAsia"/>
        </w:rPr>
        <w:t>通过</w:t>
      </w:r>
      <w:r w:rsidRPr="001B7AE1">
        <w:rPr>
          <w:rFonts w:ascii="微软雅黑" w:eastAsia="微软雅黑" w:hAnsi="微软雅黑" w:hint="eastAsia"/>
        </w:rPr>
        <w:t>简政放权、放管结合、优化服务等方式，建立起省、市、县、乡等多级的一体化网上政务服务体系，最大限度为企业和群众提供高效便捷服务</w:t>
      </w:r>
      <w:r w:rsidR="00D44D75">
        <w:rPr>
          <w:rFonts w:ascii="微软雅黑" w:eastAsia="微软雅黑" w:hAnsi="微软雅黑" w:hint="eastAsia"/>
        </w:rPr>
        <w:t>。</w:t>
      </w:r>
      <w:r w:rsidRPr="00D44D75">
        <w:rPr>
          <w:rFonts w:ascii="微软雅黑" w:eastAsia="微软雅黑" w:hAnsi="微软雅黑" w:hint="eastAsia"/>
          <w:b/>
        </w:rPr>
        <w:t>智能制造</w:t>
      </w:r>
      <w:r w:rsidRPr="001B7AE1">
        <w:rPr>
          <w:rFonts w:ascii="微软雅黑" w:eastAsia="微软雅黑" w:hAnsi="微软雅黑" w:hint="eastAsia"/>
        </w:rPr>
        <w:t>行业则更多期望</w:t>
      </w:r>
      <w:r>
        <w:rPr>
          <w:rFonts w:ascii="微软雅黑" w:eastAsia="微软雅黑" w:hAnsi="微软雅黑" w:hint="eastAsia"/>
        </w:rPr>
        <w:t>通过大数据、云计算等互联网新技术的深入应用，不断促进行业创新发展，努力提升运营效率，最终推动传统产业</w:t>
      </w:r>
      <w:r w:rsidRPr="001942DB">
        <w:rPr>
          <w:rFonts w:ascii="微软雅黑" w:eastAsia="微软雅黑" w:hAnsi="微软雅黑"/>
        </w:rPr>
        <w:t>与互联网</w:t>
      </w:r>
      <w:r>
        <w:rPr>
          <w:rFonts w:ascii="微软雅黑" w:eastAsia="微软雅黑" w:hAnsi="微软雅黑"/>
        </w:rPr>
        <w:t>深度</w:t>
      </w:r>
      <w:r w:rsidRPr="001942DB">
        <w:rPr>
          <w:rFonts w:ascii="微软雅黑" w:eastAsia="微软雅黑" w:hAnsi="微软雅黑"/>
        </w:rPr>
        <w:t>融合</w:t>
      </w:r>
      <w:r>
        <w:rPr>
          <w:rFonts w:ascii="微软雅黑" w:eastAsia="微软雅黑" w:hAnsi="微软雅黑" w:hint="eastAsia"/>
        </w:rPr>
        <w:t>，促进传统制造业的提质增效</w:t>
      </w:r>
      <w:r w:rsidRPr="001942DB">
        <w:rPr>
          <w:rFonts w:ascii="微软雅黑" w:eastAsia="微软雅黑" w:hAnsi="微软雅黑" w:hint="eastAsia"/>
        </w:rPr>
        <w:t>。在</w:t>
      </w:r>
      <w:r w:rsidRPr="00D44D75">
        <w:rPr>
          <w:rFonts w:ascii="微软雅黑" w:eastAsia="微软雅黑" w:hAnsi="微软雅黑" w:hint="eastAsia"/>
          <w:b/>
        </w:rPr>
        <w:t>具体推进措施</w:t>
      </w:r>
      <w:r w:rsidRPr="001942DB">
        <w:rPr>
          <w:rFonts w:ascii="微软雅黑" w:eastAsia="微软雅黑" w:hAnsi="微软雅黑" w:hint="eastAsia"/>
        </w:rPr>
        <w:t>上，</w:t>
      </w:r>
      <w:r w:rsidR="00D44D75">
        <w:rPr>
          <w:rFonts w:ascii="微软雅黑" w:eastAsia="微软雅黑" w:hAnsi="微软雅黑" w:hint="eastAsia"/>
        </w:rPr>
        <w:t>各省大</w:t>
      </w:r>
      <w:r w:rsidRPr="001942DB">
        <w:rPr>
          <w:rFonts w:ascii="微软雅黑" w:eastAsia="微软雅黑" w:hAnsi="微软雅黑" w:hint="eastAsia"/>
        </w:rPr>
        <w:t>多</w:t>
      </w:r>
      <w:r>
        <w:rPr>
          <w:rFonts w:ascii="微软雅黑" w:eastAsia="微软雅黑" w:hAnsi="微软雅黑" w:hint="eastAsia"/>
        </w:rPr>
        <w:t>强调与重大示范项目的结合，并提出</w:t>
      </w:r>
      <w:r w:rsidRPr="001942DB">
        <w:rPr>
          <w:rFonts w:ascii="微软雅黑" w:eastAsia="微软雅黑" w:hAnsi="微软雅黑" w:hint="eastAsia"/>
        </w:rPr>
        <w:t>从体制机制</w:t>
      </w:r>
      <w:r>
        <w:rPr>
          <w:rFonts w:ascii="微软雅黑" w:eastAsia="微软雅黑" w:hAnsi="微软雅黑" w:hint="eastAsia"/>
        </w:rPr>
        <w:t>层面加强推进，</w:t>
      </w:r>
      <w:r w:rsidRPr="001942DB">
        <w:rPr>
          <w:rFonts w:ascii="微软雅黑" w:eastAsia="微软雅黑" w:hAnsi="微软雅黑" w:hint="eastAsia"/>
        </w:rPr>
        <w:t>同时强调从财税政策、产业资金、用地保障</w:t>
      </w:r>
      <w:r>
        <w:rPr>
          <w:rFonts w:ascii="微软雅黑" w:eastAsia="微软雅黑" w:hAnsi="微软雅黑" w:hint="eastAsia"/>
        </w:rPr>
        <w:t>、</w:t>
      </w:r>
      <w:r w:rsidRPr="001942DB">
        <w:rPr>
          <w:rFonts w:ascii="微软雅黑" w:eastAsia="微软雅黑" w:hAnsi="微软雅黑" w:hint="eastAsia"/>
        </w:rPr>
        <w:t>人才</w:t>
      </w:r>
      <w:r>
        <w:rPr>
          <w:rFonts w:ascii="微软雅黑" w:eastAsia="微软雅黑" w:hAnsi="微软雅黑" w:hint="eastAsia"/>
        </w:rPr>
        <w:t>队伍和</w:t>
      </w:r>
      <w:r w:rsidRPr="001942DB">
        <w:rPr>
          <w:rFonts w:ascii="微软雅黑" w:eastAsia="微软雅黑" w:hAnsi="微软雅黑" w:hint="eastAsia"/>
        </w:rPr>
        <w:t>评价体系等</w:t>
      </w:r>
      <w:r>
        <w:rPr>
          <w:rFonts w:ascii="微软雅黑" w:eastAsia="微软雅黑" w:hAnsi="微软雅黑" w:hint="eastAsia"/>
        </w:rPr>
        <w:t>多</w:t>
      </w:r>
      <w:r w:rsidRPr="001942DB">
        <w:rPr>
          <w:rFonts w:ascii="微软雅黑" w:eastAsia="微软雅黑" w:hAnsi="微软雅黑" w:hint="eastAsia"/>
        </w:rPr>
        <w:t>方面</w:t>
      </w:r>
      <w:r>
        <w:rPr>
          <w:rFonts w:ascii="微软雅黑" w:eastAsia="微软雅黑" w:hAnsi="微软雅黑" w:hint="eastAsia"/>
        </w:rPr>
        <w:t>强化</w:t>
      </w:r>
      <w:r w:rsidRPr="001942DB">
        <w:rPr>
          <w:rFonts w:ascii="微软雅黑" w:eastAsia="微软雅黑" w:hAnsi="微软雅黑" w:hint="eastAsia"/>
        </w:rPr>
        <w:t>对产业的</w:t>
      </w:r>
      <w:r>
        <w:rPr>
          <w:rFonts w:ascii="微软雅黑" w:eastAsia="微软雅黑" w:hAnsi="微软雅黑" w:hint="eastAsia"/>
        </w:rPr>
        <w:t>支撑</w:t>
      </w:r>
      <w:r w:rsidRPr="001942DB">
        <w:rPr>
          <w:rFonts w:ascii="微软雅黑" w:eastAsia="微软雅黑" w:hAnsi="微软雅黑" w:hint="eastAsia"/>
        </w:rPr>
        <w:t>。</w:t>
      </w:r>
    </w:p>
    <w:p w:rsidR="0087099E" w:rsidRDefault="0087099E" w:rsidP="0087099E">
      <w:pPr>
        <w:snapToGrid w:val="0"/>
        <w:spacing w:line="400" w:lineRule="exact"/>
        <w:rPr>
          <w:rFonts w:ascii="微软雅黑" w:eastAsia="微软雅黑" w:hAnsi="微软雅黑"/>
        </w:rPr>
      </w:pPr>
    </w:p>
    <w:p w:rsidR="00E45B6E" w:rsidRPr="00D44D75" w:rsidRDefault="00E45B6E" w:rsidP="0087099E">
      <w:pPr>
        <w:snapToGrid w:val="0"/>
        <w:spacing w:line="400" w:lineRule="exact"/>
        <w:rPr>
          <w:rFonts w:ascii="微软雅黑" w:eastAsia="微软雅黑" w:hAnsi="微软雅黑"/>
        </w:rPr>
      </w:pPr>
    </w:p>
    <w:p w:rsidR="00CA2950" w:rsidRDefault="00CA2950" w:rsidP="00CA2950">
      <w:pPr>
        <w:spacing w:line="360" w:lineRule="auto"/>
        <w:rPr>
          <w:rFonts w:ascii="微软雅黑" w:eastAsia="微软雅黑" w:hAnsi="微软雅黑"/>
          <w:b/>
        </w:rPr>
      </w:pPr>
      <w:r>
        <w:rPr>
          <w:rFonts w:ascii="微软雅黑" w:eastAsia="微软雅黑" w:hAnsi="微软雅黑"/>
          <w:b/>
        </w:rPr>
        <w:br w:type="page"/>
      </w:r>
    </w:p>
    <w:p w:rsidR="00572F3C" w:rsidRPr="009D423B" w:rsidRDefault="0087099E" w:rsidP="00C376C8">
      <w:pPr>
        <w:spacing w:line="360" w:lineRule="auto"/>
        <w:outlineLvl w:val="1"/>
        <w:rPr>
          <w:rFonts w:ascii="微软雅黑" w:eastAsia="微软雅黑" w:hAnsi="微软雅黑"/>
          <w:b/>
        </w:rPr>
      </w:pPr>
      <w:bookmarkStart w:id="453" w:name="_Toc524418079"/>
      <w:r>
        <w:rPr>
          <w:rFonts w:ascii="微软雅黑" w:eastAsia="微软雅黑" w:hAnsi="微软雅黑" w:hint="eastAsia"/>
          <w:b/>
        </w:rPr>
        <w:t>四</w:t>
      </w:r>
      <w:r w:rsidR="007C75EC" w:rsidRPr="009D423B">
        <w:rPr>
          <w:rFonts w:ascii="微软雅黑" w:eastAsia="微软雅黑" w:hAnsi="微软雅黑" w:hint="eastAsia"/>
          <w:b/>
        </w:rPr>
        <w:t>、</w:t>
      </w:r>
      <w:r w:rsidR="00572F3C" w:rsidRPr="009D423B">
        <w:rPr>
          <w:rFonts w:ascii="微软雅黑" w:eastAsia="微软雅黑" w:hAnsi="微软雅黑" w:hint="eastAsia"/>
          <w:b/>
        </w:rPr>
        <w:t>分省互联网基础数据</w:t>
      </w:r>
      <w:bookmarkEnd w:id="453"/>
    </w:p>
    <w:p w:rsidR="00FE7E3C" w:rsidRPr="003E0CE0" w:rsidRDefault="00FE7E3C" w:rsidP="00FE7E3C">
      <w:pPr>
        <w:spacing w:line="400" w:lineRule="exact"/>
        <w:outlineLvl w:val="2"/>
        <w:rPr>
          <w:rFonts w:ascii="微软雅黑" w:eastAsia="微软雅黑" w:hAnsi="微软雅黑"/>
          <w:b/>
          <w:szCs w:val="21"/>
        </w:rPr>
      </w:pPr>
      <w:bookmarkStart w:id="454" w:name="_Toc524418080"/>
      <w:r>
        <w:rPr>
          <w:rFonts w:ascii="微软雅黑" w:eastAsia="微软雅黑" w:hAnsi="微软雅黑" w:hint="eastAsia"/>
          <w:b/>
          <w:szCs w:val="21"/>
        </w:rPr>
        <w:t>（一）</w:t>
      </w:r>
      <w:r w:rsidRPr="003E0CE0">
        <w:rPr>
          <w:rFonts w:ascii="微软雅黑" w:eastAsia="微软雅黑" w:hAnsi="微软雅黑"/>
          <w:b/>
          <w:szCs w:val="21"/>
        </w:rPr>
        <w:t>各省IPv4地址数占全国比例</w:t>
      </w:r>
      <w:bookmarkEnd w:id="454"/>
    </w:p>
    <w:tbl>
      <w:tblPr>
        <w:tblW w:w="8380" w:type="dxa"/>
        <w:tblInd w:w="113" w:type="dxa"/>
        <w:tblBorders>
          <w:top w:val="single" w:sz="4" w:space="0" w:color="auto"/>
          <w:bottom w:val="single" w:sz="4" w:space="0" w:color="auto"/>
          <w:insideH w:val="single" w:sz="4" w:space="0" w:color="auto"/>
          <w:insideV w:val="single" w:sz="4" w:space="0" w:color="auto"/>
        </w:tblBorders>
        <w:tblLook w:val="04A0"/>
      </w:tblPr>
      <w:tblGrid>
        <w:gridCol w:w="3256"/>
        <w:gridCol w:w="5124"/>
      </w:tblGrid>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b/>
                <w:kern w:val="0"/>
                <w:sz w:val="18"/>
                <w:szCs w:val="18"/>
              </w:rPr>
            </w:pPr>
            <w:r w:rsidRPr="003E0CE0">
              <w:rPr>
                <w:rFonts w:ascii="微软雅黑" w:eastAsia="微软雅黑" w:hAnsi="微软雅黑"/>
                <w:b/>
                <w:kern w:val="0"/>
                <w:sz w:val="18"/>
                <w:szCs w:val="18"/>
              </w:rPr>
              <w:t>省份</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b/>
                <w:kern w:val="0"/>
                <w:sz w:val="18"/>
                <w:szCs w:val="18"/>
              </w:rPr>
            </w:pPr>
            <w:r w:rsidRPr="003E0CE0">
              <w:rPr>
                <w:rFonts w:ascii="微软雅黑" w:eastAsia="微软雅黑" w:hAnsi="微软雅黑"/>
                <w:b/>
                <w:kern w:val="0"/>
                <w:sz w:val="18"/>
                <w:szCs w:val="18"/>
              </w:rPr>
              <w:t>比例</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北京</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25.49%</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广东</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9.53%</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浙江</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6.47%</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山东</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4.89%</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江苏</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4.76%</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上海</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4.51%</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辽宁</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3.34%</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河北</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2.85%</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四川</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2.77%</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河南</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2.63%</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湖北</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2.39%</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湖南</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2.36%</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福建</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1.94%</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江西</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1.73%</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重庆</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1.68%</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安徽</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1.65%</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陕西</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1.63%</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广西</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1.38%</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山西</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1.28%</w:t>
            </w:r>
          </w:p>
        </w:tc>
      </w:tr>
      <w:tr w:rsidR="00FE7E3C" w:rsidRPr="003E0CE0" w:rsidTr="00FE7E3C">
        <w:trPr>
          <w:trHeight w:val="312"/>
        </w:trPr>
        <w:tc>
          <w:tcPr>
            <w:tcW w:w="3256"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 xml:space="preserve">黑龙江 </w:t>
            </w:r>
          </w:p>
        </w:tc>
        <w:tc>
          <w:tcPr>
            <w:tcW w:w="5124"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1.21%</w:t>
            </w:r>
          </w:p>
        </w:tc>
      </w:tr>
      <w:tr w:rsidR="00FE7E3C" w:rsidRPr="003E0CE0" w:rsidTr="00FE7E3C">
        <w:trPr>
          <w:trHeight w:val="312"/>
        </w:trPr>
        <w:tc>
          <w:tcPr>
            <w:tcW w:w="3256"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吉林</w:t>
            </w:r>
          </w:p>
        </w:tc>
        <w:tc>
          <w:tcPr>
            <w:tcW w:w="5124"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1.21%</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天津</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1.05%</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云南</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0.98%</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内蒙古</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0.78%</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新疆</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0.60%</w:t>
            </w:r>
          </w:p>
        </w:tc>
      </w:tr>
      <w:tr w:rsidR="00FE7E3C" w:rsidRPr="003E0CE0" w:rsidTr="00FE7E3C">
        <w:trPr>
          <w:trHeight w:val="312"/>
        </w:trPr>
        <w:tc>
          <w:tcPr>
            <w:tcW w:w="3256"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海南</w:t>
            </w:r>
          </w:p>
        </w:tc>
        <w:tc>
          <w:tcPr>
            <w:tcW w:w="5124"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0.47%</w:t>
            </w:r>
          </w:p>
        </w:tc>
      </w:tr>
      <w:tr w:rsidR="00FE7E3C" w:rsidRPr="003E0CE0" w:rsidTr="00FE7E3C">
        <w:trPr>
          <w:trHeight w:val="312"/>
        </w:trPr>
        <w:tc>
          <w:tcPr>
            <w:tcW w:w="3256"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甘肃</w:t>
            </w:r>
          </w:p>
        </w:tc>
        <w:tc>
          <w:tcPr>
            <w:tcW w:w="5124" w:type="dxa"/>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0.47%</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贵州</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0.44%</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宁夏</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0.28%</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青海</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0.18%</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西藏</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0.13%</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其他</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hint="eastAsia"/>
                <w:kern w:val="0"/>
                <w:sz w:val="18"/>
                <w:szCs w:val="18"/>
              </w:rPr>
              <w:t xml:space="preserve">  </w:t>
            </w:r>
            <w:r w:rsidRPr="003E0CE0">
              <w:rPr>
                <w:rFonts w:ascii="微软雅黑" w:eastAsia="微软雅黑" w:hAnsi="微软雅黑"/>
                <w:kern w:val="0"/>
                <w:sz w:val="18"/>
                <w:szCs w:val="18"/>
              </w:rPr>
              <w:t>8.93%</w:t>
            </w:r>
          </w:p>
        </w:tc>
      </w:tr>
      <w:tr w:rsidR="00FE7E3C" w:rsidRPr="003E0CE0" w:rsidTr="00FE7E3C">
        <w:trPr>
          <w:trHeight w:val="312"/>
        </w:trPr>
        <w:tc>
          <w:tcPr>
            <w:tcW w:w="3256"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合计</w:t>
            </w:r>
          </w:p>
        </w:tc>
        <w:tc>
          <w:tcPr>
            <w:tcW w:w="5124" w:type="dxa"/>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kern w:val="0"/>
                <w:sz w:val="18"/>
                <w:szCs w:val="18"/>
              </w:rPr>
            </w:pPr>
            <w:r w:rsidRPr="003E0CE0">
              <w:rPr>
                <w:rFonts w:ascii="微软雅黑" w:eastAsia="微软雅黑" w:hAnsi="微软雅黑"/>
                <w:kern w:val="0"/>
                <w:sz w:val="18"/>
                <w:szCs w:val="18"/>
              </w:rPr>
              <w:t>100.00%</w:t>
            </w:r>
          </w:p>
        </w:tc>
      </w:tr>
    </w:tbl>
    <w:p w:rsidR="00FB4F21" w:rsidRPr="00CA14F3" w:rsidRDefault="00FB4F21" w:rsidP="00FB4F21">
      <w:pPr>
        <w:autoSpaceDE w:val="0"/>
        <w:autoSpaceDN w:val="0"/>
        <w:adjustRightInd w:val="0"/>
        <w:spacing w:line="400" w:lineRule="exact"/>
        <w:jc w:val="left"/>
        <w:rPr>
          <w:rFonts w:ascii="微软雅黑" w:eastAsia="微软雅黑" w:hAnsi="微软雅黑"/>
          <w:bCs/>
          <w:i/>
          <w:sz w:val="18"/>
          <w:szCs w:val="18"/>
        </w:rPr>
      </w:pPr>
      <w:r w:rsidRPr="00CA14F3">
        <w:rPr>
          <w:rFonts w:ascii="微软雅黑" w:eastAsia="微软雅黑" w:hAnsi="微软雅黑" w:hint="eastAsia"/>
          <w:bCs/>
          <w:i/>
          <w:sz w:val="18"/>
          <w:szCs w:val="18"/>
        </w:rPr>
        <w:t>数据来源：</w:t>
      </w:r>
      <w:r w:rsidRPr="00CA14F3">
        <w:rPr>
          <w:rFonts w:ascii="微软雅黑" w:eastAsia="微软雅黑" w:hAnsi="微软雅黑"/>
          <w:bCs/>
          <w:i/>
          <w:sz w:val="18"/>
          <w:szCs w:val="18"/>
        </w:rPr>
        <w:t>APNIC</w:t>
      </w:r>
      <w:r w:rsidRPr="00CA14F3">
        <w:rPr>
          <w:rFonts w:ascii="微软雅黑" w:eastAsia="微软雅黑" w:hAnsi="微软雅黑" w:hint="eastAsia"/>
          <w:bCs/>
          <w:i/>
          <w:sz w:val="18"/>
          <w:szCs w:val="18"/>
        </w:rPr>
        <w:t>、中国互联网络信息中心（</w:t>
      </w:r>
      <w:r w:rsidRPr="00CA14F3">
        <w:rPr>
          <w:rFonts w:ascii="微软雅黑" w:eastAsia="微软雅黑" w:hAnsi="微软雅黑"/>
          <w:bCs/>
          <w:i/>
          <w:sz w:val="18"/>
          <w:szCs w:val="18"/>
        </w:rPr>
        <w:t>CNNIC</w:t>
      </w:r>
      <w:r w:rsidRPr="00CA14F3">
        <w:rPr>
          <w:rFonts w:ascii="微软雅黑" w:eastAsia="微软雅黑" w:hAnsi="微软雅黑" w:hint="eastAsia"/>
          <w:bCs/>
          <w:i/>
          <w:sz w:val="18"/>
          <w:szCs w:val="18"/>
        </w:rPr>
        <w:t>）</w:t>
      </w:r>
    </w:p>
    <w:p w:rsidR="00FB4F21" w:rsidRPr="00CA14F3" w:rsidRDefault="00FB4F21" w:rsidP="00FB4F21">
      <w:pPr>
        <w:autoSpaceDE w:val="0"/>
        <w:autoSpaceDN w:val="0"/>
        <w:adjustRightInd w:val="0"/>
        <w:spacing w:line="400" w:lineRule="exact"/>
        <w:jc w:val="left"/>
        <w:rPr>
          <w:rFonts w:ascii="微软雅黑" w:eastAsia="微软雅黑" w:hAnsi="微软雅黑"/>
          <w:bCs/>
          <w:i/>
          <w:sz w:val="18"/>
          <w:szCs w:val="18"/>
        </w:rPr>
      </w:pPr>
      <w:r w:rsidRPr="00CA14F3">
        <w:rPr>
          <w:rFonts w:ascii="微软雅黑" w:eastAsia="微软雅黑" w:hAnsi="微软雅黑" w:hint="eastAsia"/>
          <w:bCs/>
          <w:i/>
          <w:sz w:val="18"/>
          <w:szCs w:val="18"/>
        </w:rPr>
        <w:t>注</w:t>
      </w:r>
      <w:r w:rsidRPr="00CA14F3">
        <w:rPr>
          <w:rFonts w:ascii="微软雅黑" w:eastAsia="微软雅黑" w:hAnsi="微软雅黑"/>
          <w:bCs/>
          <w:i/>
          <w:sz w:val="18"/>
          <w:szCs w:val="18"/>
        </w:rPr>
        <w:t>1</w:t>
      </w:r>
      <w:r w:rsidRPr="00CA14F3">
        <w:rPr>
          <w:rFonts w:ascii="微软雅黑" w:eastAsia="微软雅黑" w:hAnsi="微软雅黑" w:hint="eastAsia"/>
          <w:bCs/>
          <w:i/>
          <w:sz w:val="18"/>
          <w:szCs w:val="18"/>
        </w:rPr>
        <w:t>：以上统计的是</w:t>
      </w:r>
      <w:r w:rsidRPr="00CA14F3">
        <w:rPr>
          <w:rFonts w:ascii="微软雅黑" w:eastAsia="微软雅黑" w:hAnsi="微软雅黑"/>
          <w:bCs/>
          <w:i/>
          <w:sz w:val="18"/>
          <w:szCs w:val="18"/>
        </w:rPr>
        <w:t>IP</w:t>
      </w:r>
      <w:r w:rsidRPr="00CA14F3">
        <w:rPr>
          <w:rFonts w:ascii="微软雅黑" w:eastAsia="微软雅黑" w:hAnsi="微软雅黑" w:hint="eastAsia"/>
          <w:bCs/>
          <w:i/>
          <w:sz w:val="18"/>
          <w:szCs w:val="18"/>
        </w:rPr>
        <w:t>地址所有者所在省份。</w:t>
      </w:r>
    </w:p>
    <w:p w:rsidR="00FB4F21" w:rsidRDefault="00FB4F21" w:rsidP="00CA14F3">
      <w:pPr>
        <w:autoSpaceDE w:val="0"/>
        <w:autoSpaceDN w:val="0"/>
        <w:adjustRightInd w:val="0"/>
        <w:spacing w:line="400" w:lineRule="exact"/>
        <w:jc w:val="left"/>
        <w:rPr>
          <w:rFonts w:ascii="微软雅黑" w:eastAsia="微软雅黑" w:hAnsi="微软雅黑"/>
          <w:bCs/>
          <w:i/>
          <w:sz w:val="18"/>
          <w:szCs w:val="18"/>
        </w:rPr>
      </w:pPr>
      <w:r w:rsidRPr="00CA14F3">
        <w:rPr>
          <w:rFonts w:ascii="微软雅黑" w:eastAsia="微软雅黑" w:hAnsi="微软雅黑" w:hint="eastAsia"/>
          <w:bCs/>
          <w:i/>
          <w:sz w:val="18"/>
          <w:szCs w:val="18"/>
        </w:rPr>
        <w:t>注</w:t>
      </w:r>
      <w:r w:rsidRPr="00CA14F3">
        <w:rPr>
          <w:rFonts w:ascii="微软雅黑" w:eastAsia="微软雅黑" w:hAnsi="微软雅黑"/>
          <w:bCs/>
          <w:i/>
          <w:sz w:val="18"/>
          <w:szCs w:val="18"/>
        </w:rPr>
        <w:t>2</w:t>
      </w:r>
      <w:r w:rsidRPr="00CA14F3">
        <w:rPr>
          <w:rFonts w:ascii="微软雅黑" w:eastAsia="微软雅黑" w:hAnsi="微软雅黑" w:hint="eastAsia"/>
          <w:bCs/>
          <w:i/>
          <w:sz w:val="18"/>
          <w:szCs w:val="18"/>
        </w:rPr>
        <w:t>：以上数据统计</w:t>
      </w:r>
      <w:r w:rsidR="008665F3">
        <w:rPr>
          <w:rFonts w:ascii="微软雅黑" w:eastAsia="微软雅黑" w:hAnsi="微软雅黑" w:hint="eastAsia"/>
          <w:bCs/>
          <w:i/>
          <w:sz w:val="18"/>
          <w:szCs w:val="18"/>
        </w:rPr>
        <w:t>截至</w:t>
      </w:r>
      <w:r w:rsidRPr="00CA14F3">
        <w:rPr>
          <w:rFonts w:ascii="微软雅黑" w:eastAsia="微软雅黑" w:hAnsi="微软雅黑" w:hint="eastAsia"/>
          <w:bCs/>
          <w:i/>
          <w:sz w:val="18"/>
          <w:szCs w:val="18"/>
        </w:rPr>
        <w:t>日为</w:t>
      </w:r>
      <w:r w:rsidRPr="00CA14F3">
        <w:rPr>
          <w:rFonts w:ascii="微软雅黑" w:eastAsia="微软雅黑" w:hAnsi="微软雅黑"/>
          <w:bCs/>
          <w:i/>
          <w:sz w:val="18"/>
          <w:szCs w:val="18"/>
        </w:rPr>
        <w:t>201</w:t>
      </w:r>
      <w:r w:rsidR="00FE7E3C">
        <w:rPr>
          <w:rFonts w:ascii="微软雅黑" w:eastAsia="微软雅黑" w:hAnsi="微软雅黑" w:hint="eastAsia"/>
          <w:bCs/>
          <w:i/>
          <w:sz w:val="18"/>
          <w:szCs w:val="18"/>
        </w:rPr>
        <w:t>7</w:t>
      </w:r>
      <w:r w:rsidRPr="00CA14F3">
        <w:rPr>
          <w:rFonts w:ascii="微软雅黑" w:eastAsia="微软雅黑" w:hAnsi="微软雅黑" w:hint="eastAsia"/>
          <w:bCs/>
          <w:i/>
          <w:sz w:val="18"/>
          <w:szCs w:val="18"/>
        </w:rPr>
        <w:t>年</w:t>
      </w:r>
      <w:r w:rsidRPr="00CA14F3">
        <w:rPr>
          <w:rFonts w:ascii="微软雅黑" w:eastAsia="微软雅黑" w:hAnsi="微软雅黑"/>
          <w:bCs/>
          <w:i/>
          <w:sz w:val="18"/>
          <w:szCs w:val="18"/>
        </w:rPr>
        <w:t>12</w:t>
      </w:r>
      <w:r w:rsidRPr="00CA14F3">
        <w:rPr>
          <w:rFonts w:ascii="微软雅黑" w:eastAsia="微软雅黑" w:hAnsi="微软雅黑" w:hint="eastAsia"/>
          <w:bCs/>
          <w:i/>
          <w:sz w:val="18"/>
          <w:szCs w:val="18"/>
        </w:rPr>
        <w:t>月</w:t>
      </w:r>
      <w:r w:rsidRPr="00CA14F3">
        <w:rPr>
          <w:rFonts w:ascii="微软雅黑" w:eastAsia="微软雅黑" w:hAnsi="微软雅黑"/>
          <w:bCs/>
          <w:i/>
          <w:sz w:val="18"/>
          <w:szCs w:val="18"/>
        </w:rPr>
        <w:t>31</w:t>
      </w:r>
      <w:r w:rsidRPr="00CA14F3">
        <w:rPr>
          <w:rFonts w:ascii="微软雅黑" w:eastAsia="微软雅黑" w:hAnsi="微软雅黑" w:hint="eastAsia"/>
          <w:bCs/>
          <w:i/>
          <w:sz w:val="18"/>
          <w:szCs w:val="18"/>
        </w:rPr>
        <w:t>日</w:t>
      </w:r>
    </w:p>
    <w:p w:rsidR="00CA2950" w:rsidRDefault="00CA2950" w:rsidP="00CA14F3">
      <w:pPr>
        <w:autoSpaceDE w:val="0"/>
        <w:autoSpaceDN w:val="0"/>
        <w:adjustRightInd w:val="0"/>
        <w:spacing w:line="400" w:lineRule="exact"/>
        <w:jc w:val="left"/>
        <w:rPr>
          <w:rFonts w:ascii="微软雅黑" w:eastAsia="微软雅黑" w:hAnsi="微软雅黑"/>
          <w:bCs/>
          <w:i/>
          <w:sz w:val="18"/>
          <w:szCs w:val="18"/>
        </w:rPr>
      </w:pPr>
      <w:r>
        <w:rPr>
          <w:rFonts w:ascii="微软雅黑" w:eastAsia="微软雅黑" w:hAnsi="微软雅黑"/>
          <w:bCs/>
          <w:i/>
          <w:sz w:val="18"/>
          <w:szCs w:val="18"/>
        </w:rPr>
        <w:br w:type="page"/>
      </w:r>
    </w:p>
    <w:p w:rsidR="00FB4F21" w:rsidRPr="00636B55" w:rsidRDefault="00C376C8" w:rsidP="00CA14F3">
      <w:pPr>
        <w:spacing w:line="400" w:lineRule="exact"/>
        <w:outlineLvl w:val="2"/>
        <w:rPr>
          <w:rFonts w:ascii="微软雅黑" w:eastAsia="微软雅黑" w:hAnsi="微软雅黑"/>
          <w:b/>
          <w:szCs w:val="21"/>
        </w:rPr>
      </w:pPr>
      <w:bookmarkStart w:id="455" w:name="_Toc485132181"/>
      <w:bookmarkStart w:id="456" w:name="_Toc524418081"/>
      <w:r>
        <w:rPr>
          <w:rFonts w:ascii="微软雅黑" w:eastAsia="微软雅黑" w:hAnsi="微软雅黑" w:hint="eastAsia"/>
          <w:b/>
          <w:szCs w:val="21"/>
        </w:rPr>
        <w:t>（二）</w:t>
      </w:r>
      <w:r w:rsidR="00FB4F21" w:rsidRPr="00C376C8">
        <w:rPr>
          <w:rFonts w:ascii="微软雅黑" w:eastAsia="微软雅黑" w:hAnsi="微软雅黑" w:hint="eastAsia"/>
          <w:b/>
          <w:szCs w:val="21"/>
        </w:rPr>
        <w:t>分省域名数、分省</w:t>
      </w:r>
      <w:r w:rsidR="00FB4F21" w:rsidRPr="00C376C8">
        <w:rPr>
          <w:rFonts w:ascii="微软雅黑" w:eastAsia="微软雅黑" w:hAnsi="微软雅黑"/>
          <w:b/>
          <w:szCs w:val="21"/>
        </w:rPr>
        <w:t>.CN</w:t>
      </w:r>
      <w:r w:rsidR="00FB4F21" w:rsidRPr="00636B55">
        <w:rPr>
          <w:rFonts w:ascii="微软雅黑" w:eastAsia="微软雅黑" w:hAnsi="微软雅黑" w:hint="eastAsia"/>
          <w:b/>
          <w:szCs w:val="21"/>
        </w:rPr>
        <w:t>域名数、分省</w:t>
      </w:r>
      <w:r w:rsidR="00FB4F21" w:rsidRPr="00636B55">
        <w:rPr>
          <w:rFonts w:ascii="微软雅黑" w:eastAsia="微软雅黑" w:hAnsi="微软雅黑"/>
          <w:b/>
          <w:szCs w:val="21"/>
        </w:rPr>
        <w:t>.</w:t>
      </w:r>
      <w:r w:rsidR="00FB4F21" w:rsidRPr="00636B55">
        <w:rPr>
          <w:rFonts w:ascii="微软雅黑" w:eastAsia="微软雅黑" w:hAnsi="微软雅黑" w:hint="eastAsia"/>
          <w:b/>
          <w:szCs w:val="21"/>
        </w:rPr>
        <w:t>中国域名数</w:t>
      </w:r>
      <w:bookmarkEnd w:id="455"/>
      <w:bookmarkEnd w:id="4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3"/>
        <w:gridCol w:w="1354"/>
        <w:gridCol w:w="1276"/>
        <w:gridCol w:w="1276"/>
        <w:gridCol w:w="1277"/>
        <w:gridCol w:w="1109"/>
        <w:gridCol w:w="1353"/>
      </w:tblGrid>
      <w:tr w:rsidR="00FE7E3C" w:rsidRPr="003E0CE0" w:rsidTr="00FE7E3C">
        <w:trPr>
          <w:trHeight w:val="345"/>
        </w:trPr>
        <w:tc>
          <w:tcPr>
            <w:tcW w:w="517" w:type="pct"/>
            <w:vMerge w:val="restar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省份</w:t>
            </w:r>
          </w:p>
        </w:tc>
        <w:tc>
          <w:tcPr>
            <w:tcW w:w="1542" w:type="pct"/>
            <w:gridSpan w:val="2"/>
            <w:vMerge w:val="restart"/>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域名</w:t>
            </w:r>
          </w:p>
        </w:tc>
        <w:tc>
          <w:tcPr>
            <w:tcW w:w="1497" w:type="pct"/>
            <w:gridSpan w:val="2"/>
            <w:shd w:val="clear" w:color="auto" w:fill="auto"/>
            <w:noWrap/>
            <w:vAlign w:val="center"/>
          </w:tcPr>
          <w:p w:rsidR="00FE7E3C" w:rsidRPr="003E0CE0" w:rsidRDefault="00FE7E3C" w:rsidP="00FE7E3C">
            <w:pPr>
              <w:widowControl/>
              <w:spacing w:line="240" w:lineRule="exact"/>
              <w:jc w:val="left"/>
              <w:rPr>
                <w:rFonts w:ascii="微软雅黑" w:eastAsia="微软雅黑" w:hAnsi="微软雅黑"/>
                <w:color w:val="000000"/>
                <w:kern w:val="0"/>
                <w:sz w:val="18"/>
                <w:szCs w:val="18"/>
              </w:rPr>
            </w:pPr>
          </w:p>
        </w:tc>
        <w:tc>
          <w:tcPr>
            <w:tcW w:w="1443" w:type="pct"/>
            <w:gridSpan w:val="2"/>
            <w:tcBorders>
              <w:right w:val="nil"/>
            </w:tcBorders>
            <w:shd w:val="clear" w:color="auto" w:fill="auto"/>
            <w:noWrap/>
            <w:vAlign w:val="center"/>
          </w:tcPr>
          <w:p w:rsidR="00FE7E3C" w:rsidRPr="003E0CE0" w:rsidRDefault="00FE7E3C" w:rsidP="00FE7E3C">
            <w:pPr>
              <w:widowControl/>
              <w:spacing w:line="240" w:lineRule="exact"/>
              <w:jc w:val="left"/>
              <w:rPr>
                <w:rFonts w:ascii="微软雅黑" w:eastAsia="微软雅黑" w:hAnsi="微软雅黑"/>
                <w:color w:val="000000"/>
                <w:kern w:val="0"/>
                <w:sz w:val="18"/>
                <w:szCs w:val="18"/>
              </w:rPr>
            </w:pPr>
          </w:p>
        </w:tc>
      </w:tr>
      <w:tr w:rsidR="00FE7E3C" w:rsidRPr="003E0CE0" w:rsidTr="00FE7E3C">
        <w:trPr>
          <w:trHeight w:val="345"/>
        </w:trPr>
        <w:tc>
          <w:tcPr>
            <w:tcW w:w="517" w:type="pct"/>
            <w:vMerge/>
            <w:tcBorders>
              <w:left w:val="nil"/>
            </w:tcBorders>
            <w:vAlign w:val="center"/>
            <w:hideMark/>
          </w:tcPr>
          <w:p w:rsidR="00FE7E3C" w:rsidRPr="003E0CE0" w:rsidRDefault="00FE7E3C" w:rsidP="00FE7E3C">
            <w:pPr>
              <w:spacing w:line="240" w:lineRule="exact"/>
              <w:jc w:val="center"/>
              <w:rPr>
                <w:rFonts w:ascii="微软雅黑" w:eastAsia="微软雅黑" w:hAnsi="微软雅黑"/>
                <w:color w:val="000000"/>
                <w:kern w:val="0"/>
                <w:sz w:val="18"/>
                <w:szCs w:val="18"/>
              </w:rPr>
            </w:pPr>
          </w:p>
        </w:tc>
        <w:tc>
          <w:tcPr>
            <w:tcW w:w="1542" w:type="pct"/>
            <w:gridSpan w:val="2"/>
            <w:vMerge/>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p>
        </w:tc>
        <w:tc>
          <w:tcPr>
            <w:tcW w:w="1497" w:type="pct"/>
            <w:gridSpan w:val="2"/>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其中：.CN域名</w:t>
            </w:r>
          </w:p>
        </w:tc>
        <w:tc>
          <w:tcPr>
            <w:tcW w:w="1443" w:type="pct"/>
            <w:gridSpan w:val="2"/>
            <w:tcBorders>
              <w:righ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其中：.中国域名</w:t>
            </w:r>
          </w:p>
        </w:tc>
      </w:tr>
      <w:tr w:rsidR="00FE7E3C" w:rsidRPr="003E0CE0" w:rsidTr="00FE7E3C">
        <w:trPr>
          <w:trHeight w:val="690"/>
        </w:trPr>
        <w:tc>
          <w:tcPr>
            <w:tcW w:w="517" w:type="pct"/>
            <w:vMerge/>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p>
        </w:tc>
        <w:tc>
          <w:tcPr>
            <w:tcW w:w="794" w:type="pct"/>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数量（个）</w:t>
            </w:r>
          </w:p>
        </w:tc>
        <w:tc>
          <w:tcPr>
            <w:tcW w:w="748" w:type="pct"/>
            <w:shd w:val="clear" w:color="auto" w:fill="auto"/>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占域名</w:t>
            </w:r>
          </w:p>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总数比例</w:t>
            </w:r>
          </w:p>
        </w:tc>
        <w:tc>
          <w:tcPr>
            <w:tcW w:w="748" w:type="pct"/>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数量（个）</w:t>
            </w:r>
          </w:p>
        </w:tc>
        <w:tc>
          <w:tcPr>
            <w:tcW w:w="749" w:type="pct"/>
            <w:shd w:val="clear" w:color="auto" w:fill="auto"/>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占.CN域名</w:t>
            </w:r>
          </w:p>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总数比例</w:t>
            </w:r>
          </w:p>
        </w:tc>
        <w:tc>
          <w:tcPr>
            <w:tcW w:w="650" w:type="pct"/>
            <w:shd w:val="clear" w:color="auto" w:fill="auto"/>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数量（个）</w:t>
            </w:r>
          </w:p>
        </w:tc>
        <w:tc>
          <w:tcPr>
            <w:tcW w:w="793" w:type="pct"/>
            <w:tcBorders>
              <w:righ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占.中国域名</w:t>
            </w:r>
          </w:p>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总数比例</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福建</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8824912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22.9%</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5820350</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27.9%</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1496239</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78.9%</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北京</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537574</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14.0%</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2752795</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13.2%</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201121</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10.6%</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广东</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3978682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1520838</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7.3%</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28764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1.5%</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上海</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2405562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6.3%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1437350</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6.9%</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21524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浙江</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2075633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5.4%</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1166955</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5.6%</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12120</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0.6%</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江苏</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1616149</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609358</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2.9%</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13801</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0.7%</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河南</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1231752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559891</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2.7%</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5220</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0.3%</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山东</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1196463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3.1%</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447051</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2.1%</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16429</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0.9%</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四川</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1183839</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3.1%</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494879</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2.4%</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10962</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0.6%</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湖南</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1124496</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2.9%</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719366</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3.5%</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3194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湖北</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789674</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2.1%</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406515</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2.0%</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4489</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安徽</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721542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1.9%</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261928</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1.3%</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3024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河北</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637602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1.7%</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229761</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6282</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0.3%</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广西</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528885</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1.4%</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334905</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1.6%</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2412</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辽宁</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474958</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181654</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0.9%</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7656</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0.4%</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重庆</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437663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213864</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5474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0.3%</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陕西</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396283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166753</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0.8%</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4.597</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海南</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385853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323246</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1.6%</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452</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0.0%</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江西</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33293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0.9%</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159217</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0.8%</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9005</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0.5%</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天津</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265043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0.7%</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98504</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0.5%</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2361</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贵州</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254716</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0.7%</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144022</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0.7%</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1794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吉林</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246436</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0.6%</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134992</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0.6%</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2055</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山西</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244481</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0.6%</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107905</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0.5%</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2268</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云南</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233410</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0.6%</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99283</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0.5%</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4998</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0.3%</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黑龙江</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201075</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0.5%</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74856</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0.4%</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7654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0.4%</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甘肃</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116618</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49167</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603</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0.0%</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内蒙古</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99292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0.3%</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43796</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1799</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新疆</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82352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32374</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0.2%</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798</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0.0%</w:t>
            </w:r>
          </w:p>
        </w:tc>
      </w:tr>
      <w:tr w:rsidR="00FE7E3C" w:rsidRPr="003E0CE0" w:rsidTr="00FE7E3C">
        <w:trPr>
          <w:trHeight w:val="345"/>
        </w:trPr>
        <w:tc>
          <w:tcPr>
            <w:tcW w:w="517" w:type="pct"/>
            <w:tcBorders>
              <w:left w:val="nil"/>
            </w:tcBorders>
            <w:shd w:val="clear" w:color="auto" w:fill="auto"/>
            <w:noWrap/>
            <w:vAlign w:val="center"/>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宁夏</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32747</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14713</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1200</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青海</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20124</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4034</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0.0%</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141</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0.0</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西藏</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17882</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0.0%</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12684</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0.1%</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264</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0.0</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其他</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2949364</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7.7%</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2222507</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10.7%</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17045</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0.9</w:t>
            </w:r>
          </w:p>
        </w:tc>
      </w:tr>
      <w:tr w:rsidR="00FE7E3C" w:rsidRPr="003E0CE0" w:rsidTr="00FE7E3C">
        <w:trPr>
          <w:trHeight w:val="345"/>
        </w:trPr>
        <w:tc>
          <w:tcPr>
            <w:tcW w:w="517" w:type="pct"/>
            <w:tcBorders>
              <w:left w:val="nil"/>
            </w:tcBorders>
            <w:shd w:val="clear" w:color="auto" w:fill="auto"/>
            <w:noWrap/>
            <w:vAlign w:val="center"/>
            <w:hideMark/>
          </w:tcPr>
          <w:p w:rsidR="00FE7E3C" w:rsidRPr="003E0CE0" w:rsidRDefault="00FE7E3C" w:rsidP="00FE7E3C">
            <w:pPr>
              <w:widowControl/>
              <w:spacing w:line="240" w:lineRule="exact"/>
              <w:jc w:val="center"/>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合计</w:t>
            </w:r>
          </w:p>
        </w:tc>
        <w:tc>
          <w:tcPr>
            <w:tcW w:w="794"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38480355</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100.0%</w:t>
            </w:r>
          </w:p>
        </w:tc>
        <w:tc>
          <w:tcPr>
            <w:tcW w:w="748"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20845513</w:t>
            </w:r>
          </w:p>
        </w:tc>
        <w:tc>
          <w:tcPr>
            <w:tcW w:w="749"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100.0%</w:t>
            </w:r>
          </w:p>
        </w:tc>
        <w:tc>
          <w:tcPr>
            <w:tcW w:w="650" w:type="pct"/>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1895745</w:t>
            </w:r>
          </w:p>
        </w:tc>
        <w:tc>
          <w:tcPr>
            <w:tcW w:w="793" w:type="pct"/>
            <w:tcBorders>
              <w:right w:val="nil"/>
            </w:tcBorders>
            <w:shd w:val="clear" w:color="auto" w:fill="auto"/>
            <w:noWrap/>
            <w:vAlign w:val="center"/>
          </w:tcPr>
          <w:p w:rsidR="00FE7E3C" w:rsidRPr="003E0CE0" w:rsidRDefault="00FE7E3C" w:rsidP="00FE7E3C">
            <w:pPr>
              <w:widowControl/>
              <w:spacing w:line="240" w:lineRule="exact"/>
              <w:jc w:val="right"/>
              <w:rPr>
                <w:rFonts w:ascii="微软雅黑" w:eastAsia="微软雅黑" w:hAnsi="微软雅黑"/>
                <w:color w:val="000000"/>
                <w:kern w:val="0"/>
                <w:sz w:val="18"/>
                <w:szCs w:val="18"/>
              </w:rPr>
            </w:pPr>
            <w:r w:rsidRPr="003E0CE0">
              <w:rPr>
                <w:rFonts w:ascii="微软雅黑" w:eastAsia="微软雅黑" w:hAnsi="微软雅黑"/>
                <w:color w:val="000000"/>
                <w:kern w:val="0"/>
                <w:sz w:val="18"/>
                <w:szCs w:val="18"/>
              </w:rPr>
              <w:t>100.0%</w:t>
            </w:r>
          </w:p>
        </w:tc>
      </w:tr>
    </w:tbl>
    <w:p w:rsidR="007A6E40" w:rsidRDefault="00FB4F21" w:rsidP="00CA14F3">
      <w:pPr>
        <w:spacing w:line="360" w:lineRule="auto"/>
        <w:rPr>
          <w:rFonts w:ascii="微软雅黑" w:eastAsia="微软雅黑" w:hAnsi="微软雅黑"/>
          <w:b/>
        </w:rPr>
      </w:pPr>
      <w:r w:rsidRPr="00636B55">
        <w:rPr>
          <w:rFonts w:ascii="微软雅黑" w:eastAsia="微软雅黑" w:hAnsi="微软雅黑" w:hint="eastAsia"/>
          <w:bCs/>
          <w:i/>
          <w:sz w:val="18"/>
          <w:szCs w:val="18"/>
        </w:rPr>
        <w:t>注：分省域名总数不含</w:t>
      </w:r>
      <w:r w:rsidRPr="00636B55">
        <w:rPr>
          <w:rFonts w:ascii="微软雅黑" w:eastAsia="微软雅黑" w:hAnsi="微软雅黑"/>
          <w:bCs/>
          <w:i/>
          <w:sz w:val="18"/>
          <w:szCs w:val="18"/>
        </w:rPr>
        <w:t>.EDU.CN</w:t>
      </w:r>
      <w:r w:rsidR="007A6E40">
        <w:rPr>
          <w:rFonts w:ascii="微软雅黑" w:eastAsia="微软雅黑" w:hAnsi="微软雅黑"/>
          <w:b/>
        </w:rPr>
        <w:br w:type="page"/>
      </w:r>
    </w:p>
    <w:p w:rsidR="007A6E40" w:rsidRPr="009D423B" w:rsidRDefault="0087099E" w:rsidP="007A6E40">
      <w:pPr>
        <w:spacing w:line="360" w:lineRule="auto"/>
        <w:outlineLvl w:val="1"/>
        <w:rPr>
          <w:rFonts w:ascii="微软雅黑" w:eastAsia="微软雅黑" w:hAnsi="微软雅黑"/>
          <w:b/>
        </w:rPr>
      </w:pPr>
      <w:bookmarkStart w:id="457" w:name="_Toc524418082"/>
      <w:r>
        <w:rPr>
          <w:rFonts w:ascii="微软雅黑" w:eastAsia="微软雅黑" w:hAnsi="微软雅黑" w:hint="eastAsia"/>
          <w:b/>
        </w:rPr>
        <w:t>五</w:t>
      </w:r>
      <w:r w:rsidR="007A6E40" w:rsidRPr="009D423B">
        <w:rPr>
          <w:rFonts w:ascii="微软雅黑" w:eastAsia="微软雅黑" w:hAnsi="微软雅黑" w:hint="eastAsia"/>
          <w:b/>
        </w:rPr>
        <w:t>、</w:t>
      </w:r>
      <w:r w:rsidR="007A6E40" w:rsidRPr="009D423B">
        <w:rPr>
          <w:rFonts w:ascii="微软雅黑" w:eastAsia="微软雅黑" w:hAnsi="微软雅黑"/>
          <w:b/>
        </w:rPr>
        <w:t>调查方法</w:t>
      </w:r>
      <w:bookmarkEnd w:id="457"/>
    </w:p>
    <w:p w:rsidR="007A6E40" w:rsidRPr="00171AEA" w:rsidRDefault="00C376C8" w:rsidP="000827EF">
      <w:pPr>
        <w:spacing w:before="240" w:line="400" w:lineRule="exact"/>
        <w:outlineLvl w:val="2"/>
        <w:rPr>
          <w:rFonts w:ascii="微软雅黑" w:eastAsia="微软雅黑" w:hAnsi="微软雅黑"/>
          <w:b/>
          <w:szCs w:val="21"/>
        </w:rPr>
      </w:pPr>
      <w:bookmarkStart w:id="458" w:name="_Toc524418083"/>
      <w:r w:rsidRPr="00636B55">
        <w:rPr>
          <w:rFonts w:ascii="微软雅黑" w:eastAsia="微软雅黑" w:hAnsi="微软雅黑" w:hint="eastAsia"/>
          <w:b/>
          <w:szCs w:val="21"/>
        </w:rPr>
        <w:t>（一）</w:t>
      </w:r>
      <w:r w:rsidR="007A6E40" w:rsidRPr="00FD2106">
        <w:rPr>
          <w:rFonts w:ascii="微软雅黑" w:eastAsia="微软雅黑" w:hAnsi="微软雅黑" w:hint="eastAsia"/>
          <w:b/>
          <w:szCs w:val="21"/>
        </w:rPr>
        <w:t>研究术语定义</w:t>
      </w:r>
      <w:bookmarkEnd w:id="458"/>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网民</w:t>
      </w:r>
    </w:p>
    <w:p w:rsidR="00870113" w:rsidRPr="00870113" w:rsidRDefault="00870113" w:rsidP="00870113">
      <w:pPr>
        <w:widowControl/>
        <w:spacing w:line="400" w:lineRule="exact"/>
        <w:ind w:firstLineChars="200" w:firstLine="420"/>
        <w:jc w:val="left"/>
        <w:rPr>
          <w:rFonts w:ascii="微软雅黑" w:eastAsia="微软雅黑" w:hAnsi="微软雅黑"/>
          <w:szCs w:val="21"/>
        </w:rPr>
      </w:pPr>
      <w:r w:rsidRPr="008A7473">
        <w:rPr>
          <w:rFonts w:ascii="微软雅黑" w:eastAsia="微软雅黑" w:hAnsi="微软雅黑"/>
          <w:szCs w:val="21"/>
        </w:rPr>
        <w:t>网民是从网络使用者的行为效果来阐释的概念</w:t>
      </w:r>
      <w:r>
        <w:rPr>
          <w:rFonts w:ascii="微软雅黑" w:eastAsia="微软雅黑" w:hAnsi="微软雅黑" w:hint="eastAsia"/>
          <w:szCs w:val="21"/>
        </w:rPr>
        <w:t>。</w:t>
      </w:r>
      <w:r w:rsidRPr="008A7473">
        <w:rPr>
          <w:rFonts w:ascii="微软雅黑" w:eastAsia="微软雅黑" w:hAnsi="微软雅黑"/>
          <w:szCs w:val="21"/>
        </w:rPr>
        <w:t>通常而言</w:t>
      </w:r>
      <w:r>
        <w:rPr>
          <w:rFonts w:ascii="微软雅黑" w:eastAsia="微软雅黑" w:hAnsi="微软雅黑" w:hint="eastAsia"/>
          <w:szCs w:val="21"/>
        </w:rPr>
        <w:t>，</w:t>
      </w:r>
      <w:r w:rsidRPr="008A7473">
        <w:rPr>
          <w:rFonts w:ascii="微软雅黑" w:eastAsia="微软雅黑" w:hAnsi="微软雅黑"/>
          <w:szCs w:val="21"/>
        </w:rPr>
        <w:t>网络使用者是一个宽泛的概念</w:t>
      </w:r>
      <w:r>
        <w:rPr>
          <w:rFonts w:ascii="微软雅黑" w:eastAsia="微软雅黑" w:hAnsi="微软雅黑" w:hint="eastAsia"/>
          <w:szCs w:val="21"/>
        </w:rPr>
        <w:t>，</w:t>
      </w:r>
      <w:r w:rsidRPr="008A7473">
        <w:rPr>
          <w:rFonts w:ascii="微软雅黑" w:eastAsia="微软雅黑" w:hAnsi="微软雅黑"/>
          <w:szCs w:val="21"/>
        </w:rPr>
        <w:t>包括</w:t>
      </w:r>
      <w:r>
        <w:rPr>
          <w:rFonts w:ascii="微软雅黑" w:eastAsia="微软雅黑" w:hAnsi="微软雅黑"/>
          <w:szCs w:val="21"/>
        </w:rPr>
        <w:t>通过</w:t>
      </w:r>
      <w:r w:rsidRPr="008A7473">
        <w:rPr>
          <w:rFonts w:ascii="微软雅黑" w:eastAsia="微软雅黑" w:hAnsi="微软雅黑"/>
          <w:szCs w:val="21"/>
        </w:rPr>
        <w:t>计算机、移动设备</w:t>
      </w:r>
      <w:r>
        <w:rPr>
          <w:rFonts w:ascii="微软雅黑" w:eastAsia="微软雅黑" w:hAnsi="微软雅黑"/>
          <w:szCs w:val="21"/>
        </w:rPr>
        <w:t>等</w:t>
      </w:r>
      <w:r w:rsidRPr="008A7473">
        <w:rPr>
          <w:rFonts w:ascii="微软雅黑" w:eastAsia="微软雅黑" w:hAnsi="微软雅黑"/>
          <w:szCs w:val="21"/>
        </w:rPr>
        <w:t>终端连接上互联网进行网络活动的人</w:t>
      </w:r>
      <w:r>
        <w:rPr>
          <w:rFonts w:ascii="微软雅黑" w:eastAsia="微软雅黑" w:hAnsi="微软雅黑" w:hint="eastAsia"/>
          <w:szCs w:val="21"/>
        </w:rPr>
        <w:t>。而“网民”则是</w:t>
      </w:r>
      <w:r w:rsidRPr="008A7473">
        <w:rPr>
          <w:rFonts w:ascii="微软雅黑" w:eastAsia="微软雅黑" w:hAnsi="微软雅黑"/>
          <w:szCs w:val="21"/>
        </w:rPr>
        <w:t>在个体自我意识上、对使用网络的态度上、网络活动的特征上</w:t>
      </w:r>
      <w:r>
        <w:rPr>
          <w:rFonts w:ascii="微软雅黑" w:eastAsia="微软雅黑" w:hAnsi="微软雅黑" w:hint="eastAsia"/>
          <w:szCs w:val="21"/>
        </w:rPr>
        <w:t>，</w:t>
      </w:r>
      <w:r w:rsidRPr="008A7473">
        <w:rPr>
          <w:rFonts w:ascii="微软雅黑" w:eastAsia="微软雅黑" w:hAnsi="微软雅黑"/>
          <w:szCs w:val="21"/>
        </w:rPr>
        <w:t>以及网络活动的行为效果上等表现出一定特点的使用者。</w:t>
      </w:r>
      <w:r>
        <w:rPr>
          <w:rFonts w:ascii="微软雅黑" w:eastAsia="微软雅黑" w:hAnsi="微软雅黑"/>
          <w:szCs w:val="21"/>
        </w:rPr>
        <w:t>按照常规定义</w:t>
      </w:r>
      <w:r>
        <w:rPr>
          <w:rFonts w:ascii="微软雅黑" w:eastAsia="微软雅黑" w:hAnsi="微软雅黑" w:hint="eastAsia"/>
          <w:szCs w:val="21"/>
        </w:rPr>
        <w:t>，</w:t>
      </w:r>
      <w:r>
        <w:rPr>
          <w:rFonts w:ascii="微软雅黑" w:eastAsia="微软雅黑" w:hAnsi="微软雅黑"/>
          <w:szCs w:val="21"/>
        </w:rPr>
        <w:t>网民是指</w:t>
      </w:r>
      <w:r w:rsidRPr="008A7473">
        <w:rPr>
          <w:rFonts w:ascii="微软雅黑" w:eastAsia="微软雅黑" w:hAnsi="微软雅黑" w:hint="eastAsia"/>
          <w:szCs w:val="21"/>
        </w:rPr>
        <w:t>半年内使用过互联网的6周岁及以上中国公民</w:t>
      </w:r>
      <w:r>
        <w:rPr>
          <w:rFonts w:ascii="微软雅黑" w:eastAsia="微软雅黑" w:hAnsi="微软雅黑" w:hint="eastAsia"/>
          <w:szCs w:val="21"/>
        </w:rPr>
        <w:t>，泛指通过PC（包括台式机和笔记本电脑）和各类移动智能终端设备（包括手机、PAD等）的</w:t>
      </w:r>
      <w:r w:rsidRPr="008A7473">
        <w:rPr>
          <w:rFonts w:ascii="微软雅黑" w:eastAsia="微软雅黑" w:hAnsi="微软雅黑"/>
          <w:szCs w:val="21"/>
        </w:rPr>
        <w:t>网络使用者</w:t>
      </w:r>
      <w:r>
        <w:rPr>
          <w:rFonts w:ascii="微软雅黑" w:eastAsia="微软雅黑" w:hAnsi="微软雅黑" w:hint="eastAsia"/>
          <w:szCs w:val="21"/>
        </w:rPr>
        <w:t>。</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IP地址</w:t>
      </w:r>
    </w:p>
    <w:p w:rsidR="00C376C8" w:rsidRPr="003E0CE0"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IP地址的作用是标识上网计算机、服务器或者网络中的其他设备，是互联网中的基础资源，只有获得IP地址（无论以何种形式存在），才能和互联网相连。</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域名</w:t>
      </w:r>
    </w:p>
    <w:p w:rsidR="00C376C8" w:rsidRPr="003E0CE0"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本报告中仅指英文域名，是指由点（.）分割、仅由数字、英文字母和连字符（-）组成的字串，是与IP地址相对应的层次结构式互联网地址标识。常见的域名分为两类：一类是国家或地区顶级域名（ccTLD），如以 .CN结尾的域名代表中国；一类是类别顶级域名（gTLD），如以.COM，.NET，.ORG结尾的域名等。</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网站</w:t>
      </w:r>
    </w:p>
    <w:p w:rsidR="00C376C8" w:rsidRPr="003E0CE0"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是指以域名本身或者“www.+域名”为网址的web站点，其中包括中国的国家顶级域名.cn和类别顶级域名（gTLD）下的web站点，该域名的注册者位于中国境内。</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覆盖人数</w:t>
      </w:r>
    </w:p>
    <w:p w:rsidR="002F41AF" w:rsidRDefault="00C376C8" w:rsidP="000827EF">
      <w:pPr>
        <w:widowControl/>
        <w:spacing w:before="240" w:line="400" w:lineRule="exact"/>
        <w:ind w:firstLineChars="213" w:firstLine="447"/>
        <w:jc w:val="left"/>
        <w:rPr>
          <w:rFonts w:ascii="微软雅黑" w:eastAsia="微软雅黑" w:hAnsi="微软雅黑"/>
          <w:szCs w:val="21"/>
        </w:rPr>
      </w:pPr>
      <w:r w:rsidRPr="003E0CE0">
        <w:rPr>
          <w:rFonts w:ascii="微软雅黑" w:eastAsia="微软雅黑" w:hAnsi="微软雅黑"/>
          <w:szCs w:val="21"/>
        </w:rPr>
        <w:t>该网站独立访问用户数，用户重复访问只计1人。</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访问次数</w:t>
      </w:r>
    </w:p>
    <w:p w:rsidR="00C376C8"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用户访问该网站的次数。关于“次数”的解释：用户访问该网站比前一次访问的时间间隔超过30分钟，访问次数加1次，在30分钟之内连续访问该网站页面，只算1次。</w:t>
      </w:r>
    </w:p>
    <w:p w:rsidR="00870113" w:rsidRPr="003E0CE0" w:rsidRDefault="00870113" w:rsidP="000827EF">
      <w:pPr>
        <w:widowControl/>
        <w:spacing w:before="240" w:line="400" w:lineRule="exact"/>
        <w:ind w:firstLineChars="200" w:firstLine="420"/>
        <w:jc w:val="left"/>
        <w:rPr>
          <w:rFonts w:ascii="微软雅黑" w:eastAsia="微软雅黑" w:hAnsi="微软雅黑"/>
          <w:szCs w:val="21"/>
        </w:rPr>
      </w:pP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浏览页面数</w:t>
      </w:r>
    </w:p>
    <w:p w:rsidR="00C376C8" w:rsidRPr="003E0CE0"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用户访问该网站时，打开的页面数量。关于“浏览页面数”计算的解释：不同时间打开同一页面也重复统计，单页打开时间小于3秒不计。</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有效浏览时间</w:t>
      </w:r>
    </w:p>
    <w:p w:rsidR="00C376C8" w:rsidRPr="003E0CE0"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用户访问该网站时的有效浏览时间。关于"有效浏览时间"的解释：该网站的页面处于Windows激活状态窗口的时间。一个页面虽然没有关闭，但是不在激活状态，不计入有效浏览时间。单页打开时间小于3秒不计，单页有效浏览时间最长只统计2小时。</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月度覆盖人数</w:t>
      </w:r>
    </w:p>
    <w:p w:rsidR="00C376C8" w:rsidRPr="003E0CE0"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该网站在该月的独立访问用户总数，用户重复访问不重复统计。</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独立设备数</w:t>
      </w:r>
    </w:p>
    <w:p w:rsidR="00C376C8" w:rsidRPr="003E0CE0" w:rsidRDefault="00C376C8" w:rsidP="000827EF">
      <w:pPr>
        <w:widowControl/>
        <w:spacing w:before="240" w:line="400" w:lineRule="exact"/>
        <w:ind w:firstLineChars="213" w:firstLine="447"/>
        <w:jc w:val="left"/>
        <w:rPr>
          <w:rFonts w:ascii="微软雅黑" w:eastAsia="微软雅黑" w:hAnsi="微软雅黑"/>
          <w:szCs w:val="21"/>
        </w:rPr>
      </w:pPr>
      <w:r w:rsidRPr="003E0CE0">
        <w:rPr>
          <w:rFonts w:ascii="微软雅黑" w:eastAsia="微软雅黑" w:hAnsi="微软雅黑"/>
          <w:szCs w:val="21"/>
        </w:rPr>
        <w:t>使用该App的设备总数，单个设备重复使用只计1个。</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单机（Per Device）</w:t>
      </w:r>
    </w:p>
    <w:p w:rsidR="00C376C8" w:rsidRPr="003E0CE0"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平均每个用户的数据指标。</w:t>
      </w:r>
    </w:p>
    <w:p w:rsidR="00C376C8" w:rsidRPr="003E0CE0" w:rsidRDefault="00C376C8" w:rsidP="000827EF">
      <w:pPr>
        <w:numPr>
          <w:ilvl w:val="0"/>
          <w:numId w:val="3"/>
        </w:numPr>
        <w:spacing w:before="240" w:line="400" w:lineRule="exact"/>
        <w:rPr>
          <w:rFonts w:ascii="微软雅黑" w:eastAsia="微软雅黑" w:hAnsi="微软雅黑"/>
          <w:b/>
          <w:szCs w:val="21"/>
        </w:rPr>
      </w:pPr>
      <w:r w:rsidRPr="003E0CE0">
        <w:rPr>
          <w:rFonts w:ascii="微软雅黑" w:eastAsia="微软雅黑" w:hAnsi="微软雅黑"/>
          <w:b/>
          <w:szCs w:val="21"/>
        </w:rPr>
        <w:t>单次（Per Startup）</w:t>
      </w:r>
    </w:p>
    <w:p w:rsidR="00C376C8" w:rsidRDefault="00C376C8" w:rsidP="000827EF">
      <w:pPr>
        <w:widowControl/>
        <w:spacing w:before="240" w:line="400" w:lineRule="exact"/>
        <w:ind w:firstLineChars="200" w:firstLine="420"/>
        <w:jc w:val="left"/>
        <w:rPr>
          <w:rFonts w:ascii="微软雅黑" w:eastAsia="微软雅黑" w:hAnsi="微软雅黑"/>
          <w:szCs w:val="21"/>
        </w:rPr>
      </w:pPr>
      <w:r w:rsidRPr="003E0CE0">
        <w:rPr>
          <w:rFonts w:ascii="微软雅黑" w:eastAsia="微软雅黑" w:hAnsi="微软雅黑"/>
          <w:szCs w:val="21"/>
        </w:rPr>
        <w:t>平均每台设备的数据指标。</w:t>
      </w:r>
    </w:p>
    <w:p w:rsidR="002F41AF" w:rsidRPr="00D44D75" w:rsidRDefault="002F41AF" w:rsidP="000827EF">
      <w:pPr>
        <w:numPr>
          <w:ilvl w:val="0"/>
          <w:numId w:val="3"/>
        </w:numPr>
        <w:spacing w:before="240" w:line="400" w:lineRule="exact"/>
        <w:rPr>
          <w:rFonts w:ascii="微软雅黑" w:eastAsia="微软雅黑" w:hAnsi="微软雅黑"/>
          <w:b/>
          <w:szCs w:val="21"/>
        </w:rPr>
      </w:pPr>
      <w:r w:rsidRPr="00D44D75">
        <w:rPr>
          <w:rFonts w:ascii="微软雅黑" w:eastAsia="微软雅黑" w:hAnsi="微软雅黑"/>
          <w:b/>
          <w:bCs/>
          <w:szCs w:val="21"/>
        </w:rPr>
        <w:t xml:space="preserve">TGI指数（目标用户群体指数） </w:t>
      </w:r>
    </w:p>
    <w:p w:rsidR="002F41AF" w:rsidRPr="00D44D75" w:rsidRDefault="002F41AF" w:rsidP="000827EF">
      <w:pPr>
        <w:widowControl/>
        <w:spacing w:before="240" w:line="400" w:lineRule="exact"/>
        <w:ind w:firstLineChars="200" w:firstLine="420"/>
        <w:jc w:val="left"/>
        <w:rPr>
          <w:rFonts w:ascii="微软雅黑" w:eastAsia="微软雅黑" w:hAnsi="微软雅黑"/>
          <w:szCs w:val="21"/>
        </w:rPr>
      </w:pPr>
      <w:r w:rsidRPr="00D44D75">
        <w:rPr>
          <w:rFonts w:ascii="微软雅黑" w:eastAsia="微软雅黑" w:hAnsi="微软雅黑"/>
          <w:szCs w:val="21"/>
        </w:rPr>
        <w:t>查看目标用户群市场覆盖情况占所有用户市场覆盖情况的比例。研究目标群体在特定指标上的比例与总体在该指标上的比例的比值。</w:t>
      </w:r>
    </w:p>
    <w:p w:rsidR="00870113" w:rsidRPr="003E0CE0" w:rsidRDefault="002F41AF" w:rsidP="00870113">
      <w:pPr>
        <w:widowControl/>
        <w:spacing w:before="240" w:line="400" w:lineRule="exact"/>
        <w:ind w:firstLineChars="200" w:firstLine="420"/>
        <w:jc w:val="left"/>
        <w:rPr>
          <w:rFonts w:ascii="微软雅黑" w:eastAsia="微软雅黑" w:hAnsi="微软雅黑"/>
          <w:szCs w:val="21"/>
        </w:rPr>
      </w:pPr>
      <w:r w:rsidRPr="00D44D75">
        <w:rPr>
          <w:rFonts w:ascii="微软雅黑" w:eastAsia="微软雅黑" w:hAnsi="微软雅黑"/>
          <w:szCs w:val="21"/>
        </w:rPr>
        <w:t>TGI指数＝目标用户群体在某网站的市场份额/所有网民在某网站的市场份额*100</w:t>
      </w:r>
    </w:p>
    <w:p w:rsidR="007A6E40" w:rsidRPr="00636B55" w:rsidRDefault="00C376C8" w:rsidP="000827EF">
      <w:pPr>
        <w:spacing w:before="240" w:line="400" w:lineRule="exact"/>
        <w:outlineLvl w:val="2"/>
        <w:rPr>
          <w:rFonts w:ascii="微软雅黑" w:eastAsia="微软雅黑" w:hAnsi="微软雅黑"/>
          <w:b/>
          <w:szCs w:val="21"/>
        </w:rPr>
      </w:pPr>
      <w:bookmarkStart w:id="459" w:name="_Toc524418084"/>
      <w:r>
        <w:rPr>
          <w:rFonts w:ascii="微软雅黑" w:eastAsia="微软雅黑" w:hAnsi="微软雅黑" w:hint="eastAsia"/>
          <w:b/>
          <w:szCs w:val="21"/>
        </w:rPr>
        <w:t>（二）</w:t>
      </w:r>
      <w:r w:rsidR="007A6E40" w:rsidRPr="00636B55">
        <w:rPr>
          <w:rFonts w:ascii="微软雅黑" w:eastAsia="微软雅黑" w:hAnsi="微软雅黑" w:hint="eastAsia"/>
          <w:b/>
          <w:szCs w:val="21"/>
        </w:rPr>
        <w:t>调查范围</w:t>
      </w:r>
      <w:bookmarkEnd w:id="459"/>
    </w:p>
    <w:p w:rsidR="007A6E40" w:rsidRPr="009D423B" w:rsidRDefault="007A6E40" w:rsidP="000827EF">
      <w:pPr>
        <w:spacing w:before="240" w:line="400" w:lineRule="exact"/>
        <w:ind w:firstLineChars="200" w:firstLine="420"/>
        <w:rPr>
          <w:rFonts w:ascii="微软雅黑" w:eastAsia="微软雅黑" w:hAnsi="微软雅黑" w:cs="宋体"/>
          <w:bCs/>
          <w:szCs w:val="21"/>
        </w:rPr>
      </w:pPr>
      <w:r w:rsidRPr="009D423B">
        <w:rPr>
          <w:rFonts w:ascii="微软雅黑" w:eastAsia="微软雅黑" w:hAnsi="微软雅黑" w:cs="宋体" w:hint="eastAsia"/>
          <w:bCs/>
          <w:szCs w:val="21"/>
        </w:rPr>
        <w:t>陕西省行政区域。</w:t>
      </w:r>
    </w:p>
    <w:p w:rsidR="007A6E40" w:rsidRPr="00864AD5" w:rsidRDefault="00C376C8" w:rsidP="000827EF">
      <w:pPr>
        <w:spacing w:before="240" w:line="400" w:lineRule="exact"/>
        <w:outlineLvl w:val="2"/>
        <w:rPr>
          <w:rFonts w:ascii="微软雅黑" w:eastAsia="微软雅黑" w:hAnsi="微软雅黑"/>
          <w:b/>
          <w:szCs w:val="21"/>
        </w:rPr>
      </w:pPr>
      <w:bookmarkStart w:id="460" w:name="_Toc524418085"/>
      <w:r w:rsidRPr="00636B55">
        <w:rPr>
          <w:rFonts w:ascii="微软雅黑" w:eastAsia="微软雅黑" w:hAnsi="微软雅黑" w:hint="eastAsia"/>
          <w:b/>
          <w:szCs w:val="21"/>
        </w:rPr>
        <w:t>（三</w:t>
      </w:r>
      <w:r w:rsidRPr="00FD2106">
        <w:rPr>
          <w:rFonts w:ascii="微软雅黑" w:eastAsia="微软雅黑" w:hAnsi="微软雅黑" w:hint="eastAsia"/>
          <w:b/>
          <w:szCs w:val="21"/>
        </w:rPr>
        <w:t>）</w:t>
      </w:r>
      <w:r w:rsidR="007A6E40" w:rsidRPr="00864AD5">
        <w:rPr>
          <w:rFonts w:ascii="微软雅黑" w:eastAsia="微软雅黑" w:hAnsi="微软雅黑" w:hint="eastAsia"/>
          <w:b/>
          <w:szCs w:val="21"/>
        </w:rPr>
        <w:t>调查时间</w:t>
      </w:r>
      <w:bookmarkEnd w:id="460"/>
    </w:p>
    <w:p w:rsidR="007A6E40" w:rsidRPr="009D423B" w:rsidRDefault="00D44D75" w:rsidP="000827EF">
      <w:pPr>
        <w:spacing w:before="240" w:line="400" w:lineRule="exact"/>
        <w:ind w:firstLineChars="200" w:firstLine="420"/>
        <w:rPr>
          <w:rFonts w:ascii="微软雅黑" w:eastAsia="微软雅黑" w:hAnsi="微软雅黑" w:cs="宋体"/>
          <w:bCs/>
          <w:szCs w:val="21"/>
        </w:rPr>
      </w:pPr>
      <w:r>
        <w:rPr>
          <w:rFonts w:ascii="微软雅黑" w:eastAsia="微软雅黑" w:hAnsi="微软雅黑" w:cs="宋体" w:hint="eastAsia"/>
          <w:bCs/>
          <w:szCs w:val="21"/>
        </w:rPr>
        <w:t>报告中</w:t>
      </w:r>
      <w:r w:rsidR="001C3427">
        <w:rPr>
          <w:rFonts w:ascii="微软雅黑" w:eastAsia="微软雅黑" w:hAnsi="微软雅黑" w:cs="宋体" w:hint="eastAsia"/>
          <w:bCs/>
          <w:szCs w:val="21"/>
        </w:rPr>
        <w:t>未</w:t>
      </w:r>
      <w:r>
        <w:rPr>
          <w:rFonts w:ascii="微软雅黑" w:eastAsia="微软雅黑" w:hAnsi="微软雅黑" w:cs="宋体" w:hint="eastAsia"/>
          <w:bCs/>
          <w:szCs w:val="21"/>
        </w:rPr>
        <w:t>特别说明的</w:t>
      </w:r>
      <w:r w:rsidR="007A6E40" w:rsidRPr="009D423B">
        <w:rPr>
          <w:rFonts w:ascii="微软雅黑" w:eastAsia="微软雅黑" w:hAnsi="微软雅黑" w:cs="宋体" w:hint="eastAsia"/>
          <w:bCs/>
          <w:szCs w:val="21"/>
        </w:rPr>
        <w:t>数据</w:t>
      </w:r>
      <w:r w:rsidR="001C3427">
        <w:rPr>
          <w:rFonts w:ascii="微软雅黑" w:eastAsia="微软雅黑" w:hAnsi="微软雅黑" w:cs="宋体" w:hint="eastAsia"/>
          <w:bCs/>
          <w:szCs w:val="21"/>
        </w:rPr>
        <w:t>截止</w:t>
      </w:r>
      <w:r w:rsidR="007A6E40" w:rsidRPr="009D423B">
        <w:rPr>
          <w:rFonts w:ascii="微软雅黑" w:eastAsia="微软雅黑" w:hAnsi="微软雅黑" w:cs="宋体" w:hint="eastAsia"/>
          <w:bCs/>
          <w:szCs w:val="21"/>
        </w:rPr>
        <w:t>日期</w:t>
      </w:r>
      <w:r>
        <w:rPr>
          <w:rFonts w:ascii="微软雅黑" w:eastAsia="微软雅黑" w:hAnsi="微软雅黑" w:cs="宋体" w:hint="eastAsia"/>
          <w:bCs/>
          <w:szCs w:val="21"/>
        </w:rPr>
        <w:t>一般</w:t>
      </w:r>
      <w:r w:rsidR="007A6E40" w:rsidRPr="009D423B">
        <w:rPr>
          <w:rFonts w:ascii="微软雅黑" w:eastAsia="微软雅黑" w:hAnsi="微软雅黑" w:cs="宋体" w:hint="eastAsia"/>
          <w:bCs/>
          <w:szCs w:val="21"/>
        </w:rPr>
        <w:t>为201</w:t>
      </w:r>
      <w:r w:rsidR="00C376C8">
        <w:rPr>
          <w:rFonts w:ascii="微软雅黑" w:eastAsia="微软雅黑" w:hAnsi="微软雅黑" w:cs="宋体" w:hint="eastAsia"/>
          <w:bCs/>
          <w:szCs w:val="21"/>
        </w:rPr>
        <w:t>7</w:t>
      </w:r>
      <w:r w:rsidR="007A6E40" w:rsidRPr="009D423B">
        <w:rPr>
          <w:rFonts w:ascii="微软雅黑" w:eastAsia="微软雅黑" w:hAnsi="微软雅黑" w:cs="宋体" w:hint="eastAsia"/>
          <w:bCs/>
          <w:szCs w:val="21"/>
        </w:rPr>
        <w:t>年12月31日</w:t>
      </w:r>
      <w:r>
        <w:rPr>
          <w:rFonts w:ascii="微软雅黑" w:eastAsia="微软雅黑" w:hAnsi="微软雅黑" w:cs="宋体" w:hint="eastAsia"/>
          <w:bCs/>
          <w:szCs w:val="21"/>
        </w:rPr>
        <w:t>；新媒体用户数据截止日期为2018年6月30日</w:t>
      </w:r>
      <w:r w:rsidR="007A6E40" w:rsidRPr="009D423B">
        <w:rPr>
          <w:rFonts w:ascii="微软雅黑" w:eastAsia="微软雅黑" w:hAnsi="微软雅黑" w:cs="宋体" w:hint="eastAsia"/>
          <w:bCs/>
          <w:szCs w:val="21"/>
        </w:rPr>
        <w:t>。</w:t>
      </w:r>
    </w:p>
    <w:p w:rsidR="007A6E40" w:rsidRPr="00864AD5" w:rsidRDefault="00C376C8" w:rsidP="000827EF">
      <w:pPr>
        <w:spacing w:before="240" w:line="400" w:lineRule="exact"/>
        <w:outlineLvl w:val="2"/>
        <w:rPr>
          <w:rFonts w:ascii="微软雅黑" w:eastAsia="微软雅黑" w:hAnsi="微软雅黑"/>
          <w:b/>
          <w:szCs w:val="21"/>
        </w:rPr>
      </w:pPr>
      <w:bookmarkStart w:id="461" w:name="_Toc524418086"/>
      <w:r w:rsidRPr="00636B55">
        <w:rPr>
          <w:rFonts w:ascii="微软雅黑" w:eastAsia="微软雅黑" w:hAnsi="微软雅黑" w:hint="eastAsia"/>
          <w:b/>
          <w:szCs w:val="21"/>
        </w:rPr>
        <w:t>（</w:t>
      </w:r>
      <w:r w:rsidRPr="00FD2106">
        <w:rPr>
          <w:rFonts w:ascii="微软雅黑" w:eastAsia="微软雅黑" w:hAnsi="微软雅黑" w:hint="eastAsia"/>
          <w:b/>
          <w:szCs w:val="21"/>
        </w:rPr>
        <w:t>四</w:t>
      </w:r>
      <w:r w:rsidRPr="00171AEA">
        <w:rPr>
          <w:rFonts w:ascii="微软雅黑" w:eastAsia="微软雅黑" w:hAnsi="微软雅黑" w:hint="eastAsia"/>
          <w:b/>
          <w:szCs w:val="21"/>
        </w:rPr>
        <w:t>）</w:t>
      </w:r>
      <w:r w:rsidR="007A6E40" w:rsidRPr="00864AD5">
        <w:rPr>
          <w:rFonts w:ascii="微软雅黑" w:eastAsia="微软雅黑" w:hAnsi="微软雅黑" w:hint="eastAsia"/>
          <w:b/>
          <w:szCs w:val="21"/>
        </w:rPr>
        <w:t>调查方法</w:t>
      </w:r>
      <w:bookmarkEnd w:id="461"/>
    </w:p>
    <w:p w:rsidR="007A6E40" w:rsidRPr="009D423B" w:rsidRDefault="007A6E40" w:rsidP="000827EF">
      <w:pPr>
        <w:numPr>
          <w:ilvl w:val="0"/>
          <w:numId w:val="11"/>
        </w:numPr>
        <w:spacing w:before="240" w:line="400" w:lineRule="exact"/>
        <w:rPr>
          <w:rFonts w:ascii="微软雅黑" w:eastAsia="微软雅黑" w:hAnsi="微软雅黑"/>
          <w:b/>
          <w:szCs w:val="21"/>
        </w:rPr>
      </w:pPr>
      <w:r w:rsidRPr="009D423B">
        <w:rPr>
          <w:rFonts w:ascii="微软雅黑" w:eastAsia="微软雅黑" w:hAnsi="微软雅黑" w:hint="eastAsia"/>
          <w:b/>
          <w:szCs w:val="21"/>
        </w:rPr>
        <w:t>iUserTracker家庭办公版</w:t>
      </w:r>
    </w:p>
    <w:p w:rsidR="007A6E40" w:rsidRPr="009D423B" w:rsidRDefault="007A6E40" w:rsidP="000827EF">
      <w:pPr>
        <w:widowControl/>
        <w:spacing w:before="240" w:line="400" w:lineRule="exact"/>
        <w:ind w:firstLineChars="213" w:firstLine="447"/>
        <w:jc w:val="left"/>
        <w:rPr>
          <w:rFonts w:ascii="微软雅黑" w:eastAsia="微软雅黑" w:hAnsi="微软雅黑"/>
          <w:szCs w:val="21"/>
        </w:rPr>
      </w:pPr>
      <w:r w:rsidRPr="009D423B">
        <w:rPr>
          <w:rFonts w:ascii="微软雅黑" w:eastAsia="微软雅黑" w:hAnsi="微软雅黑" w:hint="eastAsia"/>
          <w:szCs w:val="21"/>
        </w:rPr>
        <w:t>iUserTracker网络用户行为监测帮助企业及时了解瞬息万变市场发展趋势，了解与竞争对手之间的用户差异。</w:t>
      </w:r>
    </w:p>
    <w:p w:rsidR="007A6E40" w:rsidRPr="009D423B" w:rsidRDefault="007A6E40" w:rsidP="000827EF">
      <w:pPr>
        <w:widowControl/>
        <w:spacing w:before="240" w:line="400" w:lineRule="exact"/>
        <w:ind w:firstLineChars="213" w:firstLine="447"/>
        <w:jc w:val="left"/>
        <w:rPr>
          <w:rFonts w:ascii="微软雅黑" w:eastAsia="微软雅黑" w:hAnsi="微软雅黑"/>
          <w:szCs w:val="21"/>
        </w:rPr>
      </w:pPr>
      <w:r w:rsidRPr="009D423B">
        <w:rPr>
          <w:rFonts w:ascii="微软雅黑" w:eastAsia="微软雅黑" w:hAnsi="微软雅黑" w:hint="eastAsia"/>
          <w:szCs w:val="21"/>
        </w:rPr>
        <w:t>iUserTracker网络用户行为监测由艾瑞集团自主研发，是基于庞大的网民样本行为监测所建立的数据库。该数据库自2006年开始，收集包括用户网络浏览的行为、软件使用行为等详细信息，凭借多年的互联网行业研究经验，通过被监测样本的用户属性标签及多个用户行为竞争分析指标，真实反映中国互联网整体及不同用户市场的客观情况。</w:t>
      </w:r>
    </w:p>
    <w:p w:rsidR="007A6E40" w:rsidRPr="009D423B" w:rsidRDefault="007A6E40" w:rsidP="000827EF">
      <w:pPr>
        <w:numPr>
          <w:ilvl w:val="0"/>
          <w:numId w:val="11"/>
        </w:numPr>
        <w:spacing w:before="240" w:line="400" w:lineRule="exact"/>
        <w:rPr>
          <w:rFonts w:ascii="微软雅黑" w:eastAsia="微软雅黑" w:hAnsi="微软雅黑"/>
          <w:b/>
          <w:szCs w:val="21"/>
        </w:rPr>
      </w:pPr>
      <w:r w:rsidRPr="009D423B">
        <w:rPr>
          <w:rFonts w:ascii="微软雅黑" w:eastAsia="微软雅黑" w:hAnsi="微软雅黑" w:hint="eastAsia"/>
          <w:b/>
          <w:szCs w:val="21"/>
        </w:rPr>
        <w:t>mUserTracker</w:t>
      </w:r>
    </w:p>
    <w:p w:rsidR="007A6E40" w:rsidRPr="009D423B" w:rsidRDefault="007A6E40" w:rsidP="000827EF">
      <w:pPr>
        <w:widowControl/>
        <w:spacing w:before="240" w:line="400" w:lineRule="exact"/>
        <w:ind w:firstLineChars="213" w:firstLine="447"/>
        <w:jc w:val="left"/>
        <w:rPr>
          <w:rFonts w:ascii="微软雅黑" w:eastAsia="微软雅黑" w:hAnsi="微软雅黑"/>
          <w:szCs w:val="21"/>
        </w:rPr>
      </w:pPr>
      <w:r w:rsidRPr="009D423B">
        <w:rPr>
          <w:rFonts w:ascii="微软雅黑" w:eastAsia="微软雅黑" w:hAnsi="微软雅黑" w:hint="eastAsia"/>
          <w:szCs w:val="21"/>
        </w:rPr>
        <w:t>mUserTracker移动用户行为监测帮助企业实现移动用户属性特征分析、行为差异分析；针对各种移动端媒体进行竞争跟踪监测，提供趋势分析和各种指标分析。</w:t>
      </w:r>
    </w:p>
    <w:p w:rsidR="007A6E40" w:rsidRDefault="007A6E40" w:rsidP="000827EF">
      <w:pPr>
        <w:spacing w:before="240" w:line="400" w:lineRule="exact"/>
        <w:ind w:firstLineChars="200" w:firstLine="420"/>
        <w:rPr>
          <w:rFonts w:ascii="微软雅黑" w:eastAsia="微软雅黑" w:hAnsi="微软雅黑"/>
          <w:szCs w:val="21"/>
        </w:rPr>
      </w:pPr>
      <w:r w:rsidRPr="009D423B">
        <w:rPr>
          <w:rFonts w:ascii="微软雅黑" w:eastAsia="微软雅黑" w:hAnsi="微软雅黑" w:hint="eastAsia"/>
          <w:szCs w:val="21"/>
        </w:rPr>
        <w:t>mUserTracker移动用户行为监测由艾瑞集团自主研发，基于大移动网民样本行为进行监测所建立的数据库，该数据库由2012年开始，收集包括用户通过移动设备，对App的使用行为、浏览网站的行为等相关情况。并通过对数据的大量分析建立了多个用户行为指标，真实反映中国移动互联网市场客观情况。并利用对被监测样本的用户属性进行标签设定，从而能够从多个维度对用户市场进行定义和细分。</w:t>
      </w:r>
    </w:p>
    <w:p w:rsidR="007A6E40" w:rsidRPr="009D423B" w:rsidRDefault="007A6E40" w:rsidP="00E063CB">
      <w:pPr>
        <w:spacing w:line="400" w:lineRule="exact"/>
        <w:rPr>
          <w:rFonts w:ascii="微软雅黑" w:eastAsia="微软雅黑" w:hAnsi="微软雅黑" w:cs="宋体"/>
          <w:b/>
          <w:bCs/>
          <w:szCs w:val="21"/>
        </w:rPr>
      </w:pPr>
    </w:p>
    <w:sectPr w:rsidR="007A6E40" w:rsidRPr="009D423B" w:rsidSect="006D636E">
      <w:footerReference w:type="default" r:id="rId185"/>
      <w:pgSz w:w="11906" w:h="16838"/>
      <w:pgMar w:top="1361" w:right="1797" w:bottom="1361" w:left="1797"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F8C" w:rsidRDefault="00923F8C" w:rsidP="00671022">
      <w:r>
        <w:separator/>
      </w:r>
    </w:p>
  </w:endnote>
  <w:endnote w:type="continuationSeparator" w:id="0">
    <w:p w:rsidR="00923F8C" w:rsidRDefault="00923F8C" w:rsidP="006710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华文仿宋">
    <w:charset w:val="86"/>
    <w:family w:val="auto"/>
    <w:pitch w:val="variable"/>
    <w:sig w:usb0="00000287" w:usb1="080F0000" w:usb2="00000010" w:usb3="00000000" w:csb0="0004009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0" w:usb1="0000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icrosoft yahei">
    <w:altName w:val="微软雅黑"/>
    <w:panose1 w:val="00000000000000000000"/>
    <w:charset w:val="00"/>
    <w:family w:val="roman"/>
    <w:notTrueType/>
    <w:pitch w:val="default"/>
    <w:sig w:usb0="00000003" w:usb1="00000000" w:usb2="00000000" w:usb3="00000000" w:csb0="00000001" w:csb1="00000000"/>
  </w:font>
  <w:font w:name="STHeiti">
    <w:altName w:val="Arial Unicode MS"/>
    <w:charset w:val="86"/>
    <w:family w:val="auto"/>
    <w:pitch w:val="default"/>
    <w:sig w:usb0="00000000" w:usb1="00000000" w:usb2="00000010" w:usb3="00000000" w:csb0="0004009F" w:csb1="00000000"/>
  </w:font>
  <w:font w:name="华文细黑">
    <w:altName w:val="Malgun Gothic Semilight"/>
    <w:charset w:val="86"/>
    <w:family w:val="auto"/>
    <w:pitch w:val="variable"/>
    <w:sig w:usb0="00000000"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0313188"/>
      <w:docPartObj>
        <w:docPartGallery w:val="Page Numbers (Bottom of Page)"/>
        <w:docPartUnique/>
      </w:docPartObj>
    </w:sdtPr>
    <w:sdtContent>
      <w:p w:rsidR="006673AC" w:rsidRDefault="00BD4215" w:rsidP="00326979">
        <w:pPr>
          <w:pStyle w:val="a4"/>
          <w:jc w:val="center"/>
        </w:pPr>
        <w:r w:rsidRPr="00BD4215">
          <w:fldChar w:fldCharType="begin"/>
        </w:r>
        <w:r w:rsidR="006673AC">
          <w:instrText>PAGE   \* MERGEFORMAT</w:instrText>
        </w:r>
        <w:r w:rsidRPr="00BD4215">
          <w:fldChar w:fldCharType="separate"/>
        </w:r>
        <w:r w:rsidR="00606F6E" w:rsidRPr="00606F6E">
          <w:rPr>
            <w:noProof/>
            <w:lang w:val="zh-CN"/>
          </w:rPr>
          <w:t>X</w:t>
        </w:r>
        <w:r>
          <w:rPr>
            <w:noProof/>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3AC" w:rsidRDefault="00BD4215" w:rsidP="00570296">
    <w:pPr>
      <w:pStyle w:val="a4"/>
      <w:jc w:val="center"/>
    </w:pPr>
    <w:r w:rsidRPr="00BD4215">
      <w:fldChar w:fldCharType="begin"/>
    </w:r>
    <w:r w:rsidR="006673AC">
      <w:instrText>PAGE   \* MERGEFORMAT</w:instrText>
    </w:r>
    <w:r w:rsidRPr="00BD4215">
      <w:fldChar w:fldCharType="separate"/>
    </w:r>
    <w:r w:rsidR="00606F6E" w:rsidRPr="00606F6E">
      <w:rPr>
        <w:noProof/>
        <w:lang w:val="zh-CN"/>
      </w:rPr>
      <w:t>77</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F8C" w:rsidRDefault="00923F8C" w:rsidP="00671022">
      <w:r>
        <w:separator/>
      </w:r>
    </w:p>
  </w:footnote>
  <w:footnote w:type="continuationSeparator" w:id="0">
    <w:p w:rsidR="00923F8C" w:rsidRDefault="00923F8C" w:rsidP="006710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multilevel"/>
    <w:tmpl w:val="00000015"/>
    <w:lvl w:ilvl="0">
      <w:start w:val="1"/>
      <w:numFmt w:val="japaneseCounting"/>
      <w:lvlText w:val="（%1）"/>
      <w:lvlJc w:val="left"/>
      <w:pPr>
        <w:ind w:left="1429" w:hanging="720"/>
      </w:pPr>
      <w:rPr>
        <w:rFonts w:cs="Times New Roman" w:hint="default"/>
      </w:rPr>
    </w:lvl>
    <w:lvl w:ilvl="1">
      <w:start w:val="1"/>
      <w:numFmt w:val="lowerLetter"/>
      <w:lvlText w:val="%2)"/>
      <w:lvlJc w:val="left"/>
      <w:pPr>
        <w:ind w:left="1549" w:hanging="420"/>
      </w:pPr>
      <w:rPr>
        <w:rFonts w:cs="Times New Roman"/>
      </w:rPr>
    </w:lvl>
    <w:lvl w:ilvl="2">
      <w:start w:val="1"/>
      <w:numFmt w:val="lowerRoman"/>
      <w:lvlText w:val="%3."/>
      <w:lvlJc w:val="right"/>
      <w:pPr>
        <w:ind w:left="1969" w:hanging="420"/>
      </w:pPr>
      <w:rPr>
        <w:rFonts w:cs="Times New Roman"/>
      </w:rPr>
    </w:lvl>
    <w:lvl w:ilvl="3">
      <w:start w:val="1"/>
      <w:numFmt w:val="decimal"/>
      <w:lvlText w:val="%4."/>
      <w:lvlJc w:val="left"/>
      <w:pPr>
        <w:ind w:left="2389" w:hanging="420"/>
      </w:pPr>
      <w:rPr>
        <w:rFonts w:cs="Times New Roman"/>
      </w:rPr>
    </w:lvl>
    <w:lvl w:ilvl="4">
      <w:start w:val="1"/>
      <w:numFmt w:val="lowerLetter"/>
      <w:lvlText w:val="%5)"/>
      <w:lvlJc w:val="left"/>
      <w:pPr>
        <w:ind w:left="2809" w:hanging="420"/>
      </w:pPr>
      <w:rPr>
        <w:rFonts w:cs="Times New Roman"/>
      </w:rPr>
    </w:lvl>
    <w:lvl w:ilvl="5">
      <w:start w:val="1"/>
      <w:numFmt w:val="lowerRoman"/>
      <w:lvlText w:val="%6."/>
      <w:lvlJc w:val="right"/>
      <w:pPr>
        <w:ind w:left="3229" w:hanging="420"/>
      </w:pPr>
      <w:rPr>
        <w:rFonts w:cs="Times New Roman"/>
      </w:rPr>
    </w:lvl>
    <w:lvl w:ilvl="6">
      <w:start w:val="1"/>
      <w:numFmt w:val="decimal"/>
      <w:lvlText w:val="%7."/>
      <w:lvlJc w:val="left"/>
      <w:pPr>
        <w:ind w:left="3649" w:hanging="420"/>
      </w:pPr>
      <w:rPr>
        <w:rFonts w:cs="Times New Roman"/>
      </w:rPr>
    </w:lvl>
    <w:lvl w:ilvl="7">
      <w:start w:val="1"/>
      <w:numFmt w:val="lowerLetter"/>
      <w:lvlText w:val="%8)"/>
      <w:lvlJc w:val="left"/>
      <w:pPr>
        <w:ind w:left="4069" w:hanging="420"/>
      </w:pPr>
      <w:rPr>
        <w:rFonts w:cs="Times New Roman"/>
      </w:rPr>
    </w:lvl>
    <w:lvl w:ilvl="8">
      <w:start w:val="1"/>
      <w:numFmt w:val="lowerRoman"/>
      <w:lvlText w:val="%9."/>
      <w:lvlJc w:val="right"/>
      <w:pPr>
        <w:ind w:left="4489" w:hanging="420"/>
      </w:pPr>
      <w:rPr>
        <w:rFonts w:cs="Times New Roman"/>
      </w:rPr>
    </w:lvl>
  </w:abstractNum>
  <w:abstractNum w:abstractNumId="1">
    <w:nsid w:val="02005A92"/>
    <w:multiLevelType w:val="hybridMultilevel"/>
    <w:tmpl w:val="B3F0ABC0"/>
    <w:lvl w:ilvl="0" w:tplc="0409000B">
      <w:start w:val="1"/>
      <w:numFmt w:val="bullet"/>
      <w:lvlText w:val=""/>
      <w:lvlJc w:val="left"/>
      <w:pPr>
        <w:ind w:left="840" w:hanging="420"/>
      </w:pPr>
      <w:rPr>
        <w:rFonts w:ascii="Wingdings" w:hAnsi="Wingdings" w:hint="default"/>
      </w:rPr>
    </w:lvl>
    <w:lvl w:ilvl="1" w:tplc="04090003" w:tentative="1">
      <w:start w:val="1"/>
      <w:numFmt w:val="bullet"/>
      <w:pStyle w:val="1"/>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503689F"/>
    <w:multiLevelType w:val="hybridMultilevel"/>
    <w:tmpl w:val="EF1ED134"/>
    <w:lvl w:ilvl="0" w:tplc="4B3E1CF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C1646B9"/>
    <w:multiLevelType w:val="hybridMultilevel"/>
    <w:tmpl w:val="CE36925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4E0165D"/>
    <w:multiLevelType w:val="multilevel"/>
    <w:tmpl w:val="1A4402B2"/>
    <w:lvl w:ilvl="0">
      <w:start w:val="1"/>
      <w:numFmt w:val="chineseCountingThousand"/>
      <w:lvlText w:val="第%1章"/>
      <w:lvlJc w:val="left"/>
      <w:pPr>
        <w:tabs>
          <w:tab w:val="num" w:pos="1080"/>
        </w:tabs>
        <w:ind w:left="425" w:hanging="425"/>
      </w:pPr>
      <w:rPr>
        <w:rFonts w:ascii="Times New Roman" w:eastAsia="黑体" w:hAnsi="Times New Roman" w:hint="default"/>
        <w:b/>
        <w:i w:val="0"/>
        <w:sz w:val="32"/>
      </w:rPr>
    </w:lvl>
    <w:lvl w:ilvl="1">
      <w:start w:val="1"/>
      <w:numFmt w:val="decimal"/>
      <w:isLgl/>
      <w:lvlText w:val="%1.%2"/>
      <w:lvlJc w:val="left"/>
      <w:pPr>
        <w:tabs>
          <w:tab w:val="num" w:pos="578"/>
        </w:tabs>
        <w:ind w:left="578" w:hanging="578"/>
      </w:pPr>
      <w:rPr>
        <w:rFonts w:ascii="Times New Roman" w:eastAsia="黑体" w:hAnsi="Times New Roman" w:hint="default"/>
        <w:b/>
        <w:i w:val="0"/>
        <w:sz w:val="30"/>
      </w:rPr>
    </w:lvl>
    <w:lvl w:ilvl="2">
      <w:start w:val="1"/>
      <w:numFmt w:val="decimal"/>
      <w:pStyle w:val="3"/>
      <w:isLgl/>
      <w:lvlText w:val="%1.%2.%3."/>
      <w:lvlJc w:val="left"/>
      <w:pPr>
        <w:tabs>
          <w:tab w:val="num" w:pos="720"/>
        </w:tabs>
        <w:ind w:left="578" w:hanging="578"/>
      </w:pPr>
      <w:rPr>
        <w:rFonts w:ascii="Times New Roman" w:eastAsia="黑体" w:hAnsi="Times New Roman" w:hint="default"/>
        <w:b/>
        <w:i w:val="0"/>
      </w:rPr>
    </w:lvl>
    <w:lvl w:ilvl="3">
      <w:start w:val="1"/>
      <w:numFmt w:val="decimal"/>
      <w:isLgl/>
      <w:lvlText w:val="%1.%2.%3.%4."/>
      <w:lvlJc w:val="left"/>
      <w:pPr>
        <w:tabs>
          <w:tab w:val="num" w:pos="851"/>
        </w:tabs>
        <w:ind w:left="851" w:hanging="851"/>
      </w:pPr>
      <w:rPr>
        <w:rFonts w:ascii="Times New Roman" w:eastAsia="黑体" w:hAnsi="Times New Roman" w:hint="default"/>
        <w:b/>
        <w:i w:val="0"/>
        <w:sz w:val="24"/>
      </w:rPr>
    </w:lvl>
    <w:lvl w:ilvl="4">
      <w:start w:val="1"/>
      <w:numFmt w:val="decimal"/>
      <w:isLgl/>
      <w:lvlText w:val="%1.%2.%3.%4.%5."/>
      <w:lvlJc w:val="left"/>
      <w:pPr>
        <w:tabs>
          <w:tab w:val="num" w:pos="1440"/>
        </w:tabs>
        <w:ind w:left="992" w:hanging="992"/>
      </w:pPr>
      <w:rPr>
        <w:rFonts w:hint="eastAsia"/>
      </w:rPr>
    </w:lvl>
    <w:lvl w:ilvl="5">
      <w:start w:val="1"/>
      <w:numFmt w:val="decimal"/>
      <w:isLgl/>
      <w:lvlText w:val="%1.%2.%3.%4.%5.%6."/>
      <w:lvlJc w:val="left"/>
      <w:pPr>
        <w:tabs>
          <w:tab w:val="num" w:pos="1440"/>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nsid w:val="16CB2BD8"/>
    <w:multiLevelType w:val="hybridMultilevel"/>
    <w:tmpl w:val="4DA2BC8E"/>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17BA65D8"/>
    <w:multiLevelType w:val="multilevel"/>
    <w:tmpl w:val="BD26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F42D3"/>
    <w:multiLevelType w:val="hybridMultilevel"/>
    <w:tmpl w:val="F768E2FA"/>
    <w:lvl w:ilvl="0" w:tplc="5DB8D6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6460505"/>
    <w:multiLevelType w:val="hybridMultilevel"/>
    <w:tmpl w:val="A3404CC0"/>
    <w:lvl w:ilvl="0" w:tplc="FE34CF06">
      <w:start w:val="10"/>
      <w:numFmt w:val="japaneseCounting"/>
      <w:lvlText w:val="%1、"/>
      <w:lvlJc w:val="left"/>
      <w:pPr>
        <w:ind w:left="720" w:hanging="720"/>
      </w:pPr>
      <w:rPr>
        <w:rFonts w:ascii="仿宋_GB2312" w:eastAsia="仿宋_GB2312" w:hAnsi="华文仿宋" w:cs="Times New Roman" w:hint="default"/>
        <w:color w:val="0000FF"/>
        <w:sz w:val="24"/>
        <w:u w:val="singl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2931E7"/>
    <w:multiLevelType w:val="hybridMultilevel"/>
    <w:tmpl w:val="46AA7938"/>
    <w:lvl w:ilvl="0" w:tplc="BE4E4CE4">
      <w:start w:val="1"/>
      <w:numFmt w:val="japaneseCounting"/>
      <w:lvlText w:val="（%1）"/>
      <w:lvlJc w:val="left"/>
      <w:pPr>
        <w:ind w:left="1005" w:hanging="10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8F41B06"/>
    <w:multiLevelType w:val="hybridMultilevel"/>
    <w:tmpl w:val="C7A23068"/>
    <w:lvl w:ilvl="0" w:tplc="0409000B">
      <w:start w:val="1"/>
      <w:numFmt w:val="bullet"/>
      <w:pStyle w:val="5"/>
      <w:lvlText w:val=""/>
      <w:lvlJc w:val="left"/>
      <w:pPr>
        <w:ind w:left="868" w:hanging="420"/>
      </w:pPr>
      <w:rPr>
        <w:rFonts w:ascii="Wingdings" w:hAnsi="Wingdings" w:hint="default"/>
      </w:rPr>
    </w:lvl>
    <w:lvl w:ilvl="1" w:tplc="04090003" w:tentative="1">
      <w:start w:val="1"/>
      <w:numFmt w:val="bullet"/>
      <w:lvlText w:val=""/>
      <w:lvlJc w:val="left"/>
      <w:pPr>
        <w:ind w:left="1288" w:hanging="420"/>
      </w:pPr>
      <w:rPr>
        <w:rFonts w:ascii="Wingdings" w:hAnsi="Wingdings" w:hint="default"/>
      </w:rPr>
    </w:lvl>
    <w:lvl w:ilvl="2" w:tplc="04090005" w:tentative="1">
      <w:start w:val="1"/>
      <w:numFmt w:val="bullet"/>
      <w:lvlText w:val=""/>
      <w:lvlJc w:val="left"/>
      <w:pPr>
        <w:ind w:left="1708" w:hanging="420"/>
      </w:pPr>
      <w:rPr>
        <w:rFonts w:ascii="Wingdings" w:hAnsi="Wingdings" w:hint="default"/>
      </w:rPr>
    </w:lvl>
    <w:lvl w:ilvl="3" w:tplc="04090001" w:tentative="1">
      <w:start w:val="1"/>
      <w:numFmt w:val="bullet"/>
      <w:lvlText w:val=""/>
      <w:lvlJc w:val="left"/>
      <w:pPr>
        <w:ind w:left="2128" w:hanging="420"/>
      </w:pPr>
      <w:rPr>
        <w:rFonts w:ascii="Wingdings" w:hAnsi="Wingdings" w:hint="default"/>
      </w:rPr>
    </w:lvl>
    <w:lvl w:ilvl="4" w:tplc="04090003" w:tentative="1">
      <w:start w:val="1"/>
      <w:numFmt w:val="bullet"/>
      <w:lvlText w:val=""/>
      <w:lvlJc w:val="left"/>
      <w:pPr>
        <w:ind w:left="2548" w:hanging="420"/>
      </w:pPr>
      <w:rPr>
        <w:rFonts w:ascii="Wingdings" w:hAnsi="Wingdings" w:hint="default"/>
      </w:rPr>
    </w:lvl>
    <w:lvl w:ilvl="5" w:tplc="04090005" w:tentative="1">
      <w:start w:val="1"/>
      <w:numFmt w:val="bullet"/>
      <w:lvlText w:val=""/>
      <w:lvlJc w:val="left"/>
      <w:pPr>
        <w:ind w:left="2968" w:hanging="420"/>
      </w:pPr>
      <w:rPr>
        <w:rFonts w:ascii="Wingdings" w:hAnsi="Wingdings" w:hint="default"/>
      </w:rPr>
    </w:lvl>
    <w:lvl w:ilvl="6" w:tplc="04090001" w:tentative="1">
      <w:start w:val="1"/>
      <w:numFmt w:val="bullet"/>
      <w:lvlText w:val=""/>
      <w:lvlJc w:val="left"/>
      <w:pPr>
        <w:ind w:left="3388" w:hanging="420"/>
      </w:pPr>
      <w:rPr>
        <w:rFonts w:ascii="Wingdings" w:hAnsi="Wingdings" w:hint="default"/>
      </w:rPr>
    </w:lvl>
    <w:lvl w:ilvl="7" w:tplc="04090003" w:tentative="1">
      <w:start w:val="1"/>
      <w:numFmt w:val="bullet"/>
      <w:lvlText w:val=""/>
      <w:lvlJc w:val="left"/>
      <w:pPr>
        <w:ind w:left="3808" w:hanging="420"/>
      </w:pPr>
      <w:rPr>
        <w:rFonts w:ascii="Wingdings" w:hAnsi="Wingdings" w:hint="default"/>
      </w:rPr>
    </w:lvl>
    <w:lvl w:ilvl="8" w:tplc="04090005" w:tentative="1">
      <w:start w:val="1"/>
      <w:numFmt w:val="bullet"/>
      <w:lvlText w:val=""/>
      <w:lvlJc w:val="left"/>
      <w:pPr>
        <w:ind w:left="4228" w:hanging="420"/>
      </w:pPr>
      <w:rPr>
        <w:rFonts w:ascii="Wingdings" w:hAnsi="Wingdings" w:hint="default"/>
      </w:rPr>
    </w:lvl>
  </w:abstractNum>
  <w:abstractNum w:abstractNumId="11">
    <w:nsid w:val="39BD468B"/>
    <w:multiLevelType w:val="hybridMultilevel"/>
    <w:tmpl w:val="5EC653D8"/>
    <w:lvl w:ilvl="0" w:tplc="15FEF846">
      <w:start w:val="1"/>
      <w:numFmt w:val="japaneseCounting"/>
      <w:lvlText w:val="%1、"/>
      <w:lvlJc w:val="left"/>
      <w:pPr>
        <w:ind w:left="675" w:hanging="6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1B50EC4"/>
    <w:multiLevelType w:val="hybridMultilevel"/>
    <w:tmpl w:val="751AF4A0"/>
    <w:lvl w:ilvl="0" w:tplc="49BAF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5E34727"/>
    <w:multiLevelType w:val="multilevel"/>
    <w:tmpl w:val="F26E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B385D5"/>
    <w:multiLevelType w:val="singleLevel"/>
    <w:tmpl w:val="54B385D5"/>
    <w:lvl w:ilvl="0">
      <w:start w:val="2"/>
      <w:numFmt w:val="chineseCounting"/>
      <w:pStyle w:val="ParaCharCharCharCharCharCharCharCharCharCharCharCharCharCharCharChar2Char"/>
      <w:suff w:val="nothing"/>
      <w:lvlText w:val="（%1）"/>
      <w:lvlJc w:val="left"/>
      <w:pPr>
        <w:ind w:left="0" w:firstLine="0"/>
      </w:pPr>
    </w:lvl>
  </w:abstractNum>
  <w:abstractNum w:abstractNumId="15">
    <w:nsid w:val="55241DB5"/>
    <w:multiLevelType w:val="multilevel"/>
    <w:tmpl w:val="C6FC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CA4DAE"/>
    <w:multiLevelType w:val="singleLevel"/>
    <w:tmpl w:val="58CA4DAE"/>
    <w:lvl w:ilvl="0">
      <w:start w:val="1"/>
      <w:numFmt w:val="decimal"/>
      <w:suff w:val="nothing"/>
      <w:lvlText w:val="%1."/>
      <w:lvlJc w:val="left"/>
    </w:lvl>
  </w:abstractNum>
  <w:abstractNum w:abstractNumId="17">
    <w:nsid w:val="58CA61A8"/>
    <w:multiLevelType w:val="singleLevel"/>
    <w:tmpl w:val="58CA61A8"/>
    <w:lvl w:ilvl="0">
      <w:start w:val="3"/>
      <w:numFmt w:val="decimal"/>
      <w:suff w:val="nothing"/>
      <w:lvlText w:val="%1、"/>
      <w:lvlJc w:val="left"/>
    </w:lvl>
  </w:abstractNum>
  <w:abstractNum w:abstractNumId="18">
    <w:nsid w:val="5AC1765E"/>
    <w:multiLevelType w:val="hybridMultilevel"/>
    <w:tmpl w:val="ED6CD1A6"/>
    <w:lvl w:ilvl="0" w:tplc="13564C5C">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AEC6224"/>
    <w:multiLevelType w:val="hybridMultilevel"/>
    <w:tmpl w:val="533CAEFC"/>
    <w:lvl w:ilvl="0" w:tplc="FE04843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6A25649E"/>
    <w:multiLevelType w:val="hybridMultilevel"/>
    <w:tmpl w:val="8AF69656"/>
    <w:lvl w:ilvl="0" w:tplc="E17CD32A">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43525B"/>
    <w:multiLevelType w:val="multilevel"/>
    <w:tmpl w:val="B1046694"/>
    <w:lvl w:ilvl="0">
      <w:start w:val="1"/>
      <w:numFmt w:val="chineseCountingThousand"/>
      <w:lvlText w:val="第%1章"/>
      <w:lvlJc w:val="left"/>
      <w:pPr>
        <w:tabs>
          <w:tab w:val="num" w:pos="1080"/>
        </w:tabs>
        <w:ind w:left="425" w:hanging="425"/>
      </w:pPr>
      <w:rPr>
        <w:rFonts w:ascii="Times New Roman" w:eastAsia="黑体" w:hAnsi="Times New Roman" w:hint="default"/>
        <w:b/>
        <w:i w:val="0"/>
        <w:sz w:val="32"/>
      </w:rPr>
    </w:lvl>
    <w:lvl w:ilvl="1">
      <w:start w:val="1"/>
      <w:numFmt w:val="decimal"/>
      <w:pStyle w:val="2"/>
      <w:isLgl/>
      <w:lvlText w:val="%1.%2"/>
      <w:lvlJc w:val="left"/>
      <w:pPr>
        <w:tabs>
          <w:tab w:val="num" w:pos="578"/>
        </w:tabs>
        <w:ind w:left="578" w:hanging="578"/>
      </w:pPr>
      <w:rPr>
        <w:rFonts w:ascii="Times New Roman" w:eastAsia="黑体" w:hAnsi="Times New Roman" w:hint="default"/>
        <w:b/>
        <w:i w:val="0"/>
        <w:sz w:val="30"/>
      </w:rPr>
    </w:lvl>
    <w:lvl w:ilvl="2">
      <w:start w:val="1"/>
      <w:numFmt w:val="decimal"/>
      <w:isLgl/>
      <w:lvlText w:val="%1.%2.%3."/>
      <w:lvlJc w:val="left"/>
      <w:pPr>
        <w:tabs>
          <w:tab w:val="num" w:pos="720"/>
        </w:tabs>
        <w:ind w:left="578" w:hanging="578"/>
      </w:pPr>
      <w:rPr>
        <w:rFonts w:ascii="Times New Roman" w:eastAsia="黑体" w:hAnsi="Times New Roman" w:hint="default"/>
        <w:b/>
        <w:i w:val="0"/>
      </w:rPr>
    </w:lvl>
    <w:lvl w:ilvl="3">
      <w:start w:val="1"/>
      <w:numFmt w:val="decimal"/>
      <w:isLgl/>
      <w:lvlText w:val="%1.%2.%3.%4."/>
      <w:lvlJc w:val="left"/>
      <w:pPr>
        <w:tabs>
          <w:tab w:val="num" w:pos="851"/>
        </w:tabs>
        <w:ind w:left="851" w:hanging="851"/>
      </w:pPr>
      <w:rPr>
        <w:rFonts w:ascii="Times New Roman" w:eastAsia="黑体" w:hAnsi="Times New Roman" w:hint="default"/>
        <w:b/>
        <w:i w:val="0"/>
        <w:sz w:val="24"/>
      </w:rPr>
    </w:lvl>
    <w:lvl w:ilvl="4">
      <w:start w:val="1"/>
      <w:numFmt w:val="decimal"/>
      <w:isLgl/>
      <w:lvlText w:val="%1.%2.%3.%4.%5."/>
      <w:lvlJc w:val="left"/>
      <w:pPr>
        <w:tabs>
          <w:tab w:val="num" w:pos="1440"/>
        </w:tabs>
        <w:ind w:left="992" w:hanging="992"/>
      </w:pPr>
      <w:rPr>
        <w:rFonts w:hint="eastAsia"/>
      </w:rPr>
    </w:lvl>
    <w:lvl w:ilvl="5">
      <w:start w:val="1"/>
      <w:numFmt w:val="decimal"/>
      <w:isLgl/>
      <w:lvlText w:val="%1.%2.%3.%4.%5.%6."/>
      <w:lvlJc w:val="left"/>
      <w:pPr>
        <w:tabs>
          <w:tab w:val="num" w:pos="1440"/>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nsid w:val="6FD47791"/>
    <w:multiLevelType w:val="multilevel"/>
    <w:tmpl w:val="B5F4D6D4"/>
    <w:lvl w:ilvl="0">
      <w:start w:val="1"/>
      <w:numFmt w:val="chineseCountingThousand"/>
      <w:suff w:val="space"/>
      <w:lvlText w:val="第%1章"/>
      <w:lvlJc w:val="left"/>
      <w:pPr>
        <w:ind w:left="432" w:hanging="432"/>
      </w:pPr>
      <w:rPr>
        <w:rFonts w:hint="eastAsia"/>
        <w:b/>
        <w:i w:val="0"/>
        <w:sz w:val="32"/>
        <w:szCs w:val="32"/>
      </w:rPr>
    </w:lvl>
    <w:lvl w:ilvl="1">
      <w:start w:val="1"/>
      <w:numFmt w:val="decimal"/>
      <w:isLgl/>
      <w:lvlText w:val="%1.%2"/>
      <w:lvlJc w:val="left"/>
      <w:pPr>
        <w:tabs>
          <w:tab w:val="num" w:pos="576"/>
        </w:tabs>
        <w:ind w:left="576" w:hanging="576"/>
      </w:pPr>
      <w:rPr>
        <w:rFonts w:hint="eastAsia"/>
        <w:sz w:val="28"/>
      </w:rPr>
    </w:lvl>
    <w:lvl w:ilvl="2">
      <w:start w:val="1"/>
      <w:numFmt w:val="decimal"/>
      <w:isLgl/>
      <w:lvlText w:val="%1.%2.%3"/>
      <w:lvlJc w:val="left"/>
      <w:pPr>
        <w:tabs>
          <w:tab w:val="num" w:pos="1260"/>
        </w:tabs>
        <w:ind w:left="1260" w:hanging="720"/>
      </w:pPr>
      <w:rPr>
        <w:rFonts w:hint="eastAsia"/>
      </w:rPr>
    </w:lvl>
    <w:lvl w:ilvl="3">
      <w:start w:val="1"/>
      <w:numFmt w:val="decimal"/>
      <w:isLgl/>
      <w:lvlText w:val="%1.%2.%3.%4"/>
      <w:lvlJc w:val="left"/>
      <w:pPr>
        <w:tabs>
          <w:tab w:val="num" w:pos="1620"/>
        </w:tabs>
        <w:ind w:left="140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3">
    <w:nsid w:val="70FF41AC"/>
    <w:multiLevelType w:val="hybridMultilevel"/>
    <w:tmpl w:val="ED3817FA"/>
    <w:lvl w:ilvl="0" w:tplc="1E483BE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1594146"/>
    <w:multiLevelType w:val="multilevel"/>
    <w:tmpl w:val="AD30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754069"/>
    <w:multiLevelType w:val="hybridMultilevel"/>
    <w:tmpl w:val="186EA316"/>
    <w:lvl w:ilvl="0" w:tplc="9950FDB2">
      <w:start w:val="1"/>
      <w:numFmt w:val="japaneseCounting"/>
      <w:lvlText w:val="%1、"/>
      <w:lvlJc w:val="left"/>
      <w:pPr>
        <w:tabs>
          <w:tab w:val="num" w:pos="1320"/>
        </w:tabs>
        <w:ind w:left="1320" w:hanging="645"/>
      </w:pPr>
      <w:rPr>
        <w:rFonts w:hint="default"/>
      </w:rPr>
    </w:lvl>
    <w:lvl w:ilvl="1" w:tplc="04090019" w:tentative="1">
      <w:start w:val="1"/>
      <w:numFmt w:val="lowerLetter"/>
      <w:lvlText w:val="%2)"/>
      <w:lvlJc w:val="left"/>
      <w:pPr>
        <w:tabs>
          <w:tab w:val="num" w:pos="1515"/>
        </w:tabs>
        <w:ind w:left="1515" w:hanging="420"/>
      </w:pPr>
    </w:lvl>
    <w:lvl w:ilvl="2" w:tplc="0409001B" w:tentative="1">
      <w:start w:val="1"/>
      <w:numFmt w:val="lowerRoman"/>
      <w:lvlText w:val="%3."/>
      <w:lvlJc w:val="righ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9" w:tentative="1">
      <w:start w:val="1"/>
      <w:numFmt w:val="lowerLetter"/>
      <w:lvlText w:val="%5)"/>
      <w:lvlJc w:val="left"/>
      <w:pPr>
        <w:tabs>
          <w:tab w:val="num" w:pos="2775"/>
        </w:tabs>
        <w:ind w:left="2775" w:hanging="420"/>
      </w:pPr>
    </w:lvl>
    <w:lvl w:ilvl="5" w:tplc="0409001B" w:tentative="1">
      <w:start w:val="1"/>
      <w:numFmt w:val="lowerRoman"/>
      <w:lvlText w:val="%6."/>
      <w:lvlJc w:val="righ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9" w:tentative="1">
      <w:start w:val="1"/>
      <w:numFmt w:val="lowerLetter"/>
      <w:lvlText w:val="%8)"/>
      <w:lvlJc w:val="left"/>
      <w:pPr>
        <w:tabs>
          <w:tab w:val="num" w:pos="4035"/>
        </w:tabs>
        <w:ind w:left="4035" w:hanging="420"/>
      </w:pPr>
    </w:lvl>
    <w:lvl w:ilvl="8" w:tplc="0409001B" w:tentative="1">
      <w:start w:val="1"/>
      <w:numFmt w:val="lowerRoman"/>
      <w:lvlText w:val="%9."/>
      <w:lvlJc w:val="right"/>
      <w:pPr>
        <w:tabs>
          <w:tab w:val="num" w:pos="4455"/>
        </w:tabs>
        <w:ind w:left="4455" w:hanging="420"/>
      </w:pPr>
    </w:lvl>
  </w:abstractNum>
  <w:abstractNum w:abstractNumId="26">
    <w:nsid w:val="76E215DE"/>
    <w:multiLevelType w:val="hybridMultilevel"/>
    <w:tmpl w:val="E1D68720"/>
    <w:lvl w:ilvl="0" w:tplc="A5427108">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B89134D"/>
    <w:multiLevelType w:val="hybridMultilevel"/>
    <w:tmpl w:val="6A6E6504"/>
    <w:lvl w:ilvl="0" w:tplc="B7782C7E">
      <w:start w:val="1"/>
      <w:numFmt w:val="chineseCountingThousand"/>
      <w:lvlText w:val="%1、"/>
      <w:lvlJc w:val="left"/>
      <w:pPr>
        <w:ind w:left="1062" w:hanging="420"/>
      </w:pPr>
      <w:rPr>
        <w:lang w:val="en-US"/>
      </w:rPr>
    </w:lvl>
    <w:lvl w:ilvl="1" w:tplc="04090019" w:tentative="1">
      <w:start w:val="1"/>
      <w:numFmt w:val="lowerLetter"/>
      <w:lvlText w:val="%2)"/>
      <w:lvlJc w:val="left"/>
      <w:pPr>
        <w:ind w:left="1482" w:hanging="420"/>
      </w:pPr>
    </w:lvl>
    <w:lvl w:ilvl="2" w:tplc="0409001B" w:tentative="1">
      <w:start w:val="1"/>
      <w:numFmt w:val="lowerRoman"/>
      <w:lvlText w:val="%3."/>
      <w:lvlJc w:val="right"/>
      <w:pPr>
        <w:ind w:left="1902" w:hanging="420"/>
      </w:pPr>
    </w:lvl>
    <w:lvl w:ilvl="3" w:tplc="0409000F" w:tentative="1">
      <w:start w:val="1"/>
      <w:numFmt w:val="decimal"/>
      <w:lvlText w:val="%4."/>
      <w:lvlJc w:val="left"/>
      <w:pPr>
        <w:ind w:left="2322" w:hanging="420"/>
      </w:pPr>
    </w:lvl>
    <w:lvl w:ilvl="4" w:tplc="04090019" w:tentative="1">
      <w:start w:val="1"/>
      <w:numFmt w:val="lowerLetter"/>
      <w:lvlText w:val="%5)"/>
      <w:lvlJc w:val="left"/>
      <w:pPr>
        <w:ind w:left="2742" w:hanging="420"/>
      </w:pPr>
    </w:lvl>
    <w:lvl w:ilvl="5" w:tplc="0409001B" w:tentative="1">
      <w:start w:val="1"/>
      <w:numFmt w:val="lowerRoman"/>
      <w:lvlText w:val="%6."/>
      <w:lvlJc w:val="right"/>
      <w:pPr>
        <w:ind w:left="3162" w:hanging="420"/>
      </w:pPr>
    </w:lvl>
    <w:lvl w:ilvl="6" w:tplc="0409000F" w:tentative="1">
      <w:start w:val="1"/>
      <w:numFmt w:val="decimal"/>
      <w:lvlText w:val="%7."/>
      <w:lvlJc w:val="left"/>
      <w:pPr>
        <w:ind w:left="3582" w:hanging="420"/>
      </w:pPr>
    </w:lvl>
    <w:lvl w:ilvl="7" w:tplc="04090019" w:tentative="1">
      <w:start w:val="1"/>
      <w:numFmt w:val="lowerLetter"/>
      <w:lvlText w:val="%8)"/>
      <w:lvlJc w:val="left"/>
      <w:pPr>
        <w:ind w:left="4002" w:hanging="420"/>
      </w:pPr>
    </w:lvl>
    <w:lvl w:ilvl="8" w:tplc="0409001B" w:tentative="1">
      <w:start w:val="1"/>
      <w:numFmt w:val="lowerRoman"/>
      <w:lvlText w:val="%9."/>
      <w:lvlJc w:val="right"/>
      <w:pPr>
        <w:ind w:left="4422" w:hanging="420"/>
      </w:pPr>
    </w:lvl>
  </w:abstractNum>
  <w:abstractNum w:abstractNumId="28">
    <w:nsid w:val="7C9D59C2"/>
    <w:multiLevelType w:val="hybridMultilevel"/>
    <w:tmpl w:val="199A7012"/>
    <w:lvl w:ilvl="0" w:tplc="CD4EA1D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4"/>
    <w:lvlOverride w:ilvl="0">
      <w:startOverride w:val="2"/>
    </w:lvlOverride>
  </w:num>
  <w:num w:numId="2">
    <w:abstractNumId w:val="10"/>
  </w:num>
  <w:num w:numId="3">
    <w:abstractNumId w:val="1"/>
  </w:num>
  <w:num w:numId="4">
    <w:abstractNumId w:val="19"/>
  </w:num>
  <w:num w:numId="5">
    <w:abstractNumId w:val="18"/>
  </w:num>
  <w:num w:numId="6">
    <w:abstractNumId w:val="26"/>
  </w:num>
  <w:num w:numId="7">
    <w:abstractNumId w:val="2"/>
  </w:num>
  <w:num w:numId="8">
    <w:abstractNumId w:val="28"/>
  </w:num>
  <w:num w:numId="9">
    <w:abstractNumId w:val="3"/>
  </w:num>
  <w:num w:numId="10">
    <w:abstractNumId w:val="12"/>
  </w:num>
  <w:num w:numId="11">
    <w:abstractNumId w:val="1"/>
  </w:num>
  <w:num w:numId="12">
    <w:abstractNumId w:val="0"/>
  </w:num>
  <w:num w:numId="13">
    <w:abstractNumId w:val="22"/>
  </w:num>
  <w:num w:numId="14">
    <w:abstractNumId w:val="21"/>
  </w:num>
  <w:num w:numId="15">
    <w:abstractNumId w:val="4"/>
  </w:num>
  <w:num w:numId="16">
    <w:abstractNumId w:val="9"/>
  </w:num>
  <w:num w:numId="17">
    <w:abstractNumId w:val="11"/>
  </w:num>
  <w:num w:numId="18">
    <w:abstractNumId w:val="8"/>
  </w:num>
  <w:num w:numId="19">
    <w:abstractNumId w:val="25"/>
  </w:num>
  <w:num w:numId="20">
    <w:abstractNumId w:val="20"/>
  </w:num>
  <w:num w:numId="21">
    <w:abstractNumId w:val="23"/>
  </w:num>
  <w:num w:numId="22">
    <w:abstractNumId w:val="17"/>
  </w:num>
  <w:num w:numId="23">
    <w:abstractNumId w:val="27"/>
  </w:num>
  <w:num w:numId="24">
    <w:abstractNumId w:val="16"/>
  </w:num>
  <w:num w:numId="25">
    <w:abstractNumId w:val="24"/>
  </w:num>
  <w:num w:numId="26">
    <w:abstractNumId w:val="6"/>
  </w:num>
  <w:num w:numId="27">
    <w:abstractNumId w:val="15"/>
  </w:num>
  <w:num w:numId="28">
    <w:abstractNumId w:val="13"/>
  </w:num>
  <w:num w:numId="29">
    <w:abstractNumId w:val="7"/>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savePreviewPicture/>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3090"/>
    <w:rsid w:val="000000A5"/>
    <w:rsid w:val="00000B6C"/>
    <w:rsid w:val="000013E6"/>
    <w:rsid w:val="000018D2"/>
    <w:rsid w:val="00001B06"/>
    <w:rsid w:val="00003CFE"/>
    <w:rsid w:val="00004836"/>
    <w:rsid w:val="000102FC"/>
    <w:rsid w:val="00012261"/>
    <w:rsid w:val="000140F6"/>
    <w:rsid w:val="00014228"/>
    <w:rsid w:val="000144C4"/>
    <w:rsid w:val="000145A6"/>
    <w:rsid w:val="0001502A"/>
    <w:rsid w:val="00015566"/>
    <w:rsid w:val="00016C0C"/>
    <w:rsid w:val="00016E24"/>
    <w:rsid w:val="00017C70"/>
    <w:rsid w:val="00017CB4"/>
    <w:rsid w:val="00020D5A"/>
    <w:rsid w:val="00021508"/>
    <w:rsid w:val="000222D1"/>
    <w:rsid w:val="00024E05"/>
    <w:rsid w:val="000251A1"/>
    <w:rsid w:val="00027E1A"/>
    <w:rsid w:val="00031323"/>
    <w:rsid w:val="000326EC"/>
    <w:rsid w:val="000344A7"/>
    <w:rsid w:val="00034974"/>
    <w:rsid w:val="00034A67"/>
    <w:rsid w:val="00037060"/>
    <w:rsid w:val="00037A76"/>
    <w:rsid w:val="0004192C"/>
    <w:rsid w:val="00042513"/>
    <w:rsid w:val="000437AB"/>
    <w:rsid w:val="00043F78"/>
    <w:rsid w:val="0004451B"/>
    <w:rsid w:val="00044A78"/>
    <w:rsid w:val="00045BE3"/>
    <w:rsid w:val="00050B64"/>
    <w:rsid w:val="00051300"/>
    <w:rsid w:val="00051333"/>
    <w:rsid w:val="00053C6C"/>
    <w:rsid w:val="000552FB"/>
    <w:rsid w:val="00055935"/>
    <w:rsid w:val="0005789D"/>
    <w:rsid w:val="00057BEA"/>
    <w:rsid w:val="00060090"/>
    <w:rsid w:val="0006035C"/>
    <w:rsid w:val="00060955"/>
    <w:rsid w:val="00060D21"/>
    <w:rsid w:val="00061B01"/>
    <w:rsid w:val="0006327B"/>
    <w:rsid w:val="00064D94"/>
    <w:rsid w:val="00064DDF"/>
    <w:rsid w:val="0006599E"/>
    <w:rsid w:val="00065FB8"/>
    <w:rsid w:val="000665DC"/>
    <w:rsid w:val="00066AD7"/>
    <w:rsid w:val="00066C55"/>
    <w:rsid w:val="0007090A"/>
    <w:rsid w:val="00071148"/>
    <w:rsid w:val="0007193A"/>
    <w:rsid w:val="00072130"/>
    <w:rsid w:val="00072326"/>
    <w:rsid w:val="00074A15"/>
    <w:rsid w:val="00075AAE"/>
    <w:rsid w:val="00076DD6"/>
    <w:rsid w:val="0007747A"/>
    <w:rsid w:val="000800C6"/>
    <w:rsid w:val="00080ABE"/>
    <w:rsid w:val="00081257"/>
    <w:rsid w:val="0008213A"/>
    <w:rsid w:val="0008246D"/>
    <w:rsid w:val="000827EF"/>
    <w:rsid w:val="00083C3C"/>
    <w:rsid w:val="0008412B"/>
    <w:rsid w:val="00085A34"/>
    <w:rsid w:val="000860AA"/>
    <w:rsid w:val="00090EEE"/>
    <w:rsid w:val="000929A8"/>
    <w:rsid w:val="000932A8"/>
    <w:rsid w:val="000946E7"/>
    <w:rsid w:val="000949E6"/>
    <w:rsid w:val="000958A3"/>
    <w:rsid w:val="00097D0E"/>
    <w:rsid w:val="000A231B"/>
    <w:rsid w:val="000A6B39"/>
    <w:rsid w:val="000B1BC1"/>
    <w:rsid w:val="000B2CD7"/>
    <w:rsid w:val="000B2F04"/>
    <w:rsid w:val="000B398C"/>
    <w:rsid w:val="000B6D8A"/>
    <w:rsid w:val="000B723F"/>
    <w:rsid w:val="000B7C98"/>
    <w:rsid w:val="000C0856"/>
    <w:rsid w:val="000C2195"/>
    <w:rsid w:val="000C3C7F"/>
    <w:rsid w:val="000C3D84"/>
    <w:rsid w:val="000C4CAF"/>
    <w:rsid w:val="000C540A"/>
    <w:rsid w:val="000C5448"/>
    <w:rsid w:val="000C7521"/>
    <w:rsid w:val="000C7B16"/>
    <w:rsid w:val="000D0E41"/>
    <w:rsid w:val="000D2C36"/>
    <w:rsid w:val="000D3E6B"/>
    <w:rsid w:val="000D4284"/>
    <w:rsid w:val="000D44AE"/>
    <w:rsid w:val="000D4DCD"/>
    <w:rsid w:val="000D66AA"/>
    <w:rsid w:val="000D729D"/>
    <w:rsid w:val="000D75F8"/>
    <w:rsid w:val="000E266F"/>
    <w:rsid w:val="000E386B"/>
    <w:rsid w:val="000E56E2"/>
    <w:rsid w:val="000E5ADE"/>
    <w:rsid w:val="000E70C3"/>
    <w:rsid w:val="000F028A"/>
    <w:rsid w:val="000F07A8"/>
    <w:rsid w:val="000F1EE7"/>
    <w:rsid w:val="000F35DD"/>
    <w:rsid w:val="000F373C"/>
    <w:rsid w:val="000F46AA"/>
    <w:rsid w:val="0010017C"/>
    <w:rsid w:val="0010042E"/>
    <w:rsid w:val="00100D31"/>
    <w:rsid w:val="001021AA"/>
    <w:rsid w:val="001025B3"/>
    <w:rsid w:val="00102A13"/>
    <w:rsid w:val="00102EFA"/>
    <w:rsid w:val="0010378A"/>
    <w:rsid w:val="00103DE2"/>
    <w:rsid w:val="0010454F"/>
    <w:rsid w:val="00105309"/>
    <w:rsid w:val="001110C4"/>
    <w:rsid w:val="00112182"/>
    <w:rsid w:val="00112F2E"/>
    <w:rsid w:val="001137BD"/>
    <w:rsid w:val="0011396B"/>
    <w:rsid w:val="001175DB"/>
    <w:rsid w:val="00117601"/>
    <w:rsid w:val="001217E7"/>
    <w:rsid w:val="0012192A"/>
    <w:rsid w:val="00121BD4"/>
    <w:rsid w:val="00122C50"/>
    <w:rsid w:val="00123D7D"/>
    <w:rsid w:val="0012529D"/>
    <w:rsid w:val="00126021"/>
    <w:rsid w:val="00127ACC"/>
    <w:rsid w:val="00132B27"/>
    <w:rsid w:val="001345F2"/>
    <w:rsid w:val="00135D46"/>
    <w:rsid w:val="00140452"/>
    <w:rsid w:val="00140F29"/>
    <w:rsid w:val="00141109"/>
    <w:rsid w:val="00142C33"/>
    <w:rsid w:val="00145972"/>
    <w:rsid w:val="00146BF5"/>
    <w:rsid w:val="00147734"/>
    <w:rsid w:val="001500A0"/>
    <w:rsid w:val="001502FD"/>
    <w:rsid w:val="00150301"/>
    <w:rsid w:val="001519CD"/>
    <w:rsid w:val="00153076"/>
    <w:rsid w:val="00153C25"/>
    <w:rsid w:val="00153DDC"/>
    <w:rsid w:val="00155150"/>
    <w:rsid w:val="0015544B"/>
    <w:rsid w:val="0015573C"/>
    <w:rsid w:val="00155BBD"/>
    <w:rsid w:val="0015665D"/>
    <w:rsid w:val="00163AC6"/>
    <w:rsid w:val="001653DA"/>
    <w:rsid w:val="0016668A"/>
    <w:rsid w:val="001678B9"/>
    <w:rsid w:val="00167B89"/>
    <w:rsid w:val="00170263"/>
    <w:rsid w:val="00171AEA"/>
    <w:rsid w:val="00172704"/>
    <w:rsid w:val="00172AE9"/>
    <w:rsid w:val="00175C5A"/>
    <w:rsid w:val="00176CCB"/>
    <w:rsid w:val="00176D85"/>
    <w:rsid w:val="00182CA1"/>
    <w:rsid w:val="001845D6"/>
    <w:rsid w:val="00184D41"/>
    <w:rsid w:val="00186924"/>
    <w:rsid w:val="00190C5C"/>
    <w:rsid w:val="00192366"/>
    <w:rsid w:val="00193505"/>
    <w:rsid w:val="001947A2"/>
    <w:rsid w:val="001963F4"/>
    <w:rsid w:val="00196789"/>
    <w:rsid w:val="0019795A"/>
    <w:rsid w:val="001A39FC"/>
    <w:rsid w:val="001A4489"/>
    <w:rsid w:val="001A557A"/>
    <w:rsid w:val="001A5F35"/>
    <w:rsid w:val="001A64EE"/>
    <w:rsid w:val="001A7A34"/>
    <w:rsid w:val="001A7A6C"/>
    <w:rsid w:val="001B1038"/>
    <w:rsid w:val="001B24DD"/>
    <w:rsid w:val="001B29DA"/>
    <w:rsid w:val="001B35DE"/>
    <w:rsid w:val="001B3C10"/>
    <w:rsid w:val="001B3E30"/>
    <w:rsid w:val="001B4A94"/>
    <w:rsid w:val="001B73D5"/>
    <w:rsid w:val="001B75B5"/>
    <w:rsid w:val="001C0420"/>
    <w:rsid w:val="001C2C47"/>
    <w:rsid w:val="001C2D6F"/>
    <w:rsid w:val="001C3427"/>
    <w:rsid w:val="001C3668"/>
    <w:rsid w:val="001C3D3F"/>
    <w:rsid w:val="001C4DE4"/>
    <w:rsid w:val="001C5E04"/>
    <w:rsid w:val="001C77AA"/>
    <w:rsid w:val="001D23F9"/>
    <w:rsid w:val="001D65FF"/>
    <w:rsid w:val="001D6C54"/>
    <w:rsid w:val="001E0192"/>
    <w:rsid w:val="001E11CF"/>
    <w:rsid w:val="001E2174"/>
    <w:rsid w:val="001E28C3"/>
    <w:rsid w:val="001E2AE4"/>
    <w:rsid w:val="001E44B8"/>
    <w:rsid w:val="001E46DD"/>
    <w:rsid w:val="001E65C9"/>
    <w:rsid w:val="001E6C0A"/>
    <w:rsid w:val="001E7601"/>
    <w:rsid w:val="001E7853"/>
    <w:rsid w:val="001F073B"/>
    <w:rsid w:val="001F1A77"/>
    <w:rsid w:val="001F1B64"/>
    <w:rsid w:val="001F2BBA"/>
    <w:rsid w:val="001F4553"/>
    <w:rsid w:val="001F6234"/>
    <w:rsid w:val="001F64F9"/>
    <w:rsid w:val="001F654D"/>
    <w:rsid w:val="001F6983"/>
    <w:rsid w:val="001F7A0D"/>
    <w:rsid w:val="00202E9A"/>
    <w:rsid w:val="0020769C"/>
    <w:rsid w:val="00207706"/>
    <w:rsid w:val="00210753"/>
    <w:rsid w:val="002117FC"/>
    <w:rsid w:val="00212E6E"/>
    <w:rsid w:val="0021674B"/>
    <w:rsid w:val="002179EC"/>
    <w:rsid w:val="00217A87"/>
    <w:rsid w:val="00217D0A"/>
    <w:rsid w:val="00217D14"/>
    <w:rsid w:val="002201D3"/>
    <w:rsid w:val="00221D8D"/>
    <w:rsid w:val="00222951"/>
    <w:rsid w:val="00225861"/>
    <w:rsid w:val="00225C92"/>
    <w:rsid w:val="00226730"/>
    <w:rsid w:val="002271DF"/>
    <w:rsid w:val="0023109E"/>
    <w:rsid w:val="00232148"/>
    <w:rsid w:val="00232B2F"/>
    <w:rsid w:val="00232D75"/>
    <w:rsid w:val="002331ED"/>
    <w:rsid w:val="002341E6"/>
    <w:rsid w:val="0023507A"/>
    <w:rsid w:val="00235AA3"/>
    <w:rsid w:val="00235F6F"/>
    <w:rsid w:val="00236595"/>
    <w:rsid w:val="00237100"/>
    <w:rsid w:val="00237A4F"/>
    <w:rsid w:val="00241571"/>
    <w:rsid w:val="00241B08"/>
    <w:rsid w:val="002446A0"/>
    <w:rsid w:val="00246CF7"/>
    <w:rsid w:val="00247917"/>
    <w:rsid w:val="00251E00"/>
    <w:rsid w:val="00253B2F"/>
    <w:rsid w:val="00257160"/>
    <w:rsid w:val="00257A7A"/>
    <w:rsid w:val="0026064C"/>
    <w:rsid w:val="00263054"/>
    <w:rsid w:val="00263068"/>
    <w:rsid w:val="00263C61"/>
    <w:rsid w:val="002640A5"/>
    <w:rsid w:val="00265D66"/>
    <w:rsid w:val="00266D22"/>
    <w:rsid w:val="002679AF"/>
    <w:rsid w:val="002728EE"/>
    <w:rsid w:val="00272BB8"/>
    <w:rsid w:val="0027450B"/>
    <w:rsid w:val="002746AC"/>
    <w:rsid w:val="0028037D"/>
    <w:rsid w:val="002804EB"/>
    <w:rsid w:val="00280896"/>
    <w:rsid w:val="0028124F"/>
    <w:rsid w:val="00282028"/>
    <w:rsid w:val="0028383E"/>
    <w:rsid w:val="00283CB5"/>
    <w:rsid w:val="002852AC"/>
    <w:rsid w:val="002901E6"/>
    <w:rsid w:val="002920D6"/>
    <w:rsid w:val="002943B4"/>
    <w:rsid w:val="00294493"/>
    <w:rsid w:val="002A0D8B"/>
    <w:rsid w:val="002A0FC9"/>
    <w:rsid w:val="002A2C50"/>
    <w:rsid w:val="002A2D38"/>
    <w:rsid w:val="002A3C36"/>
    <w:rsid w:val="002A6166"/>
    <w:rsid w:val="002A7317"/>
    <w:rsid w:val="002B0D52"/>
    <w:rsid w:val="002B0E04"/>
    <w:rsid w:val="002B1A1A"/>
    <w:rsid w:val="002B436E"/>
    <w:rsid w:val="002B4750"/>
    <w:rsid w:val="002B6FB0"/>
    <w:rsid w:val="002C0D31"/>
    <w:rsid w:val="002C2851"/>
    <w:rsid w:val="002C444E"/>
    <w:rsid w:val="002C610F"/>
    <w:rsid w:val="002C639E"/>
    <w:rsid w:val="002C66C6"/>
    <w:rsid w:val="002D126F"/>
    <w:rsid w:val="002D161D"/>
    <w:rsid w:val="002D391C"/>
    <w:rsid w:val="002D52A8"/>
    <w:rsid w:val="002D583E"/>
    <w:rsid w:val="002D5E34"/>
    <w:rsid w:val="002D600C"/>
    <w:rsid w:val="002D604C"/>
    <w:rsid w:val="002D630C"/>
    <w:rsid w:val="002D6EFA"/>
    <w:rsid w:val="002E1FC8"/>
    <w:rsid w:val="002E3F07"/>
    <w:rsid w:val="002E56E2"/>
    <w:rsid w:val="002E5C18"/>
    <w:rsid w:val="002E5FA0"/>
    <w:rsid w:val="002E60BB"/>
    <w:rsid w:val="002E6D76"/>
    <w:rsid w:val="002F190F"/>
    <w:rsid w:val="002F2CE9"/>
    <w:rsid w:val="002F41AF"/>
    <w:rsid w:val="002F5824"/>
    <w:rsid w:val="002F7B7A"/>
    <w:rsid w:val="0030084A"/>
    <w:rsid w:val="00300E20"/>
    <w:rsid w:val="00300E89"/>
    <w:rsid w:val="00301947"/>
    <w:rsid w:val="00302823"/>
    <w:rsid w:val="00307432"/>
    <w:rsid w:val="00310C58"/>
    <w:rsid w:val="00311D1A"/>
    <w:rsid w:val="0031385F"/>
    <w:rsid w:val="0031635D"/>
    <w:rsid w:val="003177B2"/>
    <w:rsid w:val="003200D0"/>
    <w:rsid w:val="003214F4"/>
    <w:rsid w:val="00321C76"/>
    <w:rsid w:val="00324C7E"/>
    <w:rsid w:val="003261C5"/>
    <w:rsid w:val="00326979"/>
    <w:rsid w:val="00326D3C"/>
    <w:rsid w:val="00326F7F"/>
    <w:rsid w:val="00330372"/>
    <w:rsid w:val="00332253"/>
    <w:rsid w:val="00332DD8"/>
    <w:rsid w:val="00333841"/>
    <w:rsid w:val="0033438D"/>
    <w:rsid w:val="00336C7B"/>
    <w:rsid w:val="00336D76"/>
    <w:rsid w:val="00337140"/>
    <w:rsid w:val="00341B84"/>
    <w:rsid w:val="00342480"/>
    <w:rsid w:val="00342B9F"/>
    <w:rsid w:val="00342E86"/>
    <w:rsid w:val="00343214"/>
    <w:rsid w:val="003432A6"/>
    <w:rsid w:val="00346A99"/>
    <w:rsid w:val="00347C0B"/>
    <w:rsid w:val="003511EF"/>
    <w:rsid w:val="003514C1"/>
    <w:rsid w:val="0035150A"/>
    <w:rsid w:val="0035216D"/>
    <w:rsid w:val="00352705"/>
    <w:rsid w:val="00352848"/>
    <w:rsid w:val="00354F47"/>
    <w:rsid w:val="0035558D"/>
    <w:rsid w:val="003563B1"/>
    <w:rsid w:val="00356D46"/>
    <w:rsid w:val="00357922"/>
    <w:rsid w:val="00357C98"/>
    <w:rsid w:val="0036038E"/>
    <w:rsid w:val="00361D22"/>
    <w:rsid w:val="00362561"/>
    <w:rsid w:val="003627EE"/>
    <w:rsid w:val="003649F7"/>
    <w:rsid w:val="00364BCB"/>
    <w:rsid w:val="00365E32"/>
    <w:rsid w:val="00366C15"/>
    <w:rsid w:val="00366C43"/>
    <w:rsid w:val="00366EA7"/>
    <w:rsid w:val="00370C24"/>
    <w:rsid w:val="0037369E"/>
    <w:rsid w:val="00374475"/>
    <w:rsid w:val="00376174"/>
    <w:rsid w:val="00380CCD"/>
    <w:rsid w:val="00380FD6"/>
    <w:rsid w:val="0038185F"/>
    <w:rsid w:val="003820AC"/>
    <w:rsid w:val="00390305"/>
    <w:rsid w:val="00390A92"/>
    <w:rsid w:val="00390B1B"/>
    <w:rsid w:val="0039138E"/>
    <w:rsid w:val="0039181A"/>
    <w:rsid w:val="003947BF"/>
    <w:rsid w:val="0039488F"/>
    <w:rsid w:val="003957FE"/>
    <w:rsid w:val="00396C90"/>
    <w:rsid w:val="00397021"/>
    <w:rsid w:val="003A0651"/>
    <w:rsid w:val="003A209E"/>
    <w:rsid w:val="003A2BDC"/>
    <w:rsid w:val="003A6B3C"/>
    <w:rsid w:val="003A7C15"/>
    <w:rsid w:val="003B15C6"/>
    <w:rsid w:val="003B3116"/>
    <w:rsid w:val="003B42A4"/>
    <w:rsid w:val="003B4A2D"/>
    <w:rsid w:val="003B6904"/>
    <w:rsid w:val="003C0181"/>
    <w:rsid w:val="003C0B86"/>
    <w:rsid w:val="003C1668"/>
    <w:rsid w:val="003C2E2E"/>
    <w:rsid w:val="003C6578"/>
    <w:rsid w:val="003C70AA"/>
    <w:rsid w:val="003C7BE3"/>
    <w:rsid w:val="003D03C9"/>
    <w:rsid w:val="003D425D"/>
    <w:rsid w:val="003E043A"/>
    <w:rsid w:val="003E147B"/>
    <w:rsid w:val="003E208A"/>
    <w:rsid w:val="003E2567"/>
    <w:rsid w:val="003E2C46"/>
    <w:rsid w:val="003E3A45"/>
    <w:rsid w:val="003E5235"/>
    <w:rsid w:val="003E5470"/>
    <w:rsid w:val="003E72CC"/>
    <w:rsid w:val="003F01E1"/>
    <w:rsid w:val="003F04D0"/>
    <w:rsid w:val="003F174B"/>
    <w:rsid w:val="003F2067"/>
    <w:rsid w:val="003F3263"/>
    <w:rsid w:val="003F38A5"/>
    <w:rsid w:val="003F45C9"/>
    <w:rsid w:val="003F5228"/>
    <w:rsid w:val="003F7803"/>
    <w:rsid w:val="00400278"/>
    <w:rsid w:val="004005F2"/>
    <w:rsid w:val="00401CBA"/>
    <w:rsid w:val="00404E4D"/>
    <w:rsid w:val="00405376"/>
    <w:rsid w:val="004069F4"/>
    <w:rsid w:val="00406FBD"/>
    <w:rsid w:val="00407B6A"/>
    <w:rsid w:val="00407EBA"/>
    <w:rsid w:val="0041088B"/>
    <w:rsid w:val="004133ED"/>
    <w:rsid w:val="00415166"/>
    <w:rsid w:val="00415AD0"/>
    <w:rsid w:val="00415D07"/>
    <w:rsid w:val="004179EE"/>
    <w:rsid w:val="00417F43"/>
    <w:rsid w:val="0042053D"/>
    <w:rsid w:val="00420755"/>
    <w:rsid w:val="00420769"/>
    <w:rsid w:val="00425BDF"/>
    <w:rsid w:val="0043094C"/>
    <w:rsid w:val="00430DC8"/>
    <w:rsid w:val="00432C19"/>
    <w:rsid w:val="00433976"/>
    <w:rsid w:val="00434808"/>
    <w:rsid w:val="00434C2A"/>
    <w:rsid w:val="004353B1"/>
    <w:rsid w:val="00441323"/>
    <w:rsid w:val="00441B66"/>
    <w:rsid w:val="0044317E"/>
    <w:rsid w:val="00444056"/>
    <w:rsid w:val="00444A85"/>
    <w:rsid w:val="0044528F"/>
    <w:rsid w:val="004464C8"/>
    <w:rsid w:val="00450D38"/>
    <w:rsid w:val="00450F31"/>
    <w:rsid w:val="00450F4F"/>
    <w:rsid w:val="00452103"/>
    <w:rsid w:val="00452312"/>
    <w:rsid w:val="00452EE6"/>
    <w:rsid w:val="004545F4"/>
    <w:rsid w:val="00455789"/>
    <w:rsid w:val="00455896"/>
    <w:rsid w:val="004611D2"/>
    <w:rsid w:val="00461E73"/>
    <w:rsid w:val="00462DB8"/>
    <w:rsid w:val="00463089"/>
    <w:rsid w:val="00463215"/>
    <w:rsid w:val="004636C2"/>
    <w:rsid w:val="00465EDB"/>
    <w:rsid w:val="00466487"/>
    <w:rsid w:val="00466647"/>
    <w:rsid w:val="00467271"/>
    <w:rsid w:val="00474020"/>
    <w:rsid w:val="00475780"/>
    <w:rsid w:val="00475B33"/>
    <w:rsid w:val="00476795"/>
    <w:rsid w:val="00477E8B"/>
    <w:rsid w:val="004803A0"/>
    <w:rsid w:val="0048197D"/>
    <w:rsid w:val="00481EF6"/>
    <w:rsid w:val="004865A2"/>
    <w:rsid w:val="00486622"/>
    <w:rsid w:val="00487473"/>
    <w:rsid w:val="00487704"/>
    <w:rsid w:val="0048797F"/>
    <w:rsid w:val="00490491"/>
    <w:rsid w:val="004907F8"/>
    <w:rsid w:val="00494A97"/>
    <w:rsid w:val="00497828"/>
    <w:rsid w:val="00497A0D"/>
    <w:rsid w:val="00497C27"/>
    <w:rsid w:val="004A0FAD"/>
    <w:rsid w:val="004A1B43"/>
    <w:rsid w:val="004A1DC4"/>
    <w:rsid w:val="004A236E"/>
    <w:rsid w:val="004A2BC5"/>
    <w:rsid w:val="004A31B2"/>
    <w:rsid w:val="004A3429"/>
    <w:rsid w:val="004A6C83"/>
    <w:rsid w:val="004A74B6"/>
    <w:rsid w:val="004B044F"/>
    <w:rsid w:val="004B1F99"/>
    <w:rsid w:val="004B1F9A"/>
    <w:rsid w:val="004B40AA"/>
    <w:rsid w:val="004B40AF"/>
    <w:rsid w:val="004B4265"/>
    <w:rsid w:val="004B4CA1"/>
    <w:rsid w:val="004B50D0"/>
    <w:rsid w:val="004B6FC3"/>
    <w:rsid w:val="004C2514"/>
    <w:rsid w:val="004C5798"/>
    <w:rsid w:val="004C5DDF"/>
    <w:rsid w:val="004C628B"/>
    <w:rsid w:val="004C6AAD"/>
    <w:rsid w:val="004D010B"/>
    <w:rsid w:val="004D258A"/>
    <w:rsid w:val="004D3ECF"/>
    <w:rsid w:val="004D3FF7"/>
    <w:rsid w:val="004D5512"/>
    <w:rsid w:val="004D682E"/>
    <w:rsid w:val="004D6BB7"/>
    <w:rsid w:val="004E0881"/>
    <w:rsid w:val="004E0AF9"/>
    <w:rsid w:val="004E0C11"/>
    <w:rsid w:val="004E303B"/>
    <w:rsid w:val="004E3524"/>
    <w:rsid w:val="004E4075"/>
    <w:rsid w:val="004E56DD"/>
    <w:rsid w:val="004E6E20"/>
    <w:rsid w:val="004F23CF"/>
    <w:rsid w:val="004F523B"/>
    <w:rsid w:val="004F5D0C"/>
    <w:rsid w:val="004F6B40"/>
    <w:rsid w:val="005009FE"/>
    <w:rsid w:val="00500D27"/>
    <w:rsid w:val="00500E92"/>
    <w:rsid w:val="00501D35"/>
    <w:rsid w:val="0050355B"/>
    <w:rsid w:val="005039EF"/>
    <w:rsid w:val="005045A8"/>
    <w:rsid w:val="0050525C"/>
    <w:rsid w:val="00505C89"/>
    <w:rsid w:val="00507B37"/>
    <w:rsid w:val="005104D5"/>
    <w:rsid w:val="00511530"/>
    <w:rsid w:val="0051260B"/>
    <w:rsid w:val="0051472C"/>
    <w:rsid w:val="00516B09"/>
    <w:rsid w:val="00517148"/>
    <w:rsid w:val="005208FC"/>
    <w:rsid w:val="00521060"/>
    <w:rsid w:val="005223A6"/>
    <w:rsid w:val="00527EB4"/>
    <w:rsid w:val="00530B78"/>
    <w:rsid w:val="00531861"/>
    <w:rsid w:val="005359A0"/>
    <w:rsid w:val="00535A17"/>
    <w:rsid w:val="00535C23"/>
    <w:rsid w:val="00536012"/>
    <w:rsid w:val="005409BA"/>
    <w:rsid w:val="00544281"/>
    <w:rsid w:val="0054474E"/>
    <w:rsid w:val="005448E8"/>
    <w:rsid w:val="005449B2"/>
    <w:rsid w:val="005458AF"/>
    <w:rsid w:val="00546E6D"/>
    <w:rsid w:val="00550A20"/>
    <w:rsid w:val="0055106B"/>
    <w:rsid w:val="00553DEC"/>
    <w:rsid w:val="00554214"/>
    <w:rsid w:val="00554ADF"/>
    <w:rsid w:val="00554FB1"/>
    <w:rsid w:val="0055519A"/>
    <w:rsid w:val="00556603"/>
    <w:rsid w:val="00560146"/>
    <w:rsid w:val="005608FF"/>
    <w:rsid w:val="00560C48"/>
    <w:rsid w:val="00560F60"/>
    <w:rsid w:val="00562594"/>
    <w:rsid w:val="005667C7"/>
    <w:rsid w:val="0056747B"/>
    <w:rsid w:val="00567E0D"/>
    <w:rsid w:val="00570296"/>
    <w:rsid w:val="00572428"/>
    <w:rsid w:val="00572EC5"/>
    <w:rsid w:val="00572F3C"/>
    <w:rsid w:val="0057324D"/>
    <w:rsid w:val="00574F26"/>
    <w:rsid w:val="00575F0D"/>
    <w:rsid w:val="0057675D"/>
    <w:rsid w:val="00577C31"/>
    <w:rsid w:val="00577CC4"/>
    <w:rsid w:val="00581A28"/>
    <w:rsid w:val="00583CBA"/>
    <w:rsid w:val="00584A1E"/>
    <w:rsid w:val="00586378"/>
    <w:rsid w:val="005864E2"/>
    <w:rsid w:val="005873B0"/>
    <w:rsid w:val="005877CD"/>
    <w:rsid w:val="005904DF"/>
    <w:rsid w:val="00591459"/>
    <w:rsid w:val="0059303E"/>
    <w:rsid w:val="00593391"/>
    <w:rsid w:val="00594B1F"/>
    <w:rsid w:val="00594ED2"/>
    <w:rsid w:val="00596490"/>
    <w:rsid w:val="00597A4B"/>
    <w:rsid w:val="005A0666"/>
    <w:rsid w:val="005A3D31"/>
    <w:rsid w:val="005A4D1C"/>
    <w:rsid w:val="005B22D9"/>
    <w:rsid w:val="005B28BB"/>
    <w:rsid w:val="005B339C"/>
    <w:rsid w:val="005B6DFF"/>
    <w:rsid w:val="005B736E"/>
    <w:rsid w:val="005B771C"/>
    <w:rsid w:val="005B7C7B"/>
    <w:rsid w:val="005C304E"/>
    <w:rsid w:val="005C34E4"/>
    <w:rsid w:val="005C4376"/>
    <w:rsid w:val="005C5D59"/>
    <w:rsid w:val="005C7C94"/>
    <w:rsid w:val="005D1161"/>
    <w:rsid w:val="005D121F"/>
    <w:rsid w:val="005D23C1"/>
    <w:rsid w:val="005D2E2B"/>
    <w:rsid w:val="005D375F"/>
    <w:rsid w:val="005D3FD1"/>
    <w:rsid w:val="005D6005"/>
    <w:rsid w:val="005D65F0"/>
    <w:rsid w:val="005D6979"/>
    <w:rsid w:val="005D7DAC"/>
    <w:rsid w:val="005E0B16"/>
    <w:rsid w:val="005E1CBB"/>
    <w:rsid w:val="005E3DE3"/>
    <w:rsid w:val="005E4E1F"/>
    <w:rsid w:val="005E7A4B"/>
    <w:rsid w:val="005F12B9"/>
    <w:rsid w:val="005F1B70"/>
    <w:rsid w:val="005F48DB"/>
    <w:rsid w:val="005F54DB"/>
    <w:rsid w:val="005F59D7"/>
    <w:rsid w:val="005F6C18"/>
    <w:rsid w:val="005F6CF8"/>
    <w:rsid w:val="005F7733"/>
    <w:rsid w:val="006005CD"/>
    <w:rsid w:val="00602F68"/>
    <w:rsid w:val="0060351C"/>
    <w:rsid w:val="00604F18"/>
    <w:rsid w:val="00606F6E"/>
    <w:rsid w:val="006070FB"/>
    <w:rsid w:val="006071CE"/>
    <w:rsid w:val="0060756C"/>
    <w:rsid w:val="00610A7E"/>
    <w:rsid w:val="00610B60"/>
    <w:rsid w:val="00611D86"/>
    <w:rsid w:val="006137B6"/>
    <w:rsid w:val="0061636C"/>
    <w:rsid w:val="006173EA"/>
    <w:rsid w:val="00620E3F"/>
    <w:rsid w:val="0062165B"/>
    <w:rsid w:val="00622193"/>
    <w:rsid w:val="006255A8"/>
    <w:rsid w:val="00626214"/>
    <w:rsid w:val="00626E59"/>
    <w:rsid w:val="00634313"/>
    <w:rsid w:val="00635202"/>
    <w:rsid w:val="0063630E"/>
    <w:rsid w:val="00636B55"/>
    <w:rsid w:val="0064179E"/>
    <w:rsid w:val="006433B2"/>
    <w:rsid w:val="0064382C"/>
    <w:rsid w:val="00644E82"/>
    <w:rsid w:val="00645CE5"/>
    <w:rsid w:val="0064697C"/>
    <w:rsid w:val="006472D4"/>
    <w:rsid w:val="00647831"/>
    <w:rsid w:val="006479FA"/>
    <w:rsid w:val="0065038E"/>
    <w:rsid w:val="006507C8"/>
    <w:rsid w:val="00650840"/>
    <w:rsid w:val="00651CB3"/>
    <w:rsid w:val="00652301"/>
    <w:rsid w:val="00652C6E"/>
    <w:rsid w:val="00652FC1"/>
    <w:rsid w:val="00653B7C"/>
    <w:rsid w:val="006543CB"/>
    <w:rsid w:val="00654847"/>
    <w:rsid w:val="006557E0"/>
    <w:rsid w:val="00657907"/>
    <w:rsid w:val="00657BDC"/>
    <w:rsid w:val="00657F03"/>
    <w:rsid w:val="006602FE"/>
    <w:rsid w:val="00661083"/>
    <w:rsid w:val="00661255"/>
    <w:rsid w:val="0066285A"/>
    <w:rsid w:val="006636C6"/>
    <w:rsid w:val="006636C8"/>
    <w:rsid w:val="00663A7F"/>
    <w:rsid w:val="006640F4"/>
    <w:rsid w:val="0066477E"/>
    <w:rsid w:val="00666F75"/>
    <w:rsid w:val="006673AC"/>
    <w:rsid w:val="00670693"/>
    <w:rsid w:val="00671022"/>
    <w:rsid w:val="00671880"/>
    <w:rsid w:val="00672B9F"/>
    <w:rsid w:val="00674C18"/>
    <w:rsid w:val="00675888"/>
    <w:rsid w:val="0068175E"/>
    <w:rsid w:val="0068192A"/>
    <w:rsid w:val="0068201A"/>
    <w:rsid w:val="00684205"/>
    <w:rsid w:val="00684B99"/>
    <w:rsid w:val="00686027"/>
    <w:rsid w:val="0068702F"/>
    <w:rsid w:val="00687822"/>
    <w:rsid w:val="0069471A"/>
    <w:rsid w:val="00694E8F"/>
    <w:rsid w:val="00695970"/>
    <w:rsid w:val="00695ECD"/>
    <w:rsid w:val="0069648E"/>
    <w:rsid w:val="006968AE"/>
    <w:rsid w:val="00696B93"/>
    <w:rsid w:val="006A0987"/>
    <w:rsid w:val="006A0A6A"/>
    <w:rsid w:val="006A0E50"/>
    <w:rsid w:val="006A429F"/>
    <w:rsid w:val="006A4D4D"/>
    <w:rsid w:val="006A7796"/>
    <w:rsid w:val="006A7A77"/>
    <w:rsid w:val="006B10EA"/>
    <w:rsid w:val="006B48CA"/>
    <w:rsid w:val="006B48CD"/>
    <w:rsid w:val="006B4C6D"/>
    <w:rsid w:val="006B5321"/>
    <w:rsid w:val="006B7B40"/>
    <w:rsid w:val="006B7BE8"/>
    <w:rsid w:val="006C113E"/>
    <w:rsid w:val="006C12F2"/>
    <w:rsid w:val="006C23B4"/>
    <w:rsid w:val="006C2F1C"/>
    <w:rsid w:val="006C7272"/>
    <w:rsid w:val="006C7CC9"/>
    <w:rsid w:val="006D00D2"/>
    <w:rsid w:val="006D0158"/>
    <w:rsid w:val="006D2443"/>
    <w:rsid w:val="006D2887"/>
    <w:rsid w:val="006D5F9A"/>
    <w:rsid w:val="006D636E"/>
    <w:rsid w:val="006D6EB5"/>
    <w:rsid w:val="006E01DB"/>
    <w:rsid w:val="006E0834"/>
    <w:rsid w:val="006E2037"/>
    <w:rsid w:val="006E26E3"/>
    <w:rsid w:val="006E28F3"/>
    <w:rsid w:val="006E2CB1"/>
    <w:rsid w:val="006E3201"/>
    <w:rsid w:val="006E4397"/>
    <w:rsid w:val="006E4461"/>
    <w:rsid w:val="006E5144"/>
    <w:rsid w:val="006E6D00"/>
    <w:rsid w:val="006F0129"/>
    <w:rsid w:val="006F083A"/>
    <w:rsid w:val="006F0914"/>
    <w:rsid w:val="006F1186"/>
    <w:rsid w:val="006F1B5E"/>
    <w:rsid w:val="006F1E64"/>
    <w:rsid w:val="006F1F4A"/>
    <w:rsid w:val="006F349F"/>
    <w:rsid w:val="006F41E3"/>
    <w:rsid w:val="006F6074"/>
    <w:rsid w:val="006F68DB"/>
    <w:rsid w:val="006F6E5C"/>
    <w:rsid w:val="006F78C8"/>
    <w:rsid w:val="00702B7B"/>
    <w:rsid w:val="00705D01"/>
    <w:rsid w:val="00710BB7"/>
    <w:rsid w:val="00711775"/>
    <w:rsid w:val="00711EC6"/>
    <w:rsid w:val="00714508"/>
    <w:rsid w:val="00714653"/>
    <w:rsid w:val="00714C8A"/>
    <w:rsid w:val="007156E9"/>
    <w:rsid w:val="007177A1"/>
    <w:rsid w:val="007213C5"/>
    <w:rsid w:val="007214FE"/>
    <w:rsid w:val="00725067"/>
    <w:rsid w:val="00726A28"/>
    <w:rsid w:val="007273E2"/>
    <w:rsid w:val="00727A27"/>
    <w:rsid w:val="0073031A"/>
    <w:rsid w:val="0073146E"/>
    <w:rsid w:val="00732550"/>
    <w:rsid w:val="00732655"/>
    <w:rsid w:val="0073366C"/>
    <w:rsid w:val="0073505F"/>
    <w:rsid w:val="00735ABE"/>
    <w:rsid w:val="00735EEB"/>
    <w:rsid w:val="007361CD"/>
    <w:rsid w:val="00736E1E"/>
    <w:rsid w:val="00737596"/>
    <w:rsid w:val="00740324"/>
    <w:rsid w:val="0074076A"/>
    <w:rsid w:val="00741AA3"/>
    <w:rsid w:val="00743590"/>
    <w:rsid w:val="0074412D"/>
    <w:rsid w:val="00744572"/>
    <w:rsid w:val="00747EFE"/>
    <w:rsid w:val="0075177F"/>
    <w:rsid w:val="007524CD"/>
    <w:rsid w:val="00755646"/>
    <w:rsid w:val="00756B24"/>
    <w:rsid w:val="007609C5"/>
    <w:rsid w:val="00762F66"/>
    <w:rsid w:val="00765621"/>
    <w:rsid w:val="00765AF1"/>
    <w:rsid w:val="00766706"/>
    <w:rsid w:val="00767200"/>
    <w:rsid w:val="00767927"/>
    <w:rsid w:val="00770541"/>
    <w:rsid w:val="00773FB4"/>
    <w:rsid w:val="0077553D"/>
    <w:rsid w:val="00777A18"/>
    <w:rsid w:val="00780CED"/>
    <w:rsid w:val="007821F6"/>
    <w:rsid w:val="00784DF7"/>
    <w:rsid w:val="00786257"/>
    <w:rsid w:val="00786C39"/>
    <w:rsid w:val="00787F38"/>
    <w:rsid w:val="0079383B"/>
    <w:rsid w:val="0079497E"/>
    <w:rsid w:val="00794A8F"/>
    <w:rsid w:val="00797BDA"/>
    <w:rsid w:val="007A01AC"/>
    <w:rsid w:val="007A131B"/>
    <w:rsid w:val="007A33E4"/>
    <w:rsid w:val="007A36C8"/>
    <w:rsid w:val="007A50CB"/>
    <w:rsid w:val="007A6328"/>
    <w:rsid w:val="007A6E40"/>
    <w:rsid w:val="007B02D4"/>
    <w:rsid w:val="007B0924"/>
    <w:rsid w:val="007B1752"/>
    <w:rsid w:val="007B46EE"/>
    <w:rsid w:val="007C1870"/>
    <w:rsid w:val="007C3C68"/>
    <w:rsid w:val="007C42EA"/>
    <w:rsid w:val="007C5AD5"/>
    <w:rsid w:val="007C75EC"/>
    <w:rsid w:val="007D26D7"/>
    <w:rsid w:val="007D6526"/>
    <w:rsid w:val="007D7F54"/>
    <w:rsid w:val="007E27CF"/>
    <w:rsid w:val="007E2875"/>
    <w:rsid w:val="007E5051"/>
    <w:rsid w:val="007E5B01"/>
    <w:rsid w:val="007E5D43"/>
    <w:rsid w:val="007E60A8"/>
    <w:rsid w:val="007E6A2C"/>
    <w:rsid w:val="007E7132"/>
    <w:rsid w:val="007F18A3"/>
    <w:rsid w:val="007F2C63"/>
    <w:rsid w:val="007F4654"/>
    <w:rsid w:val="007F4E48"/>
    <w:rsid w:val="007F63A6"/>
    <w:rsid w:val="007F767C"/>
    <w:rsid w:val="00800C3B"/>
    <w:rsid w:val="00801817"/>
    <w:rsid w:val="00802672"/>
    <w:rsid w:val="00802E5A"/>
    <w:rsid w:val="008036CA"/>
    <w:rsid w:val="0080379A"/>
    <w:rsid w:val="00804010"/>
    <w:rsid w:val="00804058"/>
    <w:rsid w:val="00805108"/>
    <w:rsid w:val="0080729E"/>
    <w:rsid w:val="00807DDF"/>
    <w:rsid w:val="0081005D"/>
    <w:rsid w:val="008106B4"/>
    <w:rsid w:val="00813641"/>
    <w:rsid w:val="008138C3"/>
    <w:rsid w:val="008141B6"/>
    <w:rsid w:val="0081457E"/>
    <w:rsid w:val="008145BA"/>
    <w:rsid w:val="00815302"/>
    <w:rsid w:val="00815F6B"/>
    <w:rsid w:val="00817E42"/>
    <w:rsid w:val="008204EA"/>
    <w:rsid w:val="0082170C"/>
    <w:rsid w:val="00823463"/>
    <w:rsid w:val="00823599"/>
    <w:rsid w:val="008235E3"/>
    <w:rsid w:val="00825AC6"/>
    <w:rsid w:val="00826244"/>
    <w:rsid w:val="00831311"/>
    <w:rsid w:val="0083156E"/>
    <w:rsid w:val="00832019"/>
    <w:rsid w:val="00832C0E"/>
    <w:rsid w:val="008335BB"/>
    <w:rsid w:val="00833B66"/>
    <w:rsid w:val="00835AA1"/>
    <w:rsid w:val="008367EE"/>
    <w:rsid w:val="00836D61"/>
    <w:rsid w:val="00844187"/>
    <w:rsid w:val="008456B7"/>
    <w:rsid w:val="0085077B"/>
    <w:rsid w:val="00850CBA"/>
    <w:rsid w:val="00850DFC"/>
    <w:rsid w:val="0085109B"/>
    <w:rsid w:val="00851723"/>
    <w:rsid w:val="00852688"/>
    <w:rsid w:val="0085298C"/>
    <w:rsid w:val="008540F1"/>
    <w:rsid w:val="008542B3"/>
    <w:rsid w:val="008544D4"/>
    <w:rsid w:val="0085530C"/>
    <w:rsid w:val="00856BFE"/>
    <w:rsid w:val="00856CAE"/>
    <w:rsid w:val="00856FBD"/>
    <w:rsid w:val="0085722F"/>
    <w:rsid w:val="00857411"/>
    <w:rsid w:val="00860DEA"/>
    <w:rsid w:val="008611E1"/>
    <w:rsid w:val="00864751"/>
    <w:rsid w:val="00864AD5"/>
    <w:rsid w:val="00864D3E"/>
    <w:rsid w:val="008661C4"/>
    <w:rsid w:val="008665F3"/>
    <w:rsid w:val="00867006"/>
    <w:rsid w:val="00870113"/>
    <w:rsid w:val="0087063C"/>
    <w:rsid w:val="0087099E"/>
    <w:rsid w:val="00870AA7"/>
    <w:rsid w:val="00872BD4"/>
    <w:rsid w:val="00872CC8"/>
    <w:rsid w:val="00872D65"/>
    <w:rsid w:val="00873090"/>
    <w:rsid w:val="00873B54"/>
    <w:rsid w:val="00876978"/>
    <w:rsid w:val="00876D97"/>
    <w:rsid w:val="00877DAD"/>
    <w:rsid w:val="00881DC7"/>
    <w:rsid w:val="00881EAA"/>
    <w:rsid w:val="008826F9"/>
    <w:rsid w:val="00883109"/>
    <w:rsid w:val="0088528E"/>
    <w:rsid w:val="00885813"/>
    <w:rsid w:val="008879D5"/>
    <w:rsid w:val="00890017"/>
    <w:rsid w:val="008910B2"/>
    <w:rsid w:val="0089120C"/>
    <w:rsid w:val="0089315A"/>
    <w:rsid w:val="008936E1"/>
    <w:rsid w:val="00897D91"/>
    <w:rsid w:val="008A0861"/>
    <w:rsid w:val="008A096D"/>
    <w:rsid w:val="008A2EFD"/>
    <w:rsid w:val="008A5295"/>
    <w:rsid w:val="008A56F0"/>
    <w:rsid w:val="008A57E9"/>
    <w:rsid w:val="008A591E"/>
    <w:rsid w:val="008A7473"/>
    <w:rsid w:val="008B0476"/>
    <w:rsid w:val="008B05CF"/>
    <w:rsid w:val="008B19E7"/>
    <w:rsid w:val="008B2CCC"/>
    <w:rsid w:val="008B3C91"/>
    <w:rsid w:val="008B6331"/>
    <w:rsid w:val="008B6989"/>
    <w:rsid w:val="008B6DCE"/>
    <w:rsid w:val="008B79E8"/>
    <w:rsid w:val="008B7CE5"/>
    <w:rsid w:val="008C070D"/>
    <w:rsid w:val="008C1015"/>
    <w:rsid w:val="008C3996"/>
    <w:rsid w:val="008D2B33"/>
    <w:rsid w:val="008D36C9"/>
    <w:rsid w:val="008D37C2"/>
    <w:rsid w:val="008D3F28"/>
    <w:rsid w:val="008D7F2E"/>
    <w:rsid w:val="008E0B9C"/>
    <w:rsid w:val="008E178A"/>
    <w:rsid w:val="008E2648"/>
    <w:rsid w:val="008E40BB"/>
    <w:rsid w:val="008E6622"/>
    <w:rsid w:val="008E6E22"/>
    <w:rsid w:val="008F01DA"/>
    <w:rsid w:val="008F402C"/>
    <w:rsid w:val="008F4167"/>
    <w:rsid w:val="008F53B5"/>
    <w:rsid w:val="008F544A"/>
    <w:rsid w:val="008F686E"/>
    <w:rsid w:val="008F7FB0"/>
    <w:rsid w:val="00901173"/>
    <w:rsid w:val="0090447B"/>
    <w:rsid w:val="00904B69"/>
    <w:rsid w:val="0090582D"/>
    <w:rsid w:val="00906B04"/>
    <w:rsid w:val="00906B06"/>
    <w:rsid w:val="00906EB5"/>
    <w:rsid w:val="00907D4B"/>
    <w:rsid w:val="00910702"/>
    <w:rsid w:val="0091070F"/>
    <w:rsid w:val="0091202B"/>
    <w:rsid w:val="00912439"/>
    <w:rsid w:val="00912958"/>
    <w:rsid w:val="00913983"/>
    <w:rsid w:val="0091402E"/>
    <w:rsid w:val="009144E9"/>
    <w:rsid w:val="009145CB"/>
    <w:rsid w:val="00915A86"/>
    <w:rsid w:val="009160A7"/>
    <w:rsid w:val="0092076A"/>
    <w:rsid w:val="00920CA8"/>
    <w:rsid w:val="00921D88"/>
    <w:rsid w:val="009220C4"/>
    <w:rsid w:val="009224F9"/>
    <w:rsid w:val="00922B76"/>
    <w:rsid w:val="00923F8C"/>
    <w:rsid w:val="00924784"/>
    <w:rsid w:val="00924FF8"/>
    <w:rsid w:val="009256EB"/>
    <w:rsid w:val="009263A4"/>
    <w:rsid w:val="00930303"/>
    <w:rsid w:val="0093070D"/>
    <w:rsid w:val="009314CC"/>
    <w:rsid w:val="009315F5"/>
    <w:rsid w:val="00931CF2"/>
    <w:rsid w:val="00933860"/>
    <w:rsid w:val="00934CBB"/>
    <w:rsid w:val="0093591A"/>
    <w:rsid w:val="00936BAE"/>
    <w:rsid w:val="00936FEE"/>
    <w:rsid w:val="00940E3A"/>
    <w:rsid w:val="00940E54"/>
    <w:rsid w:val="009418A4"/>
    <w:rsid w:val="00942833"/>
    <w:rsid w:val="00942CE7"/>
    <w:rsid w:val="00943548"/>
    <w:rsid w:val="00946239"/>
    <w:rsid w:val="0094775D"/>
    <w:rsid w:val="00950693"/>
    <w:rsid w:val="00951151"/>
    <w:rsid w:val="00952BAF"/>
    <w:rsid w:val="009545F8"/>
    <w:rsid w:val="00954CDB"/>
    <w:rsid w:val="00955AC7"/>
    <w:rsid w:val="0095603D"/>
    <w:rsid w:val="00957038"/>
    <w:rsid w:val="00960F3F"/>
    <w:rsid w:val="00962C7F"/>
    <w:rsid w:val="00962F8B"/>
    <w:rsid w:val="0096668C"/>
    <w:rsid w:val="0096681B"/>
    <w:rsid w:val="00967D0B"/>
    <w:rsid w:val="00970766"/>
    <w:rsid w:val="00971454"/>
    <w:rsid w:val="009723D9"/>
    <w:rsid w:val="00973677"/>
    <w:rsid w:val="0097381D"/>
    <w:rsid w:val="00973B9E"/>
    <w:rsid w:val="0097465B"/>
    <w:rsid w:val="009760AD"/>
    <w:rsid w:val="009764BF"/>
    <w:rsid w:val="00977952"/>
    <w:rsid w:val="009805A2"/>
    <w:rsid w:val="00980616"/>
    <w:rsid w:val="00981E82"/>
    <w:rsid w:val="009846F6"/>
    <w:rsid w:val="00986F08"/>
    <w:rsid w:val="00987182"/>
    <w:rsid w:val="009903CC"/>
    <w:rsid w:val="0099157C"/>
    <w:rsid w:val="00992549"/>
    <w:rsid w:val="009944BB"/>
    <w:rsid w:val="009946D0"/>
    <w:rsid w:val="00995B4E"/>
    <w:rsid w:val="00996039"/>
    <w:rsid w:val="00996FF4"/>
    <w:rsid w:val="00997B91"/>
    <w:rsid w:val="009A11C5"/>
    <w:rsid w:val="009A1B6C"/>
    <w:rsid w:val="009A2736"/>
    <w:rsid w:val="009A4C7D"/>
    <w:rsid w:val="009A5437"/>
    <w:rsid w:val="009A5F57"/>
    <w:rsid w:val="009A6C16"/>
    <w:rsid w:val="009B05F7"/>
    <w:rsid w:val="009B118B"/>
    <w:rsid w:val="009B1A67"/>
    <w:rsid w:val="009B729F"/>
    <w:rsid w:val="009C1B54"/>
    <w:rsid w:val="009C1F00"/>
    <w:rsid w:val="009C4135"/>
    <w:rsid w:val="009C4284"/>
    <w:rsid w:val="009C4B3E"/>
    <w:rsid w:val="009C5691"/>
    <w:rsid w:val="009C59BD"/>
    <w:rsid w:val="009C6717"/>
    <w:rsid w:val="009C74E3"/>
    <w:rsid w:val="009D1473"/>
    <w:rsid w:val="009D19BF"/>
    <w:rsid w:val="009D1AC0"/>
    <w:rsid w:val="009D37EB"/>
    <w:rsid w:val="009D423B"/>
    <w:rsid w:val="009D602E"/>
    <w:rsid w:val="009D6D90"/>
    <w:rsid w:val="009E7A63"/>
    <w:rsid w:val="009F2EDA"/>
    <w:rsid w:val="009F5BDE"/>
    <w:rsid w:val="009F6A56"/>
    <w:rsid w:val="009F6B41"/>
    <w:rsid w:val="00A00596"/>
    <w:rsid w:val="00A00C43"/>
    <w:rsid w:val="00A0240F"/>
    <w:rsid w:val="00A02AA3"/>
    <w:rsid w:val="00A06A68"/>
    <w:rsid w:val="00A06AE1"/>
    <w:rsid w:val="00A07C13"/>
    <w:rsid w:val="00A10611"/>
    <w:rsid w:val="00A11273"/>
    <w:rsid w:val="00A13081"/>
    <w:rsid w:val="00A17B6B"/>
    <w:rsid w:val="00A20511"/>
    <w:rsid w:val="00A2095C"/>
    <w:rsid w:val="00A22910"/>
    <w:rsid w:val="00A24E4B"/>
    <w:rsid w:val="00A25AFE"/>
    <w:rsid w:val="00A25E10"/>
    <w:rsid w:val="00A263F6"/>
    <w:rsid w:val="00A310C8"/>
    <w:rsid w:val="00A35C7D"/>
    <w:rsid w:val="00A36DDA"/>
    <w:rsid w:val="00A37F78"/>
    <w:rsid w:val="00A41722"/>
    <w:rsid w:val="00A42D63"/>
    <w:rsid w:val="00A43F6A"/>
    <w:rsid w:val="00A46490"/>
    <w:rsid w:val="00A464F5"/>
    <w:rsid w:val="00A4714C"/>
    <w:rsid w:val="00A47792"/>
    <w:rsid w:val="00A47985"/>
    <w:rsid w:val="00A47A82"/>
    <w:rsid w:val="00A51E29"/>
    <w:rsid w:val="00A52482"/>
    <w:rsid w:val="00A5273D"/>
    <w:rsid w:val="00A529F5"/>
    <w:rsid w:val="00A54655"/>
    <w:rsid w:val="00A54A19"/>
    <w:rsid w:val="00A572C6"/>
    <w:rsid w:val="00A578F7"/>
    <w:rsid w:val="00A602C5"/>
    <w:rsid w:val="00A604B2"/>
    <w:rsid w:val="00A609E4"/>
    <w:rsid w:val="00A60C6C"/>
    <w:rsid w:val="00A60D07"/>
    <w:rsid w:val="00A618AC"/>
    <w:rsid w:val="00A61E76"/>
    <w:rsid w:val="00A621DE"/>
    <w:rsid w:val="00A62610"/>
    <w:rsid w:val="00A62A76"/>
    <w:rsid w:val="00A63ED6"/>
    <w:rsid w:val="00A63FB3"/>
    <w:rsid w:val="00A647C4"/>
    <w:rsid w:val="00A6490A"/>
    <w:rsid w:val="00A66ACC"/>
    <w:rsid w:val="00A67B8C"/>
    <w:rsid w:val="00A705A4"/>
    <w:rsid w:val="00A7175D"/>
    <w:rsid w:val="00A72680"/>
    <w:rsid w:val="00A74D06"/>
    <w:rsid w:val="00A7584D"/>
    <w:rsid w:val="00A75CDE"/>
    <w:rsid w:val="00A76003"/>
    <w:rsid w:val="00A80493"/>
    <w:rsid w:val="00A80A59"/>
    <w:rsid w:val="00A816F4"/>
    <w:rsid w:val="00A8201C"/>
    <w:rsid w:val="00A82242"/>
    <w:rsid w:val="00A823CD"/>
    <w:rsid w:val="00A82A3A"/>
    <w:rsid w:val="00A82CD5"/>
    <w:rsid w:val="00A84837"/>
    <w:rsid w:val="00A85AE8"/>
    <w:rsid w:val="00A91316"/>
    <w:rsid w:val="00A926C2"/>
    <w:rsid w:val="00A932BF"/>
    <w:rsid w:val="00AA03A1"/>
    <w:rsid w:val="00AA1E8C"/>
    <w:rsid w:val="00AA24A1"/>
    <w:rsid w:val="00AA58E5"/>
    <w:rsid w:val="00AB0B08"/>
    <w:rsid w:val="00AB14B7"/>
    <w:rsid w:val="00AB4379"/>
    <w:rsid w:val="00AB7181"/>
    <w:rsid w:val="00AB75AE"/>
    <w:rsid w:val="00AC0CD6"/>
    <w:rsid w:val="00AC4960"/>
    <w:rsid w:val="00AC5297"/>
    <w:rsid w:val="00AD5CAA"/>
    <w:rsid w:val="00AE0250"/>
    <w:rsid w:val="00AE0BC3"/>
    <w:rsid w:val="00AE12D4"/>
    <w:rsid w:val="00AE150A"/>
    <w:rsid w:val="00AE1745"/>
    <w:rsid w:val="00AE2ECE"/>
    <w:rsid w:val="00AE5FB1"/>
    <w:rsid w:val="00AE7A85"/>
    <w:rsid w:val="00AF054F"/>
    <w:rsid w:val="00AF4D20"/>
    <w:rsid w:val="00AF6C38"/>
    <w:rsid w:val="00AF79FA"/>
    <w:rsid w:val="00AF7D67"/>
    <w:rsid w:val="00B02130"/>
    <w:rsid w:val="00B03336"/>
    <w:rsid w:val="00B04939"/>
    <w:rsid w:val="00B04EC9"/>
    <w:rsid w:val="00B0584F"/>
    <w:rsid w:val="00B0623C"/>
    <w:rsid w:val="00B10CD5"/>
    <w:rsid w:val="00B1149F"/>
    <w:rsid w:val="00B138EC"/>
    <w:rsid w:val="00B14E4C"/>
    <w:rsid w:val="00B204FF"/>
    <w:rsid w:val="00B20897"/>
    <w:rsid w:val="00B22F8C"/>
    <w:rsid w:val="00B23E2D"/>
    <w:rsid w:val="00B23ECA"/>
    <w:rsid w:val="00B248C2"/>
    <w:rsid w:val="00B26439"/>
    <w:rsid w:val="00B26693"/>
    <w:rsid w:val="00B31598"/>
    <w:rsid w:val="00B31793"/>
    <w:rsid w:val="00B31D91"/>
    <w:rsid w:val="00B32447"/>
    <w:rsid w:val="00B35B22"/>
    <w:rsid w:val="00B45EB9"/>
    <w:rsid w:val="00B46519"/>
    <w:rsid w:val="00B46B2C"/>
    <w:rsid w:val="00B4776D"/>
    <w:rsid w:val="00B51217"/>
    <w:rsid w:val="00B5433E"/>
    <w:rsid w:val="00B54A3C"/>
    <w:rsid w:val="00B5577B"/>
    <w:rsid w:val="00B6006B"/>
    <w:rsid w:val="00B602C4"/>
    <w:rsid w:val="00B60FFE"/>
    <w:rsid w:val="00B6148D"/>
    <w:rsid w:val="00B61493"/>
    <w:rsid w:val="00B626A9"/>
    <w:rsid w:val="00B662E2"/>
    <w:rsid w:val="00B70167"/>
    <w:rsid w:val="00B707D0"/>
    <w:rsid w:val="00B70F43"/>
    <w:rsid w:val="00B71040"/>
    <w:rsid w:val="00B71352"/>
    <w:rsid w:val="00B7279A"/>
    <w:rsid w:val="00B72ED9"/>
    <w:rsid w:val="00B73486"/>
    <w:rsid w:val="00B75413"/>
    <w:rsid w:val="00B80EC9"/>
    <w:rsid w:val="00B81083"/>
    <w:rsid w:val="00B815A3"/>
    <w:rsid w:val="00B816BD"/>
    <w:rsid w:val="00B83652"/>
    <w:rsid w:val="00B83ADC"/>
    <w:rsid w:val="00B8432B"/>
    <w:rsid w:val="00B850D9"/>
    <w:rsid w:val="00B91507"/>
    <w:rsid w:val="00B91927"/>
    <w:rsid w:val="00B9209D"/>
    <w:rsid w:val="00B92332"/>
    <w:rsid w:val="00B92401"/>
    <w:rsid w:val="00B93314"/>
    <w:rsid w:val="00B93963"/>
    <w:rsid w:val="00B94AEB"/>
    <w:rsid w:val="00B97CF5"/>
    <w:rsid w:val="00BA18B6"/>
    <w:rsid w:val="00BA1F7B"/>
    <w:rsid w:val="00BA5C48"/>
    <w:rsid w:val="00BB045D"/>
    <w:rsid w:val="00BB0CC5"/>
    <w:rsid w:val="00BB0D1D"/>
    <w:rsid w:val="00BB0DD9"/>
    <w:rsid w:val="00BB1930"/>
    <w:rsid w:val="00BB23FA"/>
    <w:rsid w:val="00BB2BD3"/>
    <w:rsid w:val="00BB2FA2"/>
    <w:rsid w:val="00BB382B"/>
    <w:rsid w:val="00BC2B20"/>
    <w:rsid w:val="00BC3643"/>
    <w:rsid w:val="00BC3B55"/>
    <w:rsid w:val="00BC6653"/>
    <w:rsid w:val="00BC75DC"/>
    <w:rsid w:val="00BD0D03"/>
    <w:rsid w:val="00BD1797"/>
    <w:rsid w:val="00BD4215"/>
    <w:rsid w:val="00BD6491"/>
    <w:rsid w:val="00BD6749"/>
    <w:rsid w:val="00BD7863"/>
    <w:rsid w:val="00BD7DD1"/>
    <w:rsid w:val="00BE06AC"/>
    <w:rsid w:val="00BE0C4F"/>
    <w:rsid w:val="00BE133C"/>
    <w:rsid w:val="00BE189A"/>
    <w:rsid w:val="00BE2A5B"/>
    <w:rsid w:val="00BE3AD9"/>
    <w:rsid w:val="00BE3DF2"/>
    <w:rsid w:val="00BE7810"/>
    <w:rsid w:val="00BF1451"/>
    <w:rsid w:val="00BF1EFE"/>
    <w:rsid w:val="00BF47A0"/>
    <w:rsid w:val="00BF554B"/>
    <w:rsid w:val="00BF7036"/>
    <w:rsid w:val="00BF734A"/>
    <w:rsid w:val="00C023AB"/>
    <w:rsid w:val="00C0287A"/>
    <w:rsid w:val="00C05C13"/>
    <w:rsid w:val="00C05FE0"/>
    <w:rsid w:val="00C1195F"/>
    <w:rsid w:val="00C12748"/>
    <w:rsid w:val="00C13685"/>
    <w:rsid w:val="00C159A1"/>
    <w:rsid w:val="00C16CE4"/>
    <w:rsid w:val="00C2076A"/>
    <w:rsid w:val="00C2095C"/>
    <w:rsid w:val="00C22200"/>
    <w:rsid w:val="00C22DB9"/>
    <w:rsid w:val="00C2301B"/>
    <w:rsid w:val="00C23761"/>
    <w:rsid w:val="00C249A7"/>
    <w:rsid w:val="00C24A92"/>
    <w:rsid w:val="00C2585F"/>
    <w:rsid w:val="00C27486"/>
    <w:rsid w:val="00C31179"/>
    <w:rsid w:val="00C327C1"/>
    <w:rsid w:val="00C36B4B"/>
    <w:rsid w:val="00C3703F"/>
    <w:rsid w:val="00C376C8"/>
    <w:rsid w:val="00C37F9B"/>
    <w:rsid w:val="00C401FA"/>
    <w:rsid w:val="00C40939"/>
    <w:rsid w:val="00C43FF3"/>
    <w:rsid w:val="00C440F6"/>
    <w:rsid w:val="00C44AE9"/>
    <w:rsid w:val="00C44C31"/>
    <w:rsid w:val="00C453F9"/>
    <w:rsid w:val="00C462D3"/>
    <w:rsid w:val="00C46E7E"/>
    <w:rsid w:val="00C51BC7"/>
    <w:rsid w:val="00C52865"/>
    <w:rsid w:val="00C52DD3"/>
    <w:rsid w:val="00C54204"/>
    <w:rsid w:val="00C5592E"/>
    <w:rsid w:val="00C55CAF"/>
    <w:rsid w:val="00C564F4"/>
    <w:rsid w:val="00C56BFA"/>
    <w:rsid w:val="00C63119"/>
    <w:rsid w:val="00C638A0"/>
    <w:rsid w:val="00C641ED"/>
    <w:rsid w:val="00C64DDF"/>
    <w:rsid w:val="00C7089E"/>
    <w:rsid w:val="00C70DD4"/>
    <w:rsid w:val="00C72DBB"/>
    <w:rsid w:val="00C739D1"/>
    <w:rsid w:val="00C7769E"/>
    <w:rsid w:val="00C80EE4"/>
    <w:rsid w:val="00C82B86"/>
    <w:rsid w:val="00C83645"/>
    <w:rsid w:val="00C840A0"/>
    <w:rsid w:val="00C90117"/>
    <w:rsid w:val="00C915C5"/>
    <w:rsid w:val="00C91761"/>
    <w:rsid w:val="00C93703"/>
    <w:rsid w:val="00C93A2F"/>
    <w:rsid w:val="00C9491F"/>
    <w:rsid w:val="00C94D79"/>
    <w:rsid w:val="00C95805"/>
    <w:rsid w:val="00C95859"/>
    <w:rsid w:val="00C95DD1"/>
    <w:rsid w:val="00CA03B2"/>
    <w:rsid w:val="00CA14F3"/>
    <w:rsid w:val="00CA2950"/>
    <w:rsid w:val="00CA299D"/>
    <w:rsid w:val="00CA320F"/>
    <w:rsid w:val="00CA3868"/>
    <w:rsid w:val="00CA5C67"/>
    <w:rsid w:val="00CB0866"/>
    <w:rsid w:val="00CB08F7"/>
    <w:rsid w:val="00CB0CEC"/>
    <w:rsid w:val="00CB1C82"/>
    <w:rsid w:val="00CB244E"/>
    <w:rsid w:val="00CB2766"/>
    <w:rsid w:val="00CB43A7"/>
    <w:rsid w:val="00CB4ED9"/>
    <w:rsid w:val="00CB568B"/>
    <w:rsid w:val="00CC0E45"/>
    <w:rsid w:val="00CC5B3A"/>
    <w:rsid w:val="00CC64FF"/>
    <w:rsid w:val="00CC6F9E"/>
    <w:rsid w:val="00CC7464"/>
    <w:rsid w:val="00CC7DD5"/>
    <w:rsid w:val="00CD020F"/>
    <w:rsid w:val="00CD0757"/>
    <w:rsid w:val="00CD0CAB"/>
    <w:rsid w:val="00CD15FC"/>
    <w:rsid w:val="00CD1AF0"/>
    <w:rsid w:val="00CD2030"/>
    <w:rsid w:val="00CD2835"/>
    <w:rsid w:val="00CD3920"/>
    <w:rsid w:val="00CD3C37"/>
    <w:rsid w:val="00CD546C"/>
    <w:rsid w:val="00CD6544"/>
    <w:rsid w:val="00CD724C"/>
    <w:rsid w:val="00CE1CF9"/>
    <w:rsid w:val="00CE29A9"/>
    <w:rsid w:val="00CE335A"/>
    <w:rsid w:val="00CE394E"/>
    <w:rsid w:val="00CE7B53"/>
    <w:rsid w:val="00CF0314"/>
    <w:rsid w:val="00CF07F8"/>
    <w:rsid w:val="00CF0EB2"/>
    <w:rsid w:val="00CF2267"/>
    <w:rsid w:val="00CF2483"/>
    <w:rsid w:val="00CF4E4D"/>
    <w:rsid w:val="00CF5969"/>
    <w:rsid w:val="00CF5CBC"/>
    <w:rsid w:val="00CF6ABD"/>
    <w:rsid w:val="00CF6B29"/>
    <w:rsid w:val="00CF77B5"/>
    <w:rsid w:val="00D034EB"/>
    <w:rsid w:val="00D03724"/>
    <w:rsid w:val="00D03CD1"/>
    <w:rsid w:val="00D04588"/>
    <w:rsid w:val="00D04C43"/>
    <w:rsid w:val="00D055BE"/>
    <w:rsid w:val="00D06551"/>
    <w:rsid w:val="00D07C2C"/>
    <w:rsid w:val="00D10929"/>
    <w:rsid w:val="00D12D0A"/>
    <w:rsid w:val="00D13E2E"/>
    <w:rsid w:val="00D1499D"/>
    <w:rsid w:val="00D201E1"/>
    <w:rsid w:val="00D20AE9"/>
    <w:rsid w:val="00D2199B"/>
    <w:rsid w:val="00D2310D"/>
    <w:rsid w:val="00D2323C"/>
    <w:rsid w:val="00D23FB5"/>
    <w:rsid w:val="00D247FA"/>
    <w:rsid w:val="00D2564B"/>
    <w:rsid w:val="00D266EC"/>
    <w:rsid w:val="00D26CC3"/>
    <w:rsid w:val="00D3016D"/>
    <w:rsid w:val="00D30876"/>
    <w:rsid w:val="00D30DF2"/>
    <w:rsid w:val="00D31635"/>
    <w:rsid w:val="00D32828"/>
    <w:rsid w:val="00D32BD9"/>
    <w:rsid w:val="00D33C80"/>
    <w:rsid w:val="00D34591"/>
    <w:rsid w:val="00D35E4A"/>
    <w:rsid w:val="00D371CC"/>
    <w:rsid w:val="00D37542"/>
    <w:rsid w:val="00D37EAE"/>
    <w:rsid w:val="00D41500"/>
    <w:rsid w:val="00D415F1"/>
    <w:rsid w:val="00D41650"/>
    <w:rsid w:val="00D41DCE"/>
    <w:rsid w:val="00D426FA"/>
    <w:rsid w:val="00D4293E"/>
    <w:rsid w:val="00D43985"/>
    <w:rsid w:val="00D44D38"/>
    <w:rsid w:val="00D44D75"/>
    <w:rsid w:val="00D463F6"/>
    <w:rsid w:val="00D466F6"/>
    <w:rsid w:val="00D47C07"/>
    <w:rsid w:val="00D47C33"/>
    <w:rsid w:val="00D50347"/>
    <w:rsid w:val="00D50EDD"/>
    <w:rsid w:val="00D517F0"/>
    <w:rsid w:val="00D51FD4"/>
    <w:rsid w:val="00D53531"/>
    <w:rsid w:val="00D53C23"/>
    <w:rsid w:val="00D53E4F"/>
    <w:rsid w:val="00D5402F"/>
    <w:rsid w:val="00D54A50"/>
    <w:rsid w:val="00D56C37"/>
    <w:rsid w:val="00D56F7A"/>
    <w:rsid w:val="00D57ACF"/>
    <w:rsid w:val="00D6227B"/>
    <w:rsid w:val="00D636BB"/>
    <w:rsid w:val="00D64614"/>
    <w:rsid w:val="00D646EE"/>
    <w:rsid w:val="00D65EAD"/>
    <w:rsid w:val="00D664CD"/>
    <w:rsid w:val="00D67DDE"/>
    <w:rsid w:val="00D714CD"/>
    <w:rsid w:val="00D72AF7"/>
    <w:rsid w:val="00D748A1"/>
    <w:rsid w:val="00D752CE"/>
    <w:rsid w:val="00D75BCD"/>
    <w:rsid w:val="00D773FB"/>
    <w:rsid w:val="00D81FFE"/>
    <w:rsid w:val="00D85BF0"/>
    <w:rsid w:val="00D865A2"/>
    <w:rsid w:val="00D86FC8"/>
    <w:rsid w:val="00D91143"/>
    <w:rsid w:val="00D9379D"/>
    <w:rsid w:val="00D93B9F"/>
    <w:rsid w:val="00D944F1"/>
    <w:rsid w:val="00D958A1"/>
    <w:rsid w:val="00D95902"/>
    <w:rsid w:val="00D96DCF"/>
    <w:rsid w:val="00D9735D"/>
    <w:rsid w:val="00D978EA"/>
    <w:rsid w:val="00DA0C9F"/>
    <w:rsid w:val="00DA0E95"/>
    <w:rsid w:val="00DA12F9"/>
    <w:rsid w:val="00DA1579"/>
    <w:rsid w:val="00DA227F"/>
    <w:rsid w:val="00DA2306"/>
    <w:rsid w:val="00DA388B"/>
    <w:rsid w:val="00DA6331"/>
    <w:rsid w:val="00DB1269"/>
    <w:rsid w:val="00DB2491"/>
    <w:rsid w:val="00DB2FD7"/>
    <w:rsid w:val="00DB3C10"/>
    <w:rsid w:val="00DB47F7"/>
    <w:rsid w:val="00DB493F"/>
    <w:rsid w:val="00DB4D5D"/>
    <w:rsid w:val="00DB5D7E"/>
    <w:rsid w:val="00DB5E67"/>
    <w:rsid w:val="00DB5FAC"/>
    <w:rsid w:val="00DB750C"/>
    <w:rsid w:val="00DB7B0F"/>
    <w:rsid w:val="00DB7D9D"/>
    <w:rsid w:val="00DC02DC"/>
    <w:rsid w:val="00DC176E"/>
    <w:rsid w:val="00DC1FA0"/>
    <w:rsid w:val="00DC457C"/>
    <w:rsid w:val="00DC499B"/>
    <w:rsid w:val="00DC4BB5"/>
    <w:rsid w:val="00DC5AA9"/>
    <w:rsid w:val="00DC659C"/>
    <w:rsid w:val="00DC6779"/>
    <w:rsid w:val="00DC6B9A"/>
    <w:rsid w:val="00DD754E"/>
    <w:rsid w:val="00DE052E"/>
    <w:rsid w:val="00DE118F"/>
    <w:rsid w:val="00DE14BE"/>
    <w:rsid w:val="00DE1665"/>
    <w:rsid w:val="00DE3B2C"/>
    <w:rsid w:val="00DE4F68"/>
    <w:rsid w:val="00DE59F7"/>
    <w:rsid w:val="00DE5C4F"/>
    <w:rsid w:val="00DE5F9C"/>
    <w:rsid w:val="00DE685E"/>
    <w:rsid w:val="00DE7C9C"/>
    <w:rsid w:val="00DF1925"/>
    <w:rsid w:val="00DF2A96"/>
    <w:rsid w:val="00DF4FF7"/>
    <w:rsid w:val="00DF68FE"/>
    <w:rsid w:val="00DF69D3"/>
    <w:rsid w:val="00DF6CD4"/>
    <w:rsid w:val="00DF6FDA"/>
    <w:rsid w:val="00DF7F28"/>
    <w:rsid w:val="00E00403"/>
    <w:rsid w:val="00E0182A"/>
    <w:rsid w:val="00E049AB"/>
    <w:rsid w:val="00E05107"/>
    <w:rsid w:val="00E063CB"/>
    <w:rsid w:val="00E07A14"/>
    <w:rsid w:val="00E10AC6"/>
    <w:rsid w:val="00E13CB3"/>
    <w:rsid w:val="00E14508"/>
    <w:rsid w:val="00E15EAE"/>
    <w:rsid w:val="00E20F49"/>
    <w:rsid w:val="00E2333F"/>
    <w:rsid w:val="00E23ACA"/>
    <w:rsid w:val="00E24733"/>
    <w:rsid w:val="00E24FFE"/>
    <w:rsid w:val="00E251FF"/>
    <w:rsid w:val="00E26256"/>
    <w:rsid w:val="00E265C6"/>
    <w:rsid w:val="00E26E34"/>
    <w:rsid w:val="00E279D0"/>
    <w:rsid w:val="00E30F1D"/>
    <w:rsid w:val="00E31DFC"/>
    <w:rsid w:val="00E32A61"/>
    <w:rsid w:val="00E33B14"/>
    <w:rsid w:val="00E3460C"/>
    <w:rsid w:val="00E414B1"/>
    <w:rsid w:val="00E41632"/>
    <w:rsid w:val="00E43806"/>
    <w:rsid w:val="00E43AE5"/>
    <w:rsid w:val="00E44695"/>
    <w:rsid w:val="00E45B6E"/>
    <w:rsid w:val="00E51DF1"/>
    <w:rsid w:val="00E5285C"/>
    <w:rsid w:val="00E52D20"/>
    <w:rsid w:val="00E536CB"/>
    <w:rsid w:val="00E53BAA"/>
    <w:rsid w:val="00E54746"/>
    <w:rsid w:val="00E54BE8"/>
    <w:rsid w:val="00E6058B"/>
    <w:rsid w:val="00E61BC1"/>
    <w:rsid w:val="00E62708"/>
    <w:rsid w:val="00E62D2F"/>
    <w:rsid w:val="00E6300D"/>
    <w:rsid w:val="00E636FC"/>
    <w:rsid w:val="00E63F1D"/>
    <w:rsid w:val="00E65832"/>
    <w:rsid w:val="00E664AC"/>
    <w:rsid w:val="00E669E0"/>
    <w:rsid w:val="00E66FA8"/>
    <w:rsid w:val="00E704CA"/>
    <w:rsid w:val="00E7055F"/>
    <w:rsid w:val="00E72482"/>
    <w:rsid w:val="00E73DF1"/>
    <w:rsid w:val="00E745F5"/>
    <w:rsid w:val="00E750F9"/>
    <w:rsid w:val="00E754F7"/>
    <w:rsid w:val="00E7561A"/>
    <w:rsid w:val="00E76D9C"/>
    <w:rsid w:val="00E80D6E"/>
    <w:rsid w:val="00E81107"/>
    <w:rsid w:val="00E814A8"/>
    <w:rsid w:val="00E83958"/>
    <w:rsid w:val="00E859BA"/>
    <w:rsid w:val="00E87A1D"/>
    <w:rsid w:val="00E9085B"/>
    <w:rsid w:val="00E90AB0"/>
    <w:rsid w:val="00E92135"/>
    <w:rsid w:val="00E926EA"/>
    <w:rsid w:val="00E930F6"/>
    <w:rsid w:val="00E955B1"/>
    <w:rsid w:val="00E961DA"/>
    <w:rsid w:val="00E96225"/>
    <w:rsid w:val="00E976F1"/>
    <w:rsid w:val="00EA0D3B"/>
    <w:rsid w:val="00EA1398"/>
    <w:rsid w:val="00EA13FD"/>
    <w:rsid w:val="00EA2515"/>
    <w:rsid w:val="00EA39F5"/>
    <w:rsid w:val="00EA4640"/>
    <w:rsid w:val="00EA5D4E"/>
    <w:rsid w:val="00EA68D4"/>
    <w:rsid w:val="00EA73FA"/>
    <w:rsid w:val="00EA76BE"/>
    <w:rsid w:val="00EA7ED5"/>
    <w:rsid w:val="00EB3F6C"/>
    <w:rsid w:val="00EB4FC7"/>
    <w:rsid w:val="00EB5288"/>
    <w:rsid w:val="00EB5889"/>
    <w:rsid w:val="00EB61A7"/>
    <w:rsid w:val="00EB79A7"/>
    <w:rsid w:val="00EC0F64"/>
    <w:rsid w:val="00EC16FE"/>
    <w:rsid w:val="00EC2311"/>
    <w:rsid w:val="00EC2561"/>
    <w:rsid w:val="00EC2656"/>
    <w:rsid w:val="00EC38EE"/>
    <w:rsid w:val="00EC4951"/>
    <w:rsid w:val="00EC570A"/>
    <w:rsid w:val="00EC58FB"/>
    <w:rsid w:val="00EC7EF9"/>
    <w:rsid w:val="00ED094E"/>
    <w:rsid w:val="00ED24A7"/>
    <w:rsid w:val="00ED2518"/>
    <w:rsid w:val="00ED576B"/>
    <w:rsid w:val="00ED5D95"/>
    <w:rsid w:val="00EE0401"/>
    <w:rsid w:val="00EE1695"/>
    <w:rsid w:val="00EE24DF"/>
    <w:rsid w:val="00EE34F2"/>
    <w:rsid w:val="00EE58CA"/>
    <w:rsid w:val="00EF0612"/>
    <w:rsid w:val="00EF142A"/>
    <w:rsid w:val="00EF1F58"/>
    <w:rsid w:val="00EF46E7"/>
    <w:rsid w:val="00EF4E14"/>
    <w:rsid w:val="00EF4F82"/>
    <w:rsid w:val="00EF56C6"/>
    <w:rsid w:val="00EF6523"/>
    <w:rsid w:val="00EF6AC1"/>
    <w:rsid w:val="00EF79BE"/>
    <w:rsid w:val="00F0233F"/>
    <w:rsid w:val="00F048D1"/>
    <w:rsid w:val="00F0519C"/>
    <w:rsid w:val="00F059D3"/>
    <w:rsid w:val="00F063D7"/>
    <w:rsid w:val="00F06827"/>
    <w:rsid w:val="00F07FD5"/>
    <w:rsid w:val="00F07FF2"/>
    <w:rsid w:val="00F1269D"/>
    <w:rsid w:val="00F13AFE"/>
    <w:rsid w:val="00F15BAC"/>
    <w:rsid w:val="00F16A2A"/>
    <w:rsid w:val="00F17E7C"/>
    <w:rsid w:val="00F205D5"/>
    <w:rsid w:val="00F20746"/>
    <w:rsid w:val="00F20F55"/>
    <w:rsid w:val="00F23495"/>
    <w:rsid w:val="00F2385A"/>
    <w:rsid w:val="00F23D5E"/>
    <w:rsid w:val="00F24380"/>
    <w:rsid w:val="00F244BD"/>
    <w:rsid w:val="00F27D4E"/>
    <w:rsid w:val="00F30B51"/>
    <w:rsid w:val="00F30C01"/>
    <w:rsid w:val="00F3165A"/>
    <w:rsid w:val="00F32988"/>
    <w:rsid w:val="00F330B7"/>
    <w:rsid w:val="00F334B4"/>
    <w:rsid w:val="00F34ADB"/>
    <w:rsid w:val="00F34F41"/>
    <w:rsid w:val="00F34F93"/>
    <w:rsid w:val="00F37135"/>
    <w:rsid w:val="00F37B4F"/>
    <w:rsid w:val="00F4002C"/>
    <w:rsid w:val="00F454DF"/>
    <w:rsid w:val="00F4788F"/>
    <w:rsid w:val="00F5132A"/>
    <w:rsid w:val="00F53521"/>
    <w:rsid w:val="00F538FC"/>
    <w:rsid w:val="00F55CAB"/>
    <w:rsid w:val="00F60798"/>
    <w:rsid w:val="00F6148D"/>
    <w:rsid w:val="00F6386E"/>
    <w:rsid w:val="00F647E3"/>
    <w:rsid w:val="00F64C58"/>
    <w:rsid w:val="00F67F7C"/>
    <w:rsid w:val="00F7033E"/>
    <w:rsid w:val="00F71020"/>
    <w:rsid w:val="00F7224B"/>
    <w:rsid w:val="00F73926"/>
    <w:rsid w:val="00F73AC6"/>
    <w:rsid w:val="00F75819"/>
    <w:rsid w:val="00F763A2"/>
    <w:rsid w:val="00F76501"/>
    <w:rsid w:val="00F778DC"/>
    <w:rsid w:val="00F80C14"/>
    <w:rsid w:val="00F81262"/>
    <w:rsid w:val="00F828FA"/>
    <w:rsid w:val="00F845A3"/>
    <w:rsid w:val="00F8542D"/>
    <w:rsid w:val="00F86A94"/>
    <w:rsid w:val="00F87722"/>
    <w:rsid w:val="00F87C62"/>
    <w:rsid w:val="00F90780"/>
    <w:rsid w:val="00F91044"/>
    <w:rsid w:val="00F9145A"/>
    <w:rsid w:val="00F92270"/>
    <w:rsid w:val="00F92C66"/>
    <w:rsid w:val="00F943F8"/>
    <w:rsid w:val="00F94F3F"/>
    <w:rsid w:val="00F957D3"/>
    <w:rsid w:val="00F972B0"/>
    <w:rsid w:val="00F9747F"/>
    <w:rsid w:val="00FA1922"/>
    <w:rsid w:val="00FA466E"/>
    <w:rsid w:val="00FA5280"/>
    <w:rsid w:val="00FA552E"/>
    <w:rsid w:val="00FA6380"/>
    <w:rsid w:val="00FA7F69"/>
    <w:rsid w:val="00FB0016"/>
    <w:rsid w:val="00FB0684"/>
    <w:rsid w:val="00FB0B74"/>
    <w:rsid w:val="00FB19DD"/>
    <w:rsid w:val="00FB3DEC"/>
    <w:rsid w:val="00FB4521"/>
    <w:rsid w:val="00FB4E56"/>
    <w:rsid w:val="00FB4F21"/>
    <w:rsid w:val="00FB7057"/>
    <w:rsid w:val="00FB7740"/>
    <w:rsid w:val="00FC175A"/>
    <w:rsid w:val="00FC28CB"/>
    <w:rsid w:val="00FC30B3"/>
    <w:rsid w:val="00FC31E6"/>
    <w:rsid w:val="00FC3F60"/>
    <w:rsid w:val="00FC62F4"/>
    <w:rsid w:val="00FC6475"/>
    <w:rsid w:val="00FC6584"/>
    <w:rsid w:val="00FC67DC"/>
    <w:rsid w:val="00FC71AE"/>
    <w:rsid w:val="00FD032F"/>
    <w:rsid w:val="00FD2106"/>
    <w:rsid w:val="00FD3040"/>
    <w:rsid w:val="00FD38A6"/>
    <w:rsid w:val="00FD3933"/>
    <w:rsid w:val="00FD3F8D"/>
    <w:rsid w:val="00FD4D1D"/>
    <w:rsid w:val="00FD50B2"/>
    <w:rsid w:val="00FD5E64"/>
    <w:rsid w:val="00FD627A"/>
    <w:rsid w:val="00FD66B6"/>
    <w:rsid w:val="00FD6C4A"/>
    <w:rsid w:val="00FE0E12"/>
    <w:rsid w:val="00FE125A"/>
    <w:rsid w:val="00FE440C"/>
    <w:rsid w:val="00FE4DBB"/>
    <w:rsid w:val="00FE7E3C"/>
    <w:rsid w:val="00FF0E52"/>
    <w:rsid w:val="00FF13EA"/>
    <w:rsid w:val="00FF15E2"/>
    <w:rsid w:val="00FF27A9"/>
    <w:rsid w:val="00FF31E9"/>
    <w:rsid w:val="00FF49CB"/>
    <w:rsid w:val="00FF4A1D"/>
    <w:rsid w:val="00FF4A55"/>
    <w:rsid w:val="00FF6013"/>
    <w:rsid w:val="00FF761C"/>
    <w:rsid w:val="00FF7CA3"/>
    <w:rsid w:val="00FF7D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090"/>
    <w:pPr>
      <w:widowControl w:val="0"/>
      <w:jc w:val="both"/>
    </w:pPr>
    <w:rPr>
      <w:rFonts w:ascii="Times New Roman" w:eastAsia="宋体" w:hAnsi="Times New Roman" w:cs="Times New Roman"/>
      <w:szCs w:val="24"/>
    </w:rPr>
  </w:style>
  <w:style w:type="paragraph" w:styleId="10">
    <w:name w:val="heading 1"/>
    <w:aliases w:val="H1,h1,1st level,Section Head,l1,Level 1 Topic Heading,b1,H11,H12,H13,H14,H15,H16,H17,1.0,Title1,Sec1,h11,1st level1,h12,1st level2,h13,1st level3,h14,1st level4,h15,1st level5,h16,1st level6,h17,1st level7,h18,1st level8,h111,1st level11,h121,h131"/>
    <w:basedOn w:val="a"/>
    <w:next w:val="a"/>
    <w:link w:val="1Char"/>
    <w:qFormat/>
    <w:rsid w:val="00C91761"/>
    <w:pPr>
      <w:keepNext/>
      <w:keepLines/>
      <w:spacing w:before="340" w:after="330" w:line="578" w:lineRule="auto"/>
      <w:outlineLvl w:val="0"/>
    </w:pPr>
    <w:rPr>
      <w:b/>
      <w:bCs/>
      <w:kern w:val="44"/>
      <w:sz w:val="44"/>
      <w:szCs w:val="44"/>
    </w:rPr>
  </w:style>
  <w:style w:type="paragraph" w:styleId="20">
    <w:name w:val="heading 2"/>
    <w:aliases w:val="h2,Titre 2,l2,H2,第一章 标题 2,Heading 2 Hidden,Heading 2 CCBS,heading 2,sect 1.2,PIM2,Titre3,HD2,H21,sect 1.21,H22,sect 1.22,H211,sect 1.211,H23,sect 1.23,H212,sect 1.212,DO,DO NOT USE_h2,chn,Chapter Number/Appendix Letter,2nd level,2,Header 2,Titre2,A"/>
    <w:basedOn w:val="a"/>
    <w:next w:val="a"/>
    <w:link w:val="2Char"/>
    <w:unhideWhenUsed/>
    <w:qFormat/>
    <w:rsid w:val="00C9176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h3,H3,sect1.2.3,Alt+3,1.1.1 Heading 3,Titolo Sotto/Sottosezione,1.1.1.标题 3,Bold Head,bh,l3,CT,3rd level,3,Head 3,h31,section:3,Level 3 Head,heading 3,1.1.1,BOD 0,heading 31,h32,heading 32,h311,heading 311,h33,heading 33,h312,heading 312,h321,h34,1."/>
    <w:basedOn w:val="a"/>
    <w:next w:val="a"/>
    <w:link w:val="3Char"/>
    <w:unhideWhenUsed/>
    <w:qFormat/>
    <w:rsid w:val="00C91761"/>
    <w:pPr>
      <w:keepNext/>
      <w:keepLines/>
      <w:spacing w:before="260" w:after="260" w:line="416" w:lineRule="auto"/>
      <w:outlineLvl w:val="2"/>
    </w:pPr>
    <w:rPr>
      <w:b/>
      <w:bCs/>
      <w:sz w:val="32"/>
      <w:szCs w:val="32"/>
    </w:rPr>
  </w:style>
  <w:style w:type="paragraph" w:styleId="4">
    <w:name w:val="heading 4"/>
    <w:aliases w:val="h4,heading 4,h41,heading 41,h42,heading 42,h411,heading 411,h43,heading 43,h412,heading 412,h421,heading 421,h4111,heading 4111,h44,heading 44,h413,heading 413,h422,heading 422,h4112,heading 4112,h45,heading 45,h414,heading 414,h423,h4113,h46,Head4"/>
    <w:basedOn w:val="a"/>
    <w:next w:val="a"/>
    <w:link w:val="4Char"/>
    <w:unhideWhenUsed/>
    <w:qFormat/>
    <w:rsid w:val="00C9176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aliases w:val="h5,Heading5,l5,5,dash,ds,dd,Alt+5,表格标题,H5,PIM 5,Roman list,hm,Table label,mh2,Module heading 2,Head 5,list 5,Block Label,Appendix A  Heading 5,heading 5,h51,heading 51,h52,heading 52,h53,heading 53,ITT t5,PA Pico Section,H5-Heading 5,heading5,H51,口"/>
    <w:basedOn w:val="a"/>
    <w:next w:val="a"/>
    <w:link w:val="5Char"/>
    <w:unhideWhenUsed/>
    <w:qFormat/>
    <w:rsid w:val="00C91761"/>
    <w:pPr>
      <w:keepNext/>
      <w:keepLines/>
      <w:spacing w:before="280" w:after="290" w:line="376" w:lineRule="auto"/>
      <w:outlineLvl w:val="4"/>
    </w:pPr>
    <w:rPr>
      <w:b/>
      <w:bCs/>
      <w:sz w:val="28"/>
      <w:szCs w:val="28"/>
    </w:rPr>
  </w:style>
  <w:style w:type="paragraph" w:styleId="6">
    <w:name w:val="heading 6"/>
    <w:aliases w:val="Alt+6,PIM 6,h6,Figure label,l6,hsm,cnp,Caption number (page-wide),list 6,Bullet list,H6,L6,BOD 4,6,h61,heading 61,Legal Level 1.,heading 6,Heading6,小标题,第五层条,DO NOT USE_h6,Alpha List,正文六级标题,Bullet (Single Lines),Figure label1,h62,l61,hsm1,cnp1"/>
    <w:basedOn w:val="a"/>
    <w:next w:val="a"/>
    <w:link w:val="6Char"/>
    <w:unhideWhenUsed/>
    <w:qFormat/>
    <w:rsid w:val="00C91761"/>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aliases w:val="Alt+7,PIM 7,sdf,L7,letter list,不用,st,H TIMES1,（1）,正文七级标题,h7,SDL title,h71,st1,SDL title1,h72,st2,SDL title2,h73,st3,SDL title3,h74,st4,SDL title4,h75,st5,SDL title5,Legal Level 1.1.,List(1),letter list Char"/>
    <w:basedOn w:val="a"/>
    <w:next w:val="a"/>
    <w:link w:val="7Char"/>
    <w:qFormat/>
    <w:rsid w:val="00D517F0"/>
    <w:pPr>
      <w:keepNext/>
      <w:keepLines/>
      <w:tabs>
        <w:tab w:val="num" w:pos="1296"/>
      </w:tabs>
      <w:spacing w:before="240" w:after="64" w:line="320" w:lineRule="auto"/>
      <w:ind w:left="1296" w:firstLineChars="200" w:hanging="1296"/>
      <w:outlineLvl w:val="6"/>
    </w:pPr>
    <w:rPr>
      <w:rFonts w:ascii="Times" w:hAnsi="Times"/>
      <w:b/>
      <w:bCs/>
      <w:sz w:val="24"/>
    </w:rPr>
  </w:style>
  <w:style w:type="paragraph" w:styleId="8">
    <w:name w:val="heading 8"/>
    <w:aliases w:val="标题6,Alt+8,AppendixSubHead,不用8,正文八级标题,tt1,Figure,heading 8,tt2,tt11,Figure1,heading 81,tt3,tt12,Figure2,heading 82,tt4,tt13,Figure3,heading 83,tt5,tt14,Figure4,heading 84,tt6,tt15,Figure5,heading 85,（A）,注意框体,Legal Level 1.1.1.,ctp,List(a)"/>
    <w:basedOn w:val="a"/>
    <w:next w:val="a"/>
    <w:link w:val="8Char"/>
    <w:qFormat/>
    <w:rsid w:val="00D517F0"/>
    <w:pPr>
      <w:keepNext/>
      <w:keepLines/>
      <w:tabs>
        <w:tab w:val="num" w:pos="1440"/>
      </w:tabs>
      <w:spacing w:before="240" w:after="64" w:line="320" w:lineRule="auto"/>
      <w:ind w:left="1440" w:firstLineChars="200" w:hanging="1440"/>
      <w:outlineLvl w:val="7"/>
    </w:pPr>
    <w:rPr>
      <w:rFonts w:ascii="Arial" w:eastAsia="黑体" w:hAnsi="Arial"/>
      <w:sz w:val="24"/>
    </w:rPr>
  </w:style>
  <w:style w:type="paragraph" w:styleId="9">
    <w:name w:val="heading 9"/>
    <w:aliases w:val="tt,table title,标题 45,Figure Heading,FH,Alt+9,AppendixBodyHead,PIM 9,huh,不用9,ft,heading 9,HF,正文九级标题,三级标题,ft1,t,table left,tl,figures,9,ft2,ft11,table1,heading 91,t1,table left1,tl1,HF1,figures1,91,ft3,ft12,table2,heading 92,t2,table left2,tl2,HF2,92"/>
    <w:basedOn w:val="a"/>
    <w:next w:val="a"/>
    <w:link w:val="9Char"/>
    <w:qFormat/>
    <w:rsid w:val="00D517F0"/>
    <w:pPr>
      <w:keepNext/>
      <w:keepLines/>
      <w:tabs>
        <w:tab w:val="num" w:pos="1584"/>
      </w:tabs>
      <w:spacing w:before="240" w:after="64" w:line="320" w:lineRule="auto"/>
      <w:ind w:left="1584" w:firstLineChars="200" w:hanging="1584"/>
      <w:outlineLvl w:val="8"/>
    </w:pPr>
    <w:rPr>
      <w:rFonts w:ascii="Arial" w:eastAsia="黑体" w:hAnsi="Arial"/>
      <w:sz w:val="24"/>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7102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71022"/>
    <w:rPr>
      <w:rFonts w:ascii="Times New Roman" w:eastAsia="宋体" w:hAnsi="Times New Roman" w:cs="Times New Roman"/>
      <w:sz w:val="18"/>
      <w:szCs w:val="18"/>
    </w:rPr>
  </w:style>
  <w:style w:type="paragraph" w:styleId="a4">
    <w:name w:val="footer"/>
    <w:basedOn w:val="a"/>
    <w:link w:val="Char0"/>
    <w:unhideWhenUsed/>
    <w:rsid w:val="00671022"/>
    <w:pPr>
      <w:tabs>
        <w:tab w:val="center" w:pos="4153"/>
        <w:tab w:val="right" w:pos="8306"/>
      </w:tabs>
      <w:snapToGrid w:val="0"/>
      <w:jc w:val="left"/>
    </w:pPr>
    <w:rPr>
      <w:sz w:val="18"/>
      <w:szCs w:val="18"/>
    </w:rPr>
  </w:style>
  <w:style w:type="character" w:customStyle="1" w:styleId="Char0">
    <w:name w:val="页脚 Char"/>
    <w:basedOn w:val="a0"/>
    <w:link w:val="a4"/>
    <w:rsid w:val="00671022"/>
    <w:rPr>
      <w:rFonts w:ascii="Times New Roman" w:eastAsia="宋体" w:hAnsi="Times New Roman" w:cs="Times New Roman"/>
      <w:sz w:val="18"/>
      <w:szCs w:val="18"/>
    </w:rPr>
  </w:style>
  <w:style w:type="paragraph" w:styleId="a5">
    <w:name w:val="List Paragraph"/>
    <w:basedOn w:val="a"/>
    <w:uiPriority w:val="34"/>
    <w:qFormat/>
    <w:rsid w:val="00671022"/>
    <w:pPr>
      <w:ind w:firstLineChars="200" w:firstLine="420"/>
    </w:pPr>
  </w:style>
  <w:style w:type="paragraph" w:styleId="11">
    <w:name w:val="toc 1"/>
    <w:basedOn w:val="a"/>
    <w:next w:val="a"/>
    <w:autoRedefine/>
    <w:uiPriority w:val="39"/>
    <w:unhideWhenUsed/>
    <w:rsid w:val="0019795A"/>
    <w:pPr>
      <w:tabs>
        <w:tab w:val="right" w:leader="dot" w:pos="8296"/>
      </w:tabs>
      <w:spacing w:line="400" w:lineRule="exact"/>
    </w:pPr>
  </w:style>
  <w:style w:type="paragraph" w:styleId="21">
    <w:name w:val="toc 2"/>
    <w:basedOn w:val="a"/>
    <w:next w:val="a"/>
    <w:autoRedefine/>
    <w:uiPriority w:val="39"/>
    <w:unhideWhenUsed/>
    <w:rsid w:val="00FC67DC"/>
    <w:pPr>
      <w:ind w:leftChars="200" w:left="420"/>
    </w:pPr>
  </w:style>
  <w:style w:type="paragraph" w:styleId="31">
    <w:name w:val="toc 3"/>
    <w:basedOn w:val="a"/>
    <w:next w:val="a"/>
    <w:autoRedefine/>
    <w:uiPriority w:val="39"/>
    <w:unhideWhenUsed/>
    <w:rsid w:val="00FC67DC"/>
    <w:pPr>
      <w:ind w:leftChars="400" w:left="840"/>
    </w:pPr>
  </w:style>
  <w:style w:type="character" w:styleId="a6">
    <w:name w:val="Hyperlink"/>
    <w:basedOn w:val="a0"/>
    <w:uiPriority w:val="99"/>
    <w:unhideWhenUsed/>
    <w:rsid w:val="00FC67DC"/>
    <w:rPr>
      <w:color w:val="0000FF" w:themeColor="hyperlink"/>
      <w:u w:val="single"/>
    </w:rPr>
  </w:style>
  <w:style w:type="character" w:styleId="a7">
    <w:name w:val="annotation reference"/>
    <w:basedOn w:val="a0"/>
    <w:semiHidden/>
    <w:unhideWhenUsed/>
    <w:rsid w:val="00031323"/>
    <w:rPr>
      <w:sz w:val="21"/>
      <w:szCs w:val="21"/>
    </w:rPr>
  </w:style>
  <w:style w:type="paragraph" w:styleId="a8">
    <w:name w:val="annotation text"/>
    <w:basedOn w:val="a"/>
    <w:link w:val="Char1"/>
    <w:semiHidden/>
    <w:unhideWhenUsed/>
    <w:rsid w:val="00031323"/>
    <w:pPr>
      <w:jc w:val="left"/>
    </w:pPr>
  </w:style>
  <w:style w:type="character" w:customStyle="1" w:styleId="Char1">
    <w:name w:val="批注文字 Char"/>
    <w:basedOn w:val="a0"/>
    <w:link w:val="a8"/>
    <w:semiHidden/>
    <w:rsid w:val="00031323"/>
    <w:rPr>
      <w:rFonts w:ascii="Times New Roman" w:eastAsia="宋体" w:hAnsi="Times New Roman" w:cs="Times New Roman"/>
      <w:szCs w:val="24"/>
    </w:rPr>
  </w:style>
  <w:style w:type="paragraph" w:styleId="a9">
    <w:name w:val="annotation subject"/>
    <w:basedOn w:val="a8"/>
    <w:next w:val="a8"/>
    <w:link w:val="Char2"/>
    <w:semiHidden/>
    <w:unhideWhenUsed/>
    <w:rsid w:val="00031323"/>
    <w:rPr>
      <w:b/>
      <w:bCs/>
    </w:rPr>
  </w:style>
  <w:style w:type="character" w:customStyle="1" w:styleId="Char2">
    <w:name w:val="批注主题 Char"/>
    <w:basedOn w:val="Char1"/>
    <w:link w:val="a9"/>
    <w:semiHidden/>
    <w:rsid w:val="00031323"/>
    <w:rPr>
      <w:rFonts w:ascii="Times New Roman" w:eastAsia="宋体" w:hAnsi="Times New Roman" w:cs="Times New Roman"/>
      <w:b/>
      <w:bCs/>
      <w:szCs w:val="24"/>
    </w:rPr>
  </w:style>
  <w:style w:type="paragraph" w:styleId="aa">
    <w:name w:val="Balloon Text"/>
    <w:basedOn w:val="a"/>
    <w:link w:val="Char3"/>
    <w:semiHidden/>
    <w:unhideWhenUsed/>
    <w:rsid w:val="00031323"/>
    <w:rPr>
      <w:sz w:val="18"/>
      <w:szCs w:val="18"/>
    </w:rPr>
  </w:style>
  <w:style w:type="character" w:customStyle="1" w:styleId="Char3">
    <w:name w:val="批注框文本 Char"/>
    <w:basedOn w:val="a0"/>
    <w:link w:val="aa"/>
    <w:semiHidden/>
    <w:rsid w:val="00031323"/>
    <w:rPr>
      <w:rFonts w:ascii="Times New Roman" w:eastAsia="宋体" w:hAnsi="Times New Roman" w:cs="Times New Roman"/>
      <w:sz w:val="18"/>
      <w:szCs w:val="18"/>
    </w:rPr>
  </w:style>
  <w:style w:type="paragraph" w:styleId="40">
    <w:name w:val="toc 4"/>
    <w:basedOn w:val="a"/>
    <w:next w:val="a"/>
    <w:autoRedefine/>
    <w:uiPriority w:val="39"/>
    <w:unhideWhenUsed/>
    <w:rsid w:val="00031323"/>
    <w:pPr>
      <w:ind w:leftChars="600" w:left="1260"/>
    </w:pPr>
  </w:style>
  <w:style w:type="paragraph" w:styleId="51">
    <w:name w:val="toc 5"/>
    <w:basedOn w:val="a"/>
    <w:next w:val="a"/>
    <w:autoRedefine/>
    <w:uiPriority w:val="39"/>
    <w:unhideWhenUsed/>
    <w:rsid w:val="00031323"/>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A80A59"/>
    <w:pPr>
      <w:tabs>
        <w:tab w:val="right" w:leader="dot" w:pos="8296"/>
      </w:tabs>
      <w:spacing w:line="400" w:lineRule="exact"/>
    </w:pPr>
    <w:rPr>
      <w:rFonts w:ascii="微软雅黑" w:eastAsia="微软雅黑" w:hAnsi="微软雅黑" w:cstheme="minorBidi"/>
      <w:noProof/>
      <w:szCs w:val="21"/>
    </w:rPr>
  </w:style>
  <w:style w:type="paragraph" w:styleId="70">
    <w:name w:val="toc 7"/>
    <w:basedOn w:val="a"/>
    <w:next w:val="a"/>
    <w:autoRedefine/>
    <w:uiPriority w:val="39"/>
    <w:unhideWhenUsed/>
    <w:rsid w:val="00031323"/>
    <w:pPr>
      <w:ind w:leftChars="1200" w:left="2520"/>
    </w:pPr>
    <w:rPr>
      <w:rFonts w:asciiTheme="minorHAnsi" w:eastAsiaTheme="minorEastAsia" w:hAnsiTheme="minorHAnsi" w:cstheme="minorBidi"/>
      <w:szCs w:val="22"/>
    </w:rPr>
  </w:style>
  <w:style w:type="paragraph" w:styleId="80">
    <w:name w:val="toc 8"/>
    <w:basedOn w:val="a"/>
    <w:next w:val="a"/>
    <w:autoRedefine/>
    <w:uiPriority w:val="39"/>
    <w:unhideWhenUsed/>
    <w:rsid w:val="00031323"/>
    <w:pPr>
      <w:ind w:leftChars="1400" w:left="2940"/>
    </w:pPr>
    <w:rPr>
      <w:rFonts w:asciiTheme="minorHAnsi" w:eastAsiaTheme="minorEastAsia" w:hAnsiTheme="minorHAnsi" w:cstheme="minorBidi"/>
      <w:szCs w:val="22"/>
    </w:rPr>
  </w:style>
  <w:style w:type="paragraph" w:styleId="90">
    <w:name w:val="toc 9"/>
    <w:basedOn w:val="a"/>
    <w:next w:val="a"/>
    <w:autoRedefine/>
    <w:uiPriority w:val="39"/>
    <w:unhideWhenUsed/>
    <w:rsid w:val="00031323"/>
    <w:pPr>
      <w:ind w:leftChars="1600" w:left="3360"/>
    </w:pPr>
    <w:rPr>
      <w:rFonts w:asciiTheme="minorHAnsi" w:eastAsiaTheme="minorEastAsia" w:hAnsiTheme="minorHAnsi" w:cstheme="minorBidi"/>
      <w:szCs w:val="22"/>
    </w:rPr>
  </w:style>
  <w:style w:type="paragraph" w:styleId="ab">
    <w:name w:val="caption"/>
    <w:basedOn w:val="a"/>
    <w:next w:val="a"/>
    <w:link w:val="Char4"/>
    <w:autoRedefine/>
    <w:qFormat/>
    <w:rsid w:val="00666F75"/>
    <w:pPr>
      <w:spacing w:line="400" w:lineRule="exact"/>
      <w:ind w:firstLineChars="200" w:firstLine="400"/>
      <w:jc w:val="left"/>
      <w:outlineLvl w:val="5"/>
    </w:pPr>
    <w:rPr>
      <w:rFonts w:ascii="微软雅黑" w:eastAsia="微软雅黑" w:hAnsi="微软雅黑"/>
      <w:bCs/>
      <w:i/>
      <w:iCs/>
      <w:kern w:val="0"/>
      <w:sz w:val="20"/>
      <w:szCs w:val="21"/>
    </w:rPr>
  </w:style>
  <w:style w:type="character" w:customStyle="1" w:styleId="Char4">
    <w:name w:val="题注 Char"/>
    <w:link w:val="ab"/>
    <w:qFormat/>
    <w:rsid w:val="00666F75"/>
    <w:rPr>
      <w:rFonts w:ascii="微软雅黑" w:eastAsia="微软雅黑" w:hAnsi="微软雅黑" w:cs="Times New Roman"/>
      <w:bCs/>
      <w:i/>
      <w:iCs/>
      <w:kern w:val="0"/>
      <w:sz w:val="20"/>
      <w:szCs w:val="21"/>
    </w:rPr>
  </w:style>
  <w:style w:type="table" w:styleId="ac">
    <w:name w:val="Table Grid"/>
    <w:basedOn w:val="a1"/>
    <w:rsid w:val="00CE29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nhideWhenUsed/>
    <w:rsid w:val="00FC28CB"/>
    <w:pPr>
      <w:widowControl/>
      <w:spacing w:before="100" w:beforeAutospacing="1" w:after="100" w:afterAutospacing="1"/>
      <w:jc w:val="left"/>
    </w:pPr>
    <w:rPr>
      <w:rFonts w:ascii="宋体" w:hAnsi="宋体" w:cs="宋体"/>
      <w:kern w:val="0"/>
      <w:sz w:val="24"/>
    </w:rPr>
  </w:style>
  <w:style w:type="character" w:customStyle="1" w:styleId="4Char">
    <w:name w:val="标题 4 Char"/>
    <w:aliases w:val="h4 Char,heading 4 Char,h41 Char,heading 41 Char,h42 Char,heading 42 Char,h411 Char,heading 411 Char,h43 Char,heading 43 Char,h412 Char,heading 412 Char,h421 Char,heading 421 Char,h4111 Char,heading 4111 Char,h44 Char,heading 44 Char,h413 Char"/>
    <w:basedOn w:val="a0"/>
    <w:link w:val="4"/>
    <w:rsid w:val="00C91761"/>
    <w:rPr>
      <w:rFonts w:asciiTheme="majorHAnsi" w:eastAsiaTheme="majorEastAsia" w:hAnsiTheme="majorHAnsi" w:cstheme="majorBidi"/>
      <w:b/>
      <w:bCs/>
      <w:sz w:val="28"/>
      <w:szCs w:val="28"/>
    </w:rPr>
  </w:style>
  <w:style w:type="character" w:customStyle="1" w:styleId="5Char">
    <w:name w:val="标题 5 Char"/>
    <w:aliases w:val="h5 Char,Heading5 Char,l5 Char,5 Char,dash Char,ds Char,dd Char,Alt+5 Char,表格标题 Char,H5 Char,PIM 5 Char,Roman list Char,hm Char,Table label Char,mh2 Char,Module heading 2 Char,Head 5 Char,list 5 Char,Block Label Char,Appendix A  Heading 5 Char"/>
    <w:basedOn w:val="a0"/>
    <w:link w:val="50"/>
    <w:rsid w:val="00C91761"/>
    <w:rPr>
      <w:rFonts w:ascii="Times New Roman" w:eastAsia="宋体" w:hAnsi="Times New Roman" w:cs="Times New Roman"/>
      <w:b/>
      <w:bCs/>
      <w:sz w:val="28"/>
      <w:szCs w:val="28"/>
    </w:rPr>
  </w:style>
  <w:style w:type="character" w:customStyle="1" w:styleId="6Char">
    <w:name w:val="标题 6 Char"/>
    <w:aliases w:val="Alt+6 Char,PIM 6 Char,h6 Char,Figure label Char,l6 Char,hsm Char,cnp Char,Caption number (page-wide) Char,list 6 Char,Bullet list Char,H6 Char,L6 Char,BOD 4 Char,6 Char,h61 Char,heading 61 Char,Legal Level 1. Char,heading 6 Char,Heading6 Char"/>
    <w:basedOn w:val="a0"/>
    <w:link w:val="6"/>
    <w:rsid w:val="00C91761"/>
    <w:rPr>
      <w:rFonts w:asciiTheme="majorHAnsi" w:eastAsiaTheme="majorEastAsia" w:hAnsiTheme="majorHAnsi" w:cstheme="majorBidi"/>
      <w:b/>
      <w:bCs/>
      <w:sz w:val="24"/>
      <w:szCs w:val="24"/>
    </w:rPr>
  </w:style>
  <w:style w:type="character" w:customStyle="1" w:styleId="3Char">
    <w:name w:val="标题 3 Char"/>
    <w:aliases w:val="h3 Char,H3 Char,sect1.2.3 Char,Alt+3 Char,1.1.1 Heading 3 Char,Titolo Sotto/Sottosezione Char,1.1.1.标题 3 Char,Bold Head Char,bh Char,l3 Char,CT Char,3rd level Char,3 Char,Head 3 Char,h31 Char,section:3 Char,Level 3 Head Char,heading 3 Char"/>
    <w:basedOn w:val="a0"/>
    <w:link w:val="30"/>
    <w:rsid w:val="00C91761"/>
    <w:rPr>
      <w:rFonts w:ascii="Times New Roman" w:eastAsia="宋体" w:hAnsi="Times New Roman" w:cs="Times New Roman"/>
      <w:b/>
      <w:bCs/>
      <w:sz w:val="32"/>
      <w:szCs w:val="32"/>
    </w:rPr>
  </w:style>
  <w:style w:type="character" w:customStyle="1" w:styleId="2Char">
    <w:name w:val="标题 2 Char"/>
    <w:aliases w:val="h2 Char1,Titre 2 Char1,l2 Char1,H2 Char1,第一章 标题 2 Char1,Heading 2 Hidden Char1,Heading 2 CCBS Char1,heading 2 Char1,sect 1.2 Char1,PIM2 Char1,Titre3 Char1,HD2 Char1,H21 Char1,sect 1.21 Char1,H22 Char1,sect 1.22 Char1,H211 Char1,H23 Char1"/>
    <w:basedOn w:val="a0"/>
    <w:link w:val="20"/>
    <w:rsid w:val="00C91761"/>
    <w:rPr>
      <w:rFonts w:asciiTheme="majorHAnsi" w:eastAsiaTheme="majorEastAsia" w:hAnsiTheme="majorHAnsi" w:cstheme="majorBidi"/>
      <w:b/>
      <w:bCs/>
      <w:sz w:val="32"/>
      <w:szCs w:val="32"/>
    </w:rPr>
  </w:style>
  <w:style w:type="character" w:customStyle="1" w:styleId="1Char">
    <w:name w:val="标题 1 Char"/>
    <w:aliases w:val="H1 Char,h1 Char,1st level Char,Section Head Char,l1 Char,Level 1 Topic Heading Char,b1 Char,H11 Char,H12 Char,H13 Char,H14 Char,H15 Char,H16 Char,H17 Char,1.0 Char,Title1 Char,Sec1 Char,h11 Char,1st level1 Char,h12 Char,1st level2 Char"/>
    <w:basedOn w:val="a0"/>
    <w:link w:val="10"/>
    <w:rsid w:val="00C91761"/>
    <w:rPr>
      <w:rFonts w:ascii="Times New Roman" w:eastAsia="宋体" w:hAnsi="Times New Roman" w:cs="Times New Roman"/>
      <w:b/>
      <w:bCs/>
      <w:kern w:val="44"/>
      <w:sz w:val="44"/>
      <w:szCs w:val="44"/>
    </w:rPr>
  </w:style>
  <w:style w:type="paragraph" w:styleId="ae">
    <w:name w:val="Revision"/>
    <w:hidden/>
    <w:uiPriority w:val="99"/>
    <w:semiHidden/>
    <w:rsid w:val="002640A5"/>
    <w:rPr>
      <w:rFonts w:ascii="Times New Roman" w:eastAsia="宋体" w:hAnsi="Times New Roman" w:cs="Times New Roman"/>
      <w:szCs w:val="24"/>
    </w:rPr>
  </w:style>
  <w:style w:type="paragraph" w:styleId="af">
    <w:name w:val="Document Map"/>
    <w:basedOn w:val="a"/>
    <w:link w:val="Char5"/>
    <w:semiHidden/>
    <w:unhideWhenUsed/>
    <w:rsid w:val="00F330B7"/>
    <w:rPr>
      <w:rFonts w:ascii="宋体"/>
      <w:sz w:val="18"/>
      <w:szCs w:val="18"/>
    </w:rPr>
  </w:style>
  <w:style w:type="character" w:customStyle="1" w:styleId="Char5">
    <w:name w:val="文档结构图 Char"/>
    <w:basedOn w:val="a0"/>
    <w:link w:val="af"/>
    <w:semiHidden/>
    <w:rsid w:val="00F330B7"/>
    <w:rPr>
      <w:rFonts w:ascii="宋体" w:eastAsia="宋体" w:hAnsi="Times New Roman" w:cs="Times New Roman"/>
      <w:sz w:val="18"/>
      <w:szCs w:val="18"/>
    </w:rPr>
  </w:style>
  <w:style w:type="character" w:customStyle="1" w:styleId="7Char">
    <w:name w:val="标题 7 Char"/>
    <w:aliases w:val="Alt+7 Char,PIM 7 Char,sdf Char,L7 Char,letter list Char1,不用 Char,st Char,H TIMES1 Char,（1） Char,正文七级标题 Char,h7 Char,SDL title Char,h71 Char,st1 Char,SDL title1 Char,h72 Char,st2 Char,SDL title2 Char,h73 Char,st3 Char,SDL title3 Char,h74 Char"/>
    <w:basedOn w:val="a0"/>
    <w:link w:val="7"/>
    <w:rsid w:val="00D517F0"/>
    <w:rPr>
      <w:rFonts w:ascii="Times" w:eastAsia="宋体" w:hAnsi="Times" w:cs="Times New Roman"/>
      <w:b/>
      <w:bCs/>
      <w:sz w:val="24"/>
      <w:szCs w:val="24"/>
    </w:rPr>
  </w:style>
  <w:style w:type="character" w:customStyle="1" w:styleId="8Char">
    <w:name w:val="标题 8 Char"/>
    <w:aliases w:val="标题6 Char,Alt+8 Char,AppendixSubHead Char,不用8 Char,正文八级标题 Char,tt1 Char,Figure Char,heading 8 Char,tt2 Char,tt11 Char,Figure1 Char,heading 81 Char,tt3 Char,tt12 Char,Figure2 Char,heading 82 Char,tt4 Char,tt13 Char,Figure3 Char,heading 83 Char"/>
    <w:basedOn w:val="a0"/>
    <w:link w:val="8"/>
    <w:rsid w:val="00D517F0"/>
    <w:rPr>
      <w:rFonts w:ascii="Arial" w:eastAsia="黑体" w:hAnsi="Arial" w:cs="Times New Roman"/>
      <w:sz w:val="24"/>
      <w:szCs w:val="24"/>
    </w:rPr>
  </w:style>
  <w:style w:type="character" w:customStyle="1" w:styleId="9Char">
    <w:name w:val="标题 9 Char"/>
    <w:aliases w:val="tt Char,table title Char,标题 45 Char,Figure Heading Char,FH Char,Alt+9 Char,AppendixBodyHead Char,PIM 9 Char,huh Char,不用9 Char,ft Char,heading 9 Char,HF Char,正文九级标题 Char,三级标题 Char,ft1 Char,t Char,table left Char,tl Char,figures Char,9 Char"/>
    <w:basedOn w:val="a0"/>
    <w:link w:val="9"/>
    <w:rsid w:val="00D517F0"/>
    <w:rPr>
      <w:rFonts w:ascii="Arial" w:eastAsia="黑体" w:hAnsi="Arial" w:cs="Times New Roman"/>
      <w:sz w:val="24"/>
      <w:szCs w:val="21"/>
    </w:rPr>
  </w:style>
  <w:style w:type="paragraph" w:customStyle="1" w:styleId="Char2CharCharCharCharCharCharCharCharChar1CharCharChar">
    <w:name w:val="Char2 Char Char Char Char Char Char Char Char Char1 Char Char Char"/>
    <w:basedOn w:val="af"/>
    <w:autoRedefine/>
    <w:rsid w:val="00D517F0"/>
    <w:pPr>
      <w:shd w:val="clear" w:color="auto" w:fill="000080"/>
    </w:pPr>
    <w:rPr>
      <w:rFonts w:ascii="Arial" w:eastAsia="黑体" w:hAnsi="Arial" w:cs="Arial"/>
      <w:snapToGrid w:val="0"/>
      <w:kern w:val="0"/>
      <w:sz w:val="21"/>
      <w:szCs w:val="21"/>
    </w:rPr>
  </w:style>
  <w:style w:type="character" w:styleId="af0">
    <w:name w:val="page number"/>
    <w:basedOn w:val="a0"/>
    <w:rsid w:val="00D517F0"/>
  </w:style>
  <w:style w:type="paragraph" w:styleId="af1">
    <w:name w:val="Normal Indent"/>
    <w:aliases w:val="表正文,正文非缩进,Alt+X,mr正文缩进,段1,特点,标题4,正文（首行缩进两字） Char Char,ALT+Z,水上软件,正文不缩进,Indent 1,±íÕýÎÄ,ÕýÎÄ·ÇËõ½ø,正文缩进1,正文（首行缩进两字）,四号,正文缩进 Char,正文缩进（首行缩进两字）,表正文1,正文非缩进1,Alt+X1,mr正文缩进1,特点1,段11,正文不缩进1,正文缩进 Char1,正文缩进（首行缩进两字）1,正文（首行缩进两字）1,Indent 11,表正文2,正文非缩进2,Alt+X2"/>
    <w:basedOn w:val="a"/>
    <w:link w:val="Char20"/>
    <w:rsid w:val="00D517F0"/>
    <w:pPr>
      <w:snapToGrid w:val="0"/>
      <w:spacing w:line="360" w:lineRule="auto"/>
      <w:ind w:firstLineChars="200" w:firstLine="480"/>
    </w:pPr>
    <w:rPr>
      <w:rFonts w:ascii="Times" w:hAnsi="Times"/>
      <w:sz w:val="24"/>
    </w:rPr>
  </w:style>
  <w:style w:type="paragraph" w:customStyle="1" w:styleId="ParaCharCharCharCharCharCharChar">
    <w:name w:val="默认段落字体 Para Char Char Char Char Char Char Char"/>
    <w:basedOn w:val="a"/>
    <w:rsid w:val="00D517F0"/>
    <w:rPr>
      <w:rFonts w:ascii="Tahoma" w:hAnsi="Tahoma"/>
      <w:sz w:val="24"/>
      <w:szCs w:val="20"/>
    </w:rPr>
  </w:style>
  <w:style w:type="paragraph" w:styleId="af2">
    <w:name w:val="Body Text Indent"/>
    <w:basedOn w:val="a"/>
    <w:link w:val="Char6"/>
    <w:rsid w:val="00D517F0"/>
    <w:pPr>
      <w:spacing w:line="360" w:lineRule="auto"/>
      <w:ind w:firstLineChars="200" w:firstLine="480"/>
    </w:pPr>
    <w:rPr>
      <w:rFonts w:ascii="Times" w:hAnsi="Times"/>
      <w:sz w:val="24"/>
    </w:rPr>
  </w:style>
  <w:style w:type="character" w:customStyle="1" w:styleId="Char6">
    <w:name w:val="正文文本缩进 Char"/>
    <w:basedOn w:val="a0"/>
    <w:link w:val="af2"/>
    <w:rsid w:val="00D517F0"/>
    <w:rPr>
      <w:rFonts w:ascii="Times" w:eastAsia="宋体" w:hAnsi="Times" w:cs="Times New Roman"/>
      <w:sz w:val="24"/>
      <w:szCs w:val="24"/>
    </w:rPr>
  </w:style>
  <w:style w:type="paragraph" w:customStyle="1" w:styleId="GB2312">
    <w:name w:val="样式 楷体_GB2312 小二 加粗 居中"/>
    <w:basedOn w:val="a"/>
    <w:rsid w:val="00D517F0"/>
    <w:pPr>
      <w:spacing w:line="360" w:lineRule="auto"/>
      <w:ind w:firstLineChars="50" w:firstLine="50"/>
      <w:jc w:val="center"/>
      <w:outlineLvl w:val="0"/>
    </w:pPr>
    <w:rPr>
      <w:rFonts w:ascii="楷体_GB2312" w:eastAsia="楷体_GB2312" w:cs="宋体"/>
      <w:b/>
      <w:bCs/>
      <w:sz w:val="44"/>
      <w:szCs w:val="20"/>
    </w:rPr>
  </w:style>
  <w:style w:type="paragraph" w:customStyle="1" w:styleId="22">
    <w:name w:val="样式 标题 2 + 加粗"/>
    <w:basedOn w:val="20"/>
    <w:rsid w:val="00D517F0"/>
    <w:pPr>
      <w:numPr>
        <w:ilvl w:val="1"/>
      </w:numPr>
      <w:tabs>
        <w:tab w:val="num" w:pos="576"/>
      </w:tabs>
      <w:adjustRightInd w:val="0"/>
      <w:snapToGrid w:val="0"/>
      <w:spacing w:after="0" w:line="360" w:lineRule="auto"/>
      <w:ind w:left="576" w:hanging="576"/>
    </w:pPr>
    <w:rPr>
      <w:rFonts w:ascii="Times New Roman" w:eastAsia="宋体" w:hAnsi="Times New Roman" w:cs="Times New Roman"/>
      <w:sz w:val="30"/>
    </w:rPr>
  </w:style>
  <w:style w:type="paragraph" w:customStyle="1" w:styleId="3TimesNewRoman">
    <w:name w:val="样式 标题 3 + Times New Roman"/>
    <w:basedOn w:val="30"/>
    <w:rsid w:val="00D517F0"/>
    <w:pPr>
      <w:numPr>
        <w:ilvl w:val="2"/>
      </w:numPr>
      <w:tabs>
        <w:tab w:val="left" w:pos="0"/>
        <w:tab w:val="num" w:pos="1260"/>
      </w:tabs>
      <w:adjustRightInd w:val="0"/>
      <w:snapToGrid w:val="0"/>
      <w:spacing w:after="0" w:line="360" w:lineRule="auto"/>
      <w:ind w:left="680" w:hanging="680"/>
      <w:outlineLvl w:val="3"/>
    </w:pPr>
    <w:rPr>
      <w:sz w:val="28"/>
      <w:szCs w:val="28"/>
    </w:rPr>
  </w:style>
  <w:style w:type="character" w:customStyle="1" w:styleId="3TimesNewRomanChar">
    <w:name w:val="样式 标题 3 + Times New Roman Char"/>
    <w:rsid w:val="00D517F0"/>
    <w:rPr>
      <w:rFonts w:ascii="Times" w:eastAsia="宋体" w:hAnsi="Times"/>
      <w:b/>
      <w:bCs/>
      <w:kern w:val="2"/>
      <w:sz w:val="28"/>
      <w:szCs w:val="28"/>
      <w:lang w:val="en-US" w:eastAsia="zh-CN" w:bidi="ar-SA"/>
    </w:rPr>
  </w:style>
  <w:style w:type="paragraph" w:customStyle="1" w:styleId="GB231205">
    <w:name w:val="样式 样式 楷体_GB2312 小二 加粗 居中 + 首行缩进:  0.5 字符"/>
    <w:basedOn w:val="GB2312"/>
    <w:rsid w:val="00D517F0"/>
    <w:pPr>
      <w:spacing w:beforeLines="1800" w:afterLines="1800"/>
    </w:pPr>
  </w:style>
  <w:style w:type="paragraph" w:styleId="32">
    <w:name w:val="Body Text Indent 3"/>
    <w:basedOn w:val="a"/>
    <w:link w:val="3Char0"/>
    <w:rsid w:val="00D517F0"/>
    <w:pPr>
      <w:spacing w:after="120"/>
      <w:ind w:leftChars="200" w:left="420"/>
    </w:pPr>
    <w:rPr>
      <w:sz w:val="16"/>
      <w:szCs w:val="16"/>
    </w:rPr>
  </w:style>
  <w:style w:type="character" w:customStyle="1" w:styleId="3Char0">
    <w:name w:val="正文文本缩进 3 Char"/>
    <w:basedOn w:val="a0"/>
    <w:link w:val="32"/>
    <w:rsid w:val="00D517F0"/>
    <w:rPr>
      <w:rFonts w:ascii="Times New Roman" w:eastAsia="宋体" w:hAnsi="Times New Roman" w:cs="Times New Roman"/>
      <w:sz w:val="16"/>
      <w:szCs w:val="16"/>
    </w:rPr>
  </w:style>
  <w:style w:type="paragraph" w:customStyle="1" w:styleId="ParaCharCharCharCharCharCharCharCharCharCharCharCharCharCharCharChar2Char">
    <w:name w:val="默认段落字体 Para Char Char Char Char Char Char Char Char Char Char Char Char Char Char Char Char2 Char"/>
    <w:next w:val="a"/>
    <w:rsid w:val="00D517F0"/>
    <w:pPr>
      <w:keepNext/>
      <w:keepLines/>
      <w:numPr>
        <w:ilvl w:val="7"/>
        <w:numId w:val="1"/>
      </w:numPr>
      <w:spacing w:before="240" w:after="240"/>
      <w:outlineLvl w:val="7"/>
    </w:pPr>
    <w:rPr>
      <w:rFonts w:ascii="Arial" w:eastAsia="黑体" w:hAnsi="Arial" w:cs="Arial"/>
      <w:snapToGrid w:val="0"/>
      <w:kern w:val="0"/>
      <w:szCs w:val="21"/>
    </w:rPr>
  </w:style>
  <w:style w:type="paragraph" w:styleId="af3">
    <w:name w:val="Body Text"/>
    <w:basedOn w:val="a"/>
    <w:link w:val="Char7"/>
    <w:rsid w:val="00D517F0"/>
    <w:pPr>
      <w:spacing w:after="120"/>
    </w:pPr>
  </w:style>
  <w:style w:type="character" w:customStyle="1" w:styleId="Char7">
    <w:name w:val="正文文本 Char"/>
    <w:basedOn w:val="a0"/>
    <w:link w:val="af3"/>
    <w:rsid w:val="00D517F0"/>
    <w:rPr>
      <w:rFonts w:ascii="Times New Roman" w:eastAsia="宋体" w:hAnsi="Times New Roman" w:cs="Times New Roman"/>
      <w:szCs w:val="24"/>
    </w:rPr>
  </w:style>
  <w:style w:type="paragraph" w:styleId="af4">
    <w:name w:val="Body Text First Indent"/>
    <w:basedOn w:val="af3"/>
    <w:link w:val="Char8"/>
    <w:rsid w:val="00D517F0"/>
    <w:pPr>
      <w:widowControl/>
      <w:ind w:firstLine="420"/>
    </w:pPr>
    <w:rPr>
      <w:rFonts w:hAnsi="Arial"/>
      <w:sz w:val="24"/>
      <w:szCs w:val="20"/>
    </w:rPr>
  </w:style>
  <w:style w:type="character" w:customStyle="1" w:styleId="Char8">
    <w:name w:val="正文首行缩进 Char"/>
    <w:basedOn w:val="Char7"/>
    <w:link w:val="af4"/>
    <w:rsid w:val="00D517F0"/>
    <w:rPr>
      <w:rFonts w:ascii="Times New Roman" w:eastAsia="宋体" w:hAnsi="Arial" w:cs="Times New Roman"/>
      <w:sz w:val="24"/>
      <w:szCs w:val="20"/>
    </w:rPr>
  </w:style>
  <w:style w:type="paragraph" w:customStyle="1" w:styleId="xl57">
    <w:name w:val="xl57"/>
    <w:basedOn w:val="a"/>
    <w:rsid w:val="00D517F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kern w:val="0"/>
      <w:sz w:val="20"/>
      <w:szCs w:val="20"/>
    </w:rPr>
  </w:style>
  <w:style w:type="paragraph" w:customStyle="1" w:styleId="xl59">
    <w:name w:val="xl59"/>
    <w:basedOn w:val="a"/>
    <w:rsid w:val="00D517F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4"/>
    </w:rPr>
  </w:style>
  <w:style w:type="paragraph" w:customStyle="1" w:styleId="1">
    <w:name w:val="样式1"/>
    <w:basedOn w:val="10"/>
    <w:autoRedefine/>
    <w:rsid w:val="00D517F0"/>
    <w:pPr>
      <w:numPr>
        <w:ilvl w:val="1"/>
        <w:numId w:val="3"/>
      </w:numPr>
      <w:tabs>
        <w:tab w:val="num" w:pos="1369"/>
      </w:tabs>
      <w:spacing w:before="300" w:after="300" w:line="240" w:lineRule="auto"/>
      <w:ind w:left="714" w:hanging="425"/>
      <w:jc w:val="center"/>
    </w:pPr>
    <w:rPr>
      <w:rFonts w:ascii="Helvetica" w:eastAsia="黑体" w:hAnsi="Helvetica" w:cs="Helvetica"/>
      <w:kern w:val="2"/>
      <w:sz w:val="32"/>
      <w:szCs w:val="32"/>
    </w:rPr>
  </w:style>
  <w:style w:type="paragraph" w:customStyle="1" w:styleId="2">
    <w:name w:val="样式2"/>
    <w:basedOn w:val="20"/>
    <w:autoRedefine/>
    <w:rsid w:val="00D517F0"/>
    <w:pPr>
      <w:numPr>
        <w:ilvl w:val="1"/>
        <w:numId w:val="14"/>
      </w:numPr>
      <w:tabs>
        <w:tab w:val="left" w:pos="1080"/>
      </w:tabs>
      <w:spacing w:line="240" w:lineRule="auto"/>
    </w:pPr>
    <w:rPr>
      <w:rFonts w:ascii="Helvetica" w:eastAsia="黑体" w:hAnsi="Helvetica" w:cs="Times New Roman"/>
      <w:sz w:val="30"/>
    </w:rPr>
  </w:style>
  <w:style w:type="paragraph" w:customStyle="1" w:styleId="3">
    <w:name w:val="样式3"/>
    <w:basedOn w:val="30"/>
    <w:autoRedefine/>
    <w:rsid w:val="00D517F0"/>
    <w:pPr>
      <w:numPr>
        <w:ilvl w:val="2"/>
        <w:numId w:val="15"/>
      </w:numPr>
      <w:tabs>
        <w:tab w:val="clear" w:pos="720"/>
        <w:tab w:val="num" w:pos="1260"/>
      </w:tabs>
      <w:spacing w:line="240" w:lineRule="auto"/>
      <w:ind w:left="1260" w:hanging="720"/>
    </w:pPr>
    <w:rPr>
      <w:rFonts w:ascii="Times" w:eastAsia="黑体" w:hAnsi="Times"/>
      <w:sz w:val="28"/>
    </w:rPr>
  </w:style>
  <w:style w:type="paragraph" w:customStyle="1" w:styleId="12">
    <w:name w:val="正文文本1"/>
    <w:basedOn w:val="a"/>
    <w:rsid w:val="00D517F0"/>
    <w:rPr>
      <w:sz w:val="24"/>
    </w:rPr>
  </w:style>
  <w:style w:type="paragraph" w:styleId="23">
    <w:name w:val="Body Text Indent 2"/>
    <w:basedOn w:val="a"/>
    <w:link w:val="2Char0"/>
    <w:rsid w:val="00D517F0"/>
    <w:pPr>
      <w:spacing w:line="360" w:lineRule="auto"/>
      <w:ind w:firstLine="397"/>
    </w:pPr>
    <w:rPr>
      <w:rFonts w:ascii="楷体_GB2312" w:eastAsia="楷体_GB2312"/>
      <w:sz w:val="24"/>
    </w:rPr>
  </w:style>
  <w:style w:type="character" w:customStyle="1" w:styleId="2Char0">
    <w:name w:val="正文文本缩进 2 Char"/>
    <w:basedOn w:val="a0"/>
    <w:link w:val="23"/>
    <w:rsid w:val="00D517F0"/>
    <w:rPr>
      <w:rFonts w:ascii="楷体_GB2312" w:eastAsia="楷体_GB2312" w:hAnsi="Times New Roman" w:cs="Times New Roman"/>
      <w:sz w:val="24"/>
      <w:szCs w:val="24"/>
    </w:rPr>
  </w:style>
  <w:style w:type="character" w:styleId="af5">
    <w:name w:val="FollowedHyperlink"/>
    <w:rsid w:val="00D517F0"/>
    <w:rPr>
      <w:rFonts w:ascii="Arial" w:eastAsia="黑体" w:hAnsi="Arial" w:cs="Arial"/>
      <w:snapToGrid w:val="0"/>
      <w:color w:val="800080"/>
      <w:sz w:val="21"/>
      <w:szCs w:val="21"/>
      <w:u w:val="single"/>
      <w:lang w:val="en-US" w:eastAsia="zh-CN" w:bidi="ar-SA"/>
    </w:rPr>
  </w:style>
  <w:style w:type="paragraph" w:customStyle="1" w:styleId="font5">
    <w:name w:val="font5"/>
    <w:basedOn w:val="a"/>
    <w:rsid w:val="00D517F0"/>
    <w:pPr>
      <w:widowControl/>
      <w:spacing w:before="100" w:beforeAutospacing="1" w:after="100" w:afterAutospacing="1"/>
      <w:jc w:val="left"/>
    </w:pPr>
    <w:rPr>
      <w:rFonts w:ascii="宋体" w:hAnsi="宋体" w:hint="eastAsia"/>
      <w:b/>
      <w:bCs/>
      <w:kern w:val="0"/>
      <w:sz w:val="18"/>
      <w:szCs w:val="18"/>
    </w:rPr>
  </w:style>
  <w:style w:type="paragraph" w:customStyle="1" w:styleId="font6">
    <w:name w:val="font6"/>
    <w:basedOn w:val="a"/>
    <w:rsid w:val="00D517F0"/>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
    <w:rsid w:val="00D517F0"/>
    <w:pPr>
      <w:widowControl/>
      <w:spacing w:before="100" w:beforeAutospacing="1" w:after="100" w:afterAutospacing="1"/>
      <w:jc w:val="left"/>
    </w:pPr>
    <w:rPr>
      <w:b/>
      <w:bCs/>
      <w:kern w:val="0"/>
      <w:sz w:val="18"/>
      <w:szCs w:val="18"/>
    </w:rPr>
  </w:style>
  <w:style w:type="paragraph" w:customStyle="1" w:styleId="xl25">
    <w:name w:val="xl25"/>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18"/>
      <w:szCs w:val="18"/>
    </w:rPr>
  </w:style>
  <w:style w:type="paragraph" w:customStyle="1" w:styleId="xl26">
    <w:name w:val="xl26"/>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xl27">
    <w:name w:val="xl27"/>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28">
    <w:name w:val="xl28"/>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hAnsi="Arial Unicode MS"/>
      <w:b/>
      <w:bCs/>
      <w:kern w:val="0"/>
      <w:sz w:val="18"/>
      <w:szCs w:val="18"/>
    </w:rPr>
  </w:style>
  <w:style w:type="paragraph" w:customStyle="1" w:styleId="xl29">
    <w:name w:val="xl29"/>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0">
    <w:name w:val="xl30"/>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b/>
      <w:bCs/>
      <w:color w:val="000000"/>
      <w:kern w:val="0"/>
      <w:sz w:val="18"/>
      <w:szCs w:val="18"/>
    </w:rPr>
  </w:style>
  <w:style w:type="paragraph" w:customStyle="1" w:styleId="xl31">
    <w:name w:val="xl31"/>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b/>
      <w:bCs/>
      <w:kern w:val="0"/>
      <w:sz w:val="18"/>
      <w:szCs w:val="18"/>
    </w:rPr>
  </w:style>
  <w:style w:type="paragraph" w:customStyle="1" w:styleId="xl32">
    <w:name w:val="xl32"/>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kern w:val="0"/>
      <w:sz w:val="18"/>
      <w:szCs w:val="18"/>
    </w:rPr>
  </w:style>
  <w:style w:type="paragraph" w:customStyle="1" w:styleId="xl33">
    <w:name w:val="xl33"/>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18"/>
      <w:szCs w:val="18"/>
    </w:rPr>
  </w:style>
  <w:style w:type="paragraph" w:customStyle="1" w:styleId="xl34">
    <w:name w:val="xl34"/>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35">
    <w:name w:val="xl35"/>
    <w:basedOn w:val="a"/>
    <w:rsid w:val="00D517F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6">
    <w:name w:val="xl36"/>
    <w:basedOn w:val="a"/>
    <w:rsid w:val="00D517F0"/>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7">
    <w:name w:val="xl37"/>
    <w:basedOn w:val="a"/>
    <w:rsid w:val="00D517F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8">
    <w:name w:val="xl38"/>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kern w:val="0"/>
      <w:sz w:val="18"/>
      <w:szCs w:val="18"/>
    </w:rPr>
  </w:style>
  <w:style w:type="paragraph" w:customStyle="1" w:styleId="xl39">
    <w:name w:val="xl39"/>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xl40">
    <w:name w:val="xl40"/>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1">
    <w:name w:val="xl41"/>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hAnsi="Arial Unicode MS"/>
      <w:b/>
      <w:bCs/>
      <w:kern w:val="0"/>
      <w:sz w:val="18"/>
      <w:szCs w:val="18"/>
    </w:rPr>
  </w:style>
  <w:style w:type="paragraph" w:customStyle="1" w:styleId="xl42">
    <w:name w:val="xl42"/>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bCs/>
      <w:kern w:val="0"/>
      <w:sz w:val="18"/>
      <w:szCs w:val="18"/>
    </w:rPr>
  </w:style>
  <w:style w:type="paragraph" w:customStyle="1" w:styleId="xl43">
    <w:name w:val="xl43"/>
    <w:basedOn w:val="a"/>
    <w:rsid w:val="00D517F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4">
    <w:name w:val="xl44"/>
    <w:basedOn w:val="a"/>
    <w:rsid w:val="00D517F0"/>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5">
    <w:name w:val="xl45"/>
    <w:basedOn w:val="a"/>
    <w:rsid w:val="00D517F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6">
    <w:name w:val="xl46"/>
    <w:basedOn w:val="a"/>
    <w:rsid w:val="00D517F0"/>
    <w:pPr>
      <w:widowControl/>
      <w:pBdr>
        <w:top w:val="single" w:sz="4" w:space="0" w:color="auto"/>
        <w:lef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7">
    <w:name w:val="xl47"/>
    <w:basedOn w:val="a"/>
    <w:rsid w:val="00D517F0"/>
    <w:pPr>
      <w:widowControl/>
      <w:pBdr>
        <w:top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8">
    <w:name w:val="xl48"/>
    <w:basedOn w:val="a"/>
    <w:rsid w:val="00D517F0"/>
    <w:pPr>
      <w:widowControl/>
      <w:pBdr>
        <w:left w:val="single" w:sz="4" w:space="0" w:color="auto"/>
        <w:bottom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CharCharCharChar">
    <w:name w:val="Char Char Char Char"/>
    <w:basedOn w:val="af"/>
    <w:autoRedefine/>
    <w:rsid w:val="00D517F0"/>
    <w:pPr>
      <w:widowControl/>
      <w:shd w:val="clear" w:color="auto" w:fill="000080"/>
      <w:ind w:firstLine="454"/>
      <w:jc w:val="left"/>
    </w:pPr>
    <w:rPr>
      <w:rFonts w:ascii="Tahoma" w:hAnsi="Tahoma" w:cs="宋体"/>
      <w:kern w:val="0"/>
      <w:sz w:val="21"/>
      <w:szCs w:val="20"/>
    </w:rPr>
  </w:style>
  <w:style w:type="character" w:customStyle="1" w:styleId="newscontent1">
    <w:name w:val="newscontent1"/>
    <w:rsid w:val="00D517F0"/>
    <w:rPr>
      <w:rFonts w:ascii="Arial" w:eastAsia="黑体" w:hAnsi="Arial" w:cs="Arial"/>
      <w:snapToGrid w:val="0"/>
      <w:sz w:val="21"/>
      <w:szCs w:val="21"/>
      <w:lang w:val="en-US" w:eastAsia="zh-CN" w:bidi="ar-SA"/>
    </w:rPr>
  </w:style>
  <w:style w:type="paragraph" w:customStyle="1" w:styleId="ParaCharCharCharCharCharCharCharCharCharCharCharCharCharChar">
    <w:name w:val="默认段落字体 Para Char Char Char Char Char Char Char Char Char Char Char Char Char Char"/>
    <w:next w:val="a"/>
    <w:rsid w:val="00D517F0"/>
    <w:pPr>
      <w:keepNext/>
      <w:keepLines/>
      <w:tabs>
        <w:tab w:val="num" w:pos="3360"/>
      </w:tabs>
      <w:spacing w:before="240" w:after="240"/>
      <w:ind w:left="3360" w:hanging="420"/>
      <w:outlineLvl w:val="7"/>
    </w:pPr>
    <w:rPr>
      <w:rFonts w:ascii="Arial" w:eastAsia="黑体" w:hAnsi="Arial" w:cs="Arial"/>
      <w:snapToGrid w:val="0"/>
      <w:kern w:val="0"/>
      <w:szCs w:val="21"/>
    </w:rPr>
  </w:style>
  <w:style w:type="paragraph" w:styleId="24">
    <w:name w:val="Body Text First Indent 2"/>
    <w:basedOn w:val="af2"/>
    <w:link w:val="2Char1"/>
    <w:rsid w:val="00D517F0"/>
    <w:pPr>
      <w:spacing w:after="120" w:line="240" w:lineRule="auto"/>
      <w:ind w:leftChars="200" w:left="420" w:firstLine="420"/>
    </w:pPr>
    <w:rPr>
      <w:rFonts w:ascii="Times New Roman" w:hAnsi="Times New Roman"/>
      <w:sz w:val="21"/>
    </w:rPr>
  </w:style>
  <w:style w:type="character" w:customStyle="1" w:styleId="2Char1">
    <w:name w:val="正文首行缩进 2 Char"/>
    <w:basedOn w:val="Char6"/>
    <w:link w:val="24"/>
    <w:rsid w:val="00D517F0"/>
    <w:rPr>
      <w:rFonts w:ascii="Times New Roman" w:eastAsia="宋体" w:hAnsi="Times New Roman" w:cs="Times New Roman"/>
      <w:sz w:val="24"/>
      <w:szCs w:val="24"/>
    </w:rPr>
  </w:style>
  <w:style w:type="paragraph" w:customStyle="1" w:styleId="Char9">
    <w:name w:val="Char"/>
    <w:basedOn w:val="af"/>
    <w:autoRedefine/>
    <w:rsid w:val="00D517F0"/>
    <w:pPr>
      <w:shd w:val="clear" w:color="auto" w:fill="000080"/>
    </w:pPr>
    <w:rPr>
      <w:rFonts w:ascii="Tahoma" w:hAnsi="Tahoma"/>
      <w:sz w:val="24"/>
      <w:szCs w:val="24"/>
    </w:rPr>
  </w:style>
  <w:style w:type="character" w:customStyle="1" w:styleId="CharChar">
    <w:name w:val="Char Char"/>
    <w:rsid w:val="00D517F0"/>
    <w:rPr>
      <w:rFonts w:ascii="Arial" w:eastAsia="黑体" w:hAnsi="Arial"/>
      <w:b/>
      <w:bCs/>
      <w:kern w:val="2"/>
      <w:sz w:val="36"/>
      <w:szCs w:val="32"/>
      <w:lang w:val="en-US" w:eastAsia="zh-CN" w:bidi="ar-SA"/>
    </w:rPr>
  </w:style>
  <w:style w:type="paragraph" w:customStyle="1" w:styleId="25">
    <w:name w:val="标题 2 + 加粗"/>
    <w:basedOn w:val="22"/>
    <w:rsid w:val="00D517F0"/>
  </w:style>
  <w:style w:type="paragraph" w:styleId="5">
    <w:name w:val="List Number 5"/>
    <w:basedOn w:val="a"/>
    <w:rsid w:val="00D517F0"/>
    <w:pPr>
      <w:numPr>
        <w:numId w:val="2"/>
      </w:numPr>
      <w:spacing w:line="360" w:lineRule="auto"/>
    </w:pPr>
    <w:rPr>
      <w:rFonts w:ascii="Times" w:hAnsi="Times"/>
      <w:sz w:val="24"/>
    </w:rPr>
  </w:style>
  <w:style w:type="paragraph" w:customStyle="1" w:styleId="af6">
    <w:name w:val="封面主标题"/>
    <w:basedOn w:val="a"/>
    <w:rsid w:val="00D517F0"/>
    <w:pPr>
      <w:spacing w:before="156" w:after="156"/>
      <w:jc w:val="center"/>
    </w:pPr>
    <w:rPr>
      <w:rFonts w:ascii="黑体" w:eastAsia="黑体"/>
      <w:b/>
      <w:bCs/>
      <w:emboss/>
      <w:color w:val="000000"/>
      <w:sz w:val="44"/>
      <w:szCs w:val="20"/>
    </w:rPr>
  </w:style>
  <w:style w:type="paragraph" w:styleId="af7">
    <w:name w:val="Date"/>
    <w:basedOn w:val="a"/>
    <w:next w:val="a"/>
    <w:link w:val="Chara"/>
    <w:rsid w:val="00D517F0"/>
    <w:pPr>
      <w:ind w:leftChars="2500" w:left="100"/>
    </w:pPr>
  </w:style>
  <w:style w:type="character" w:customStyle="1" w:styleId="Chara">
    <w:name w:val="日期 Char"/>
    <w:basedOn w:val="a0"/>
    <w:link w:val="af7"/>
    <w:rsid w:val="00D517F0"/>
    <w:rPr>
      <w:rFonts w:ascii="Times New Roman" w:eastAsia="宋体" w:hAnsi="Times New Roman" w:cs="Times New Roman"/>
      <w:szCs w:val="24"/>
    </w:rPr>
  </w:style>
  <w:style w:type="paragraph" w:customStyle="1" w:styleId="ALTZ">
    <w:name w:val="正文缩进(ALT+Z)"/>
    <w:basedOn w:val="a"/>
    <w:link w:val="ALTZChar"/>
    <w:rsid w:val="00D517F0"/>
    <w:pPr>
      <w:spacing w:line="360" w:lineRule="auto"/>
      <w:ind w:firstLineChars="200" w:firstLine="200"/>
    </w:pPr>
    <w:rPr>
      <w:sz w:val="24"/>
    </w:rPr>
  </w:style>
  <w:style w:type="character" w:customStyle="1" w:styleId="ALTZChar">
    <w:name w:val="正文缩进(ALT+Z) Char"/>
    <w:link w:val="ALTZ"/>
    <w:rsid w:val="00D517F0"/>
    <w:rPr>
      <w:rFonts w:ascii="Times New Roman" w:eastAsia="宋体" w:hAnsi="Times New Roman" w:cs="Times New Roman"/>
      <w:sz w:val="24"/>
      <w:szCs w:val="24"/>
    </w:rPr>
  </w:style>
  <w:style w:type="character" w:customStyle="1" w:styleId="Char20">
    <w:name w:val="正文缩进 Char2"/>
    <w:aliases w:val="表正文 Char,正文非缩进 Char,Alt+X Char,mr正文缩进 Char,段1 Char,特点 Char,标题4 Char,正文（首行缩进两字） Char Char Char,ALT+Z Char,水上软件 Char,正文不缩进 Char,Indent 1 Char,±íÕýÎÄ Char,ÕýÎÄ·ÇËõ½ø Char,正文缩进1 Char,正文（首行缩进两字） Char,四号 Char,正文缩进 Char Char,正文缩进（首行缩进两字） Char"/>
    <w:link w:val="af1"/>
    <w:rsid w:val="00D517F0"/>
    <w:rPr>
      <w:rFonts w:ascii="Times" w:eastAsia="宋体" w:hAnsi="Times" w:cs="Times New Roman"/>
      <w:sz w:val="24"/>
      <w:szCs w:val="24"/>
    </w:rPr>
  </w:style>
  <w:style w:type="character" w:customStyle="1" w:styleId="2Char10">
    <w:name w:val="标题 2 Char1"/>
    <w:aliases w:val="h2 Char,Titre 2 Char,l2 Char,H2 Char,第一章 标题 2 Char,Heading 2 Hidden Char,Heading 2 CCBS Char,heading 2 Char,sect 1.2 Char,PIM2 Char,Titre3 Char,HD2 Char,H21 Char,sect 1.21 Char,H22 Char,sect 1.22 Char,H211 Char,sect 1.211 Char,H23 Char,2 Char"/>
    <w:rsid w:val="00D517F0"/>
    <w:rPr>
      <w:bCs/>
      <w:kern w:val="2"/>
      <w:sz w:val="32"/>
      <w:szCs w:val="32"/>
    </w:rPr>
  </w:style>
  <w:style w:type="paragraph" w:customStyle="1" w:styleId="3h3H3sect123Alt3111Heading3TitoloSottoSotto">
    <w:name w:val="样式 标题 3h3H3sect1.2.3Alt+31.1.1 Heading 3Titolo Sotto/Sotto..."/>
    <w:basedOn w:val="30"/>
    <w:autoRedefine/>
    <w:rsid w:val="00D517F0"/>
    <w:pPr>
      <w:numPr>
        <w:ilvl w:val="2"/>
      </w:numPr>
      <w:tabs>
        <w:tab w:val="num" w:pos="720"/>
      </w:tabs>
      <w:adjustRightInd w:val="0"/>
      <w:snapToGrid w:val="0"/>
      <w:spacing w:before="120" w:after="120" w:line="240" w:lineRule="auto"/>
      <w:ind w:left="720" w:hanging="720"/>
    </w:pPr>
    <w:rPr>
      <w:rFonts w:ascii="Times" w:hAnsi="Times" w:cs="宋体"/>
      <w:sz w:val="28"/>
      <w:szCs w:val="20"/>
    </w:rPr>
  </w:style>
  <w:style w:type="paragraph" w:customStyle="1" w:styleId="Char10">
    <w:name w:val="Char1"/>
    <w:basedOn w:val="af"/>
    <w:autoRedefine/>
    <w:rsid w:val="00D517F0"/>
    <w:pPr>
      <w:shd w:val="clear" w:color="auto" w:fill="000080"/>
    </w:pPr>
    <w:rPr>
      <w:rFonts w:ascii="Tahoma" w:hAnsi="Tahoma"/>
      <w:sz w:val="24"/>
      <w:szCs w:val="24"/>
    </w:rPr>
  </w:style>
  <w:style w:type="character" w:customStyle="1" w:styleId="CharChar1">
    <w:name w:val="Char Char1"/>
    <w:rsid w:val="00D517F0"/>
    <w:rPr>
      <w:rFonts w:ascii="Arial" w:eastAsia="黑体" w:hAnsi="Arial"/>
      <w:b/>
      <w:bCs/>
      <w:kern w:val="2"/>
      <w:sz w:val="36"/>
      <w:szCs w:val="32"/>
      <w:lang w:val="en-US" w:eastAsia="zh-CN" w:bidi="ar-SA"/>
    </w:rPr>
  </w:style>
  <w:style w:type="character" w:customStyle="1" w:styleId="Charb">
    <w:name w:val="规划正文 Char"/>
    <w:link w:val="af8"/>
    <w:rsid w:val="00D517F0"/>
    <w:rPr>
      <w:rFonts w:ascii="仿宋_GB2312" w:eastAsia="仿宋_GB2312" w:hAnsi="仿宋_GB2312"/>
      <w:sz w:val="32"/>
    </w:rPr>
  </w:style>
  <w:style w:type="paragraph" w:customStyle="1" w:styleId="af8">
    <w:name w:val="规划正文"/>
    <w:basedOn w:val="a"/>
    <w:link w:val="Charb"/>
    <w:rsid w:val="00D517F0"/>
    <w:pPr>
      <w:ind w:firstLineChars="200" w:firstLine="430"/>
    </w:pPr>
    <w:rPr>
      <w:rFonts w:ascii="仿宋_GB2312" w:eastAsia="仿宋_GB2312" w:hAnsi="仿宋_GB2312" w:cstheme="minorBidi"/>
      <w:sz w:val="32"/>
      <w:szCs w:val="22"/>
    </w:rPr>
  </w:style>
  <w:style w:type="paragraph" w:customStyle="1" w:styleId="af9">
    <w:name w:val="规划二级标题"/>
    <w:basedOn w:val="20"/>
    <w:rsid w:val="00D517F0"/>
    <w:pPr>
      <w:keepNext w:val="0"/>
      <w:keepLines w:val="0"/>
      <w:snapToGrid w:val="0"/>
      <w:spacing w:beforeLines="25" w:after="0" w:line="360" w:lineRule="auto"/>
      <w:ind w:firstLine="624"/>
    </w:pPr>
    <w:rPr>
      <w:rFonts w:ascii="Arial" w:eastAsia="楷体_GB2312" w:hAnsi="Arial" w:cs="Times New Roman"/>
      <w:b w:val="0"/>
      <w:bCs w:val="0"/>
      <w:szCs w:val="20"/>
    </w:rPr>
  </w:style>
  <w:style w:type="paragraph" w:customStyle="1" w:styleId="afa">
    <w:name w:val="表格标题(居中)"/>
    <w:basedOn w:val="a"/>
    <w:link w:val="Charc"/>
    <w:rsid w:val="00D517F0"/>
    <w:pPr>
      <w:snapToGrid w:val="0"/>
      <w:spacing w:line="300" w:lineRule="auto"/>
      <w:jc w:val="center"/>
    </w:pPr>
    <w:rPr>
      <w:rFonts w:eastAsia="黑体"/>
      <w:sz w:val="24"/>
      <w:szCs w:val="20"/>
    </w:rPr>
  </w:style>
  <w:style w:type="character" w:customStyle="1" w:styleId="Charc">
    <w:name w:val="表格标题(居中) Char"/>
    <w:link w:val="afa"/>
    <w:rsid w:val="00D517F0"/>
    <w:rPr>
      <w:rFonts w:ascii="Times New Roman" w:eastAsia="黑体" w:hAnsi="Times New Roman" w:cs="Times New Roman"/>
      <w:sz w:val="24"/>
      <w:szCs w:val="20"/>
    </w:rPr>
  </w:style>
  <w:style w:type="paragraph" w:customStyle="1" w:styleId="13">
    <w:name w:val="图名1"/>
    <w:basedOn w:val="a"/>
    <w:rsid w:val="00D517F0"/>
    <w:pPr>
      <w:widowControl/>
      <w:tabs>
        <w:tab w:val="left" w:leader="dot" w:pos="1701"/>
        <w:tab w:val="left" w:pos="9072"/>
      </w:tabs>
      <w:snapToGrid w:val="0"/>
      <w:spacing w:after="240" w:line="300" w:lineRule="auto"/>
      <w:jc w:val="center"/>
    </w:pPr>
    <w:rPr>
      <w:rFonts w:eastAsia="黑体"/>
      <w:kern w:val="21"/>
      <w:sz w:val="24"/>
      <w:szCs w:val="20"/>
    </w:rPr>
  </w:style>
  <w:style w:type="paragraph" w:styleId="afb">
    <w:name w:val="Plain Text"/>
    <w:basedOn w:val="a"/>
    <w:link w:val="Chard"/>
    <w:rsid w:val="00D517F0"/>
    <w:rPr>
      <w:rFonts w:ascii="宋体" w:hAnsi="Courier New"/>
      <w:sz w:val="24"/>
      <w:szCs w:val="20"/>
    </w:rPr>
  </w:style>
  <w:style w:type="character" w:customStyle="1" w:styleId="Chard">
    <w:name w:val="纯文本 Char"/>
    <w:basedOn w:val="a0"/>
    <w:link w:val="afb"/>
    <w:rsid w:val="00D517F0"/>
    <w:rPr>
      <w:rFonts w:ascii="宋体" w:eastAsia="宋体" w:hAnsi="Courier New" w:cs="Times New Roman"/>
      <w:sz w:val="24"/>
      <w:szCs w:val="20"/>
    </w:rPr>
  </w:style>
  <w:style w:type="character" w:styleId="afc">
    <w:name w:val="Strong"/>
    <w:qFormat/>
    <w:rsid w:val="00D517F0"/>
    <w:rPr>
      <w:b/>
      <w:bCs/>
    </w:rPr>
  </w:style>
  <w:style w:type="paragraph" w:customStyle="1" w:styleId="MMTitle">
    <w:name w:val="MM Title"/>
    <w:basedOn w:val="afd"/>
    <w:link w:val="MMTitleChar"/>
    <w:uiPriority w:val="99"/>
    <w:rsid w:val="00F87722"/>
    <w:rPr>
      <w:rFonts w:ascii="Cambria" w:hAnsi="Cambria" w:cs="Times New Roman"/>
    </w:rPr>
  </w:style>
  <w:style w:type="character" w:customStyle="1" w:styleId="MMTitleChar">
    <w:name w:val="MM Title Char"/>
    <w:basedOn w:val="Chare"/>
    <w:link w:val="MMTitle"/>
    <w:uiPriority w:val="99"/>
    <w:locked/>
    <w:rsid w:val="00F87722"/>
    <w:rPr>
      <w:rFonts w:ascii="Cambria" w:eastAsia="宋体" w:hAnsi="Cambria" w:cs="Times New Roman"/>
      <w:b/>
      <w:bCs/>
      <w:sz w:val="32"/>
      <w:szCs w:val="32"/>
    </w:rPr>
  </w:style>
  <w:style w:type="paragraph" w:styleId="afd">
    <w:name w:val="Title"/>
    <w:basedOn w:val="a"/>
    <w:next w:val="a"/>
    <w:link w:val="Chare"/>
    <w:uiPriority w:val="10"/>
    <w:qFormat/>
    <w:rsid w:val="00F87722"/>
    <w:pPr>
      <w:spacing w:before="240" w:after="60"/>
      <w:jc w:val="center"/>
      <w:outlineLvl w:val="0"/>
    </w:pPr>
    <w:rPr>
      <w:rFonts w:asciiTheme="majorHAnsi" w:hAnsiTheme="majorHAnsi" w:cstheme="majorBidi"/>
      <w:b/>
      <w:bCs/>
      <w:sz w:val="32"/>
      <w:szCs w:val="32"/>
    </w:rPr>
  </w:style>
  <w:style w:type="character" w:customStyle="1" w:styleId="Chare">
    <w:name w:val="标题 Char"/>
    <w:basedOn w:val="a0"/>
    <w:link w:val="afd"/>
    <w:uiPriority w:val="10"/>
    <w:rsid w:val="00F87722"/>
    <w:rPr>
      <w:rFonts w:asciiTheme="majorHAnsi" w:eastAsia="宋体" w:hAnsiTheme="majorHAnsi" w:cstheme="majorBidi"/>
      <w:b/>
      <w:bCs/>
      <w:sz w:val="32"/>
      <w:szCs w:val="32"/>
    </w:rPr>
  </w:style>
  <w:style w:type="character" w:customStyle="1" w:styleId="righttext1">
    <w:name w:val="right_text1"/>
    <w:basedOn w:val="a0"/>
    <w:rsid w:val="003B6904"/>
    <w:rPr>
      <w:rFonts w:ascii="Arial" w:hAnsi="Arial" w:cs="Arial" w:hint="default"/>
      <w:strike w:val="0"/>
      <w:dstrike w:val="0"/>
      <w:color w:val="333333"/>
      <w:sz w:val="18"/>
      <w:szCs w:val="18"/>
      <w:u w:val="none"/>
    </w:rPr>
  </w:style>
  <w:style w:type="paragraph" w:customStyle="1" w:styleId="Default">
    <w:name w:val="Default"/>
    <w:rsid w:val="00597A4B"/>
    <w:pPr>
      <w:widowControl w:val="0"/>
      <w:autoSpaceDE w:val="0"/>
      <w:autoSpaceDN w:val="0"/>
      <w:adjustRightInd w:val="0"/>
    </w:pPr>
    <w:rPr>
      <w:rFonts w:ascii="microsoft yahei" w:hAnsi="microsoft yahei" w:cs="microsoft yahei"/>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090"/>
    <w:pPr>
      <w:widowControl w:val="0"/>
      <w:jc w:val="both"/>
    </w:pPr>
    <w:rPr>
      <w:rFonts w:ascii="Times New Roman" w:eastAsia="宋体" w:hAnsi="Times New Roman" w:cs="Times New Roman"/>
      <w:szCs w:val="24"/>
    </w:rPr>
  </w:style>
  <w:style w:type="paragraph" w:styleId="10">
    <w:name w:val="heading 1"/>
    <w:aliases w:val="H1,h1,1st level,Section Head,l1,Level 1 Topic Heading,b1,H11,H12,H13,H14,H15,H16,H17,1.0,Title1,Sec1,h11,1st level1,h12,1st level2,h13,1st level3,h14,1st level4,h15,1st level5,h16,1st level6,h17,1st level7,h18,1st level8,h111,1st level11,h121,h131"/>
    <w:basedOn w:val="a"/>
    <w:next w:val="a"/>
    <w:link w:val="1Char"/>
    <w:qFormat/>
    <w:rsid w:val="00C91761"/>
    <w:pPr>
      <w:keepNext/>
      <w:keepLines/>
      <w:spacing w:before="340" w:after="330" w:line="578" w:lineRule="auto"/>
      <w:outlineLvl w:val="0"/>
    </w:pPr>
    <w:rPr>
      <w:b/>
      <w:bCs/>
      <w:kern w:val="44"/>
      <w:sz w:val="44"/>
      <w:szCs w:val="44"/>
    </w:rPr>
  </w:style>
  <w:style w:type="paragraph" w:styleId="20">
    <w:name w:val="heading 2"/>
    <w:aliases w:val="h2,Titre 2,l2,H2,第一章 标题 2,Heading 2 Hidden,Heading 2 CCBS,heading 2,sect 1.2,PIM2,Titre3,HD2,H21,sect 1.21,H22,sect 1.22,H211,sect 1.211,H23,sect 1.23,H212,sect 1.212,DO,DO NOT USE_h2,chn,Chapter Number/Appendix Letter,2nd level,2,Header 2,Titre2,A"/>
    <w:basedOn w:val="a"/>
    <w:next w:val="a"/>
    <w:link w:val="2Char"/>
    <w:unhideWhenUsed/>
    <w:qFormat/>
    <w:rsid w:val="00C9176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aliases w:val="h3,H3,sect1.2.3,Alt+3,1.1.1 Heading 3,Titolo Sotto/Sottosezione,1.1.1.标题 3,Bold Head,bh,l3,CT,3rd level,3,Head 3,h31,section:3,Level 3 Head,heading 3,1.1.1,BOD 0,heading 31,h32,heading 32,h311,heading 311,h33,heading 33,h312,heading 312,h321,h34,1."/>
    <w:basedOn w:val="a"/>
    <w:next w:val="a"/>
    <w:link w:val="3Char"/>
    <w:unhideWhenUsed/>
    <w:qFormat/>
    <w:rsid w:val="00C91761"/>
    <w:pPr>
      <w:keepNext/>
      <w:keepLines/>
      <w:spacing w:before="260" w:after="260" w:line="416" w:lineRule="auto"/>
      <w:outlineLvl w:val="2"/>
    </w:pPr>
    <w:rPr>
      <w:b/>
      <w:bCs/>
      <w:sz w:val="32"/>
      <w:szCs w:val="32"/>
    </w:rPr>
  </w:style>
  <w:style w:type="paragraph" w:styleId="4">
    <w:name w:val="heading 4"/>
    <w:aliases w:val="h4,heading 4,h41,heading 41,h42,heading 42,h411,heading 411,h43,heading 43,h412,heading 412,h421,heading 421,h4111,heading 4111,h44,heading 44,h413,heading 413,h422,heading 422,h4112,heading 4112,h45,heading 45,h414,heading 414,h423,h4113,h46,Head4"/>
    <w:basedOn w:val="a"/>
    <w:next w:val="a"/>
    <w:link w:val="4Char"/>
    <w:unhideWhenUsed/>
    <w:qFormat/>
    <w:rsid w:val="00C9176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aliases w:val="h5,Heading5,l5,5,dash,ds,dd,Alt+5,表格标题,H5,PIM 5,Roman list,hm,Table label,mh2,Module heading 2,Head 5,list 5,Block Label,Appendix A  Heading 5,heading 5,h51,heading 51,h52,heading 52,h53,heading 53,ITT t5,PA Pico Section,H5-Heading 5,heading5,H51,口"/>
    <w:basedOn w:val="a"/>
    <w:next w:val="a"/>
    <w:link w:val="5Char"/>
    <w:unhideWhenUsed/>
    <w:qFormat/>
    <w:rsid w:val="00C91761"/>
    <w:pPr>
      <w:keepNext/>
      <w:keepLines/>
      <w:spacing w:before="280" w:after="290" w:line="376" w:lineRule="auto"/>
      <w:outlineLvl w:val="4"/>
    </w:pPr>
    <w:rPr>
      <w:b/>
      <w:bCs/>
      <w:sz w:val="28"/>
      <w:szCs w:val="28"/>
    </w:rPr>
  </w:style>
  <w:style w:type="paragraph" w:styleId="6">
    <w:name w:val="heading 6"/>
    <w:aliases w:val="Alt+6,PIM 6,h6,Figure label,l6,hsm,cnp,Caption number (page-wide),list 6,Bullet list,H6,L6,BOD 4,6,h61,heading 61,Legal Level 1.,heading 6,Heading6,小标题,第五层条,DO NOT USE_h6,Alpha List,正文六级标题,Bullet (Single Lines),Figure label1,h62,l61,hsm1,cnp1"/>
    <w:basedOn w:val="a"/>
    <w:next w:val="a"/>
    <w:link w:val="6Char"/>
    <w:unhideWhenUsed/>
    <w:qFormat/>
    <w:rsid w:val="00C91761"/>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aliases w:val="Alt+7,PIM 7,sdf,L7,letter list,不用,st,H TIMES1,（1）,正文七级标题,h7,SDL title,h71,st1,SDL title1,h72,st2,SDL title2,h73,st3,SDL title3,h74,st4,SDL title4,h75,st5,SDL title5,Legal Level 1.1.,List(1),letter list Char"/>
    <w:basedOn w:val="a"/>
    <w:next w:val="a"/>
    <w:link w:val="7Char"/>
    <w:qFormat/>
    <w:rsid w:val="00D517F0"/>
    <w:pPr>
      <w:keepNext/>
      <w:keepLines/>
      <w:tabs>
        <w:tab w:val="num" w:pos="1296"/>
      </w:tabs>
      <w:spacing w:before="240" w:after="64" w:line="320" w:lineRule="auto"/>
      <w:ind w:left="1296" w:firstLineChars="200" w:hanging="1296"/>
      <w:outlineLvl w:val="6"/>
    </w:pPr>
    <w:rPr>
      <w:rFonts w:ascii="Times" w:hAnsi="Times"/>
      <w:b/>
      <w:bCs/>
      <w:sz w:val="24"/>
    </w:rPr>
  </w:style>
  <w:style w:type="paragraph" w:styleId="8">
    <w:name w:val="heading 8"/>
    <w:aliases w:val="标题6,Alt+8,AppendixSubHead,不用8,正文八级标题,tt1,Figure,heading 8,tt2,tt11,Figure1,heading 81,tt3,tt12,Figure2,heading 82,tt4,tt13,Figure3,heading 83,tt5,tt14,Figure4,heading 84,tt6,tt15,Figure5,heading 85,（A）,注意框体,Legal Level 1.1.1.,ctp,List(a)"/>
    <w:basedOn w:val="a"/>
    <w:next w:val="a"/>
    <w:link w:val="8Char"/>
    <w:qFormat/>
    <w:rsid w:val="00D517F0"/>
    <w:pPr>
      <w:keepNext/>
      <w:keepLines/>
      <w:tabs>
        <w:tab w:val="num" w:pos="1440"/>
      </w:tabs>
      <w:spacing w:before="240" w:after="64" w:line="320" w:lineRule="auto"/>
      <w:ind w:left="1440" w:firstLineChars="200" w:hanging="1440"/>
      <w:outlineLvl w:val="7"/>
    </w:pPr>
    <w:rPr>
      <w:rFonts w:ascii="Arial" w:eastAsia="黑体" w:hAnsi="Arial"/>
      <w:sz w:val="24"/>
    </w:rPr>
  </w:style>
  <w:style w:type="paragraph" w:styleId="9">
    <w:name w:val="heading 9"/>
    <w:aliases w:val="tt,table title,标题 45,Figure Heading,FH,Alt+9,AppendixBodyHead,PIM 9,huh,不用9,ft,heading 9,HF,正文九级标题,三级标题,ft1,t,table left,tl,figures,9,ft2,ft11,table1,heading 91,t1,table left1,tl1,HF1,figures1,91,ft3,ft12,table2,heading 92,t2,table left2,tl2,HF2,92"/>
    <w:basedOn w:val="a"/>
    <w:next w:val="a"/>
    <w:link w:val="9Char"/>
    <w:qFormat/>
    <w:rsid w:val="00D517F0"/>
    <w:pPr>
      <w:keepNext/>
      <w:keepLines/>
      <w:tabs>
        <w:tab w:val="num" w:pos="1584"/>
      </w:tabs>
      <w:spacing w:before="240" w:after="64" w:line="320" w:lineRule="auto"/>
      <w:ind w:left="1584" w:firstLineChars="200" w:hanging="1584"/>
      <w:outlineLvl w:val="8"/>
    </w:pPr>
    <w:rPr>
      <w:rFonts w:ascii="Arial" w:eastAsia="黑体" w:hAnsi="Arial"/>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7102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71022"/>
    <w:rPr>
      <w:rFonts w:ascii="Times New Roman" w:eastAsia="宋体" w:hAnsi="Times New Roman" w:cs="Times New Roman"/>
      <w:sz w:val="18"/>
      <w:szCs w:val="18"/>
    </w:rPr>
  </w:style>
  <w:style w:type="paragraph" w:styleId="a4">
    <w:name w:val="footer"/>
    <w:basedOn w:val="a"/>
    <w:link w:val="Char0"/>
    <w:unhideWhenUsed/>
    <w:rsid w:val="00671022"/>
    <w:pPr>
      <w:tabs>
        <w:tab w:val="center" w:pos="4153"/>
        <w:tab w:val="right" w:pos="8306"/>
      </w:tabs>
      <w:snapToGrid w:val="0"/>
      <w:jc w:val="left"/>
    </w:pPr>
    <w:rPr>
      <w:sz w:val="18"/>
      <w:szCs w:val="18"/>
    </w:rPr>
  </w:style>
  <w:style w:type="character" w:customStyle="1" w:styleId="Char0">
    <w:name w:val="页脚 Char"/>
    <w:basedOn w:val="a0"/>
    <w:link w:val="a4"/>
    <w:rsid w:val="00671022"/>
    <w:rPr>
      <w:rFonts w:ascii="Times New Roman" w:eastAsia="宋体" w:hAnsi="Times New Roman" w:cs="Times New Roman"/>
      <w:sz w:val="18"/>
      <w:szCs w:val="18"/>
    </w:rPr>
  </w:style>
  <w:style w:type="paragraph" w:styleId="a5">
    <w:name w:val="List Paragraph"/>
    <w:basedOn w:val="a"/>
    <w:uiPriority w:val="34"/>
    <w:qFormat/>
    <w:rsid w:val="00671022"/>
    <w:pPr>
      <w:ind w:firstLineChars="200" w:firstLine="420"/>
    </w:pPr>
  </w:style>
  <w:style w:type="paragraph" w:styleId="11">
    <w:name w:val="toc 1"/>
    <w:basedOn w:val="a"/>
    <w:next w:val="a"/>
    <w:autoRedefine/>
    <w:uiPriority w:val="39"/>
    <w:unhideWhenUsed/>
    <w:rsid w:val="0019795A"/>
    <w:pPr>
      <w:tabs>
        <w:tab w:val="right" w:leader="dot" w:pos="8296"/>
      </w:tabs>
      <w:spacing w:line="400" w:lineRule="exact"/>
    </w:pPr>
  </w:style>
  <w:style w:type="paragraph" w:styleId="21">
    <w:name w:val="toc 2"/>
    <w:basedOn w:val="a"/>
    <w:next w:val="a"/>
    <w:autoRedefine/>
    <w:uiPriority w:val="39"/>
    <w:unhideWhenUsed/>
    <w:rsid w:val="00FC67DC"/>
    <w:pPr>
      <w:ind w:leftChars="200" w:left="420"/>
    </w:pPr>
  </w:style>
  <w:style w:type="paragraph" w:styleId="31">
    <w:name w:val="toc 3"/>
    <w:basedOn w:val="a"/>
    <w:next w:val="a"/>
    <w:autoRedefine/>
    <w:uiPriority w:val="39"/>
    <w:unhideWhenUsed/>
    <w:rsid w:val="00FC67DC"/>
    <w:pPr>
      <w:ind w:leftChars="400" w:left="840"/>
    </w:pPr>
  </w:style>
  <w:style w:type="character" w:styleId="a6">
    <w:name w:val="Hyperlink"/>
    <w:basedOn w:val="a0"/>
    <w:uiPriority w:val="99"/>
    <w:unhideWhenUsed/>
    <w:rsid w:val="00FC67DC"/>
    <w:rPr>
      <w:color w:val="0000FF" w:themeColor="hyperlink"/>
      <w:u w:val="single"/>
    </w:rPr>
  </w:style>
  <w:style w:type="character" w:styleId="a7">
    <w:name w:val="annotation reference"/>
    <w:basedOn w:val="a0"/>
    <w:semiHidden/>
    <w:unhideWhenUsed/>
    <w:rsid w:val="00031323"/>
    <w:rPr>
      <w:sz w:val="21"/>
      <w:szCs w:val="21"/>
    </w:rPr>
  </w:style>
  <w:style w:type="paragraph" w:styleId="a8">
    <w:name w:val="annotation text"/>
    <w:basedOn w:val="a"/>
    <w:link w:val="Char1"/>
    <w:semiHidden/>
    <w:unhideWhenUsed/>
    <w:rsid w:val="00031323"/>
    <w:pPr>
      <w:jc w:val="left"/>
    </w:pPr>
  </w:style>
  <w:style w:type="character" w:customStyle="1" w:styleId="Char1">
    <w:name w:val="批注文字 Char"/>
    <w:basedOn w:val="a0"/>
    <w:link w:val="a8"/>
    <w:semiHidden/>
    <w:rsid w:val="00031323"/>
    <w:rPr>
      <w:rFonts w:ascii="Times New Roman" w:eastAsia="宋体" w:hAnsi="Times New Roman" w:cs="Times New Roman"/>
      <w:szCs w:val="24"/>
    </w:rPr>
  </w:style>
  <w:style w:type="paragraph" w:styleId="a9">
    <w:name w:val="annotation subject"/>
    <w:basedOn w:val="a8"/>
    <w:next w:val="a8"/>
    <w:link w:val="Char2"/>
    <w:semiHidden/>
    <w:unhideWhenUsed/>
    <w:rsid w:val="00031323"/>
    <w:rPr>
      <w:b/>
      <w:bCs/>
    </w:rPr>
  </w:style>
  <w:style w:type="character" w:customStyle="1" w:styleId="Char2">
    <w:name w:val="批注主题 Char"/>
    <w:basedOn w:val="Char1"/>
    <w:link w:val="a9"/>
    <w:semiHidden/>
    <w:rsid w:val="00031323"/>
    <w:rPr>
      <w:rFonts w:ascii="Times New Roman" w:eastAsia="宋体" w:hAnsi="Times New Roman" w:cs="Times New Roman"/>
      <w:b/>
      <w:bCs/>
      <w:szCs w:val="24"/>
    </w:rPr>
  </w:style>
  <w:style w:type="paragraph" w:styleId="aa">
    <w:name w:val="Balloon Text"/>
    <w:basedOn w:val="a"/>
    <w:link w:val="Char3"/>
    <w:semiHidden/>
    <w:unhideWhenUsed/>
    <w:rsid w:val="00031323"/>
    <w:rPr>
      <w:sz w:val="18"/>
      <w:szCs w:val="18"/>
    </w:rPr>
  </w:style>
  <w:style w:type="character" w:customStyle="1" w:styleId="Char3">
    <w:name w:val="批注框文本 Char"/>
    <w:basedOn w:val="a0"/>
    <w:link w:val="aa"/>
    <w:semiHidden/>
    <w:rsid w:val="00031323"/>
    <w:rPr>
      <w:rFonts w:ascii="Times New Roman" w:eastAsia="宋体" w:hAnsi="Times New Roman" w:cs="Times New Roman"/>
      <w:sz w:val="18"/>
      <w:szCs w:val="18"/>
    </w:rPr>
  </w:style>
  <w:style w:type="paragraph" w:styleId="40">
    <w:name w:val="toc 4"/>
    <w:basedOn w:val="a"/>
    <w:next w:val="a"/>
    <w:autoRedefine/>
    <w:uiPriority w:val="39"/>
    <w:unhideWhenUsed/>
    <w:rsid w:val="00031323"/>
    <w:pPr>
      <w:ind w:leftChars="600" w:left="1260"/>
    </w:pPr>
  </w:style>
  <w:style w:type="paragraph" w:styleId="51">
    <w:name w:val="toc 5"/>
    <w:basedOn w:val="a"/>
    <w:next w:val="a"/>
    <w:autoRedefine/>
    <w:uiPriority w:val="39"/>
    <w:unhideWhenUsed/>
    <w:rsid w:val="00031323"/>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A80A59"/>
    <w:pPr>
      <w:tabs>
        <w:tab w:val="right" w:leader="dot" w:pos="8296"/>
      </w:tabs>
      <w:spacing w:line="400" w:lineRule="exact"/>
    </w:pPr>
    <w:rPr>
      <w:rFonts w:ascii="微软雅黑" w:eastAsia="微软雅黑" w:hAnsi="微软雅黑" w:cstheme="minorBidi"/>
      <w:noProof/>
      <w:szCs w:val="21"/>
    </w:rPr>
  </w:style>
  <w:style w:type="paragraph" w:styleId="70">
    <w:name w:val="toc 7"/>
    <w:basedOn w:val="a"/>
    <w:next w:val="a"/>
    <w:autoRedefine/>
    <w:uiPriority w:val="39"/>
    <w:unhideWhenUsed/>
    <w:rsid w:val="00031323"/>
    <w:pPr>
      <w:ind w:leftChars="1200" w:left="2520"/>
    </w:pPr>
    <w:rPr>
      <w:rFonts w:asciiTheme="minorHAnsi" w:eastAsiaTheme="minorEastAsia" w:hAnsiTheme="minorHAnsi" w:cstheme="minorBidi"/>
      <w:szCs w:val="22"/>
    </w:rPr>
  </w:style>
  <w:style w:type="paragraph" w:styleId="80">
    <w:name w:val="toc 8"/>
    <w:basedOn w:val="a"/>
    <w:next w:val="a"/>
    <w:autoRedefine/>
    <w:uiPriority w:val="39"/>
    <w:unhideWhenUsed/>
    <w:rsid w:val="00031323"/>
    <w:pPr>
      <w:ind w:leftChars="1400" w:left="2940"/>
    </w:pPr>
    <w:rPr>
      <w:rFonts w:asciiTheme="minorHAnsi" w:eastAsiaTheme="minorEastAsia" w:hAnsiTheme="minorHAnsi" w:cstheme="minorBidi"/>
      <w:szCs w:val="22"/>
    </w:rPr>
  </w:style>
  <w:style w:type="paragraph" w:styleId="90">
    <w:name w:val="toc 9"/>
    <w:basedOn w:val="a"/>
    <w:next w:val="a"/>
    <w:autoRedefine/>
    <w:uiPriority w:val="39"/>
    <w:unhideWhenUsed/>
    <w:rsid w:val="00031323"/>
    <w:pPr>
      <w:ind w:leftChars="1600" w:left="3360"/>
    </w:pPr>
    <w:rPr>
      <w:rFonts w:asciiTheme="minorHAnsi" w:eastAsiaTheme="minorEastAsia" w:hAnsiTheme="minorHAnsi" w:cstheme="minorBidi"/>
      <w:szCs w:val="22"/>
    </w:rPr>
  </w:style>
  <w:style w:type="paragraph" w:styleId="ab">
    <w:name w:val="caption"/>
    <w:basedOn w:val="a"/>
    <w:next w:val="a"/>
    <w:link w:val="Char4"/>
    <w:autoRedefine/>
    <w:qFormat/>
    <w:rsid w:val="00666F75"/>
    <w:pPr>
      <w:spacing w:line="400" w:lineRule="exact"/>
      <w:ind w:firstLineChars="200" w:firstLine="400"/>
      <w:jc w:val="left"/>
      <w:outlineLvl w:val="5"/>
    </w:pPr>
    <w:rPr>
      <w:rFonts w:ascii="微软雅黑" w:eastAsia="微软雅黑" w:hAnsi="微软雅黑"/>
      <w:bCs/>
      <w:i/>
      <w:iCs/>
      <w:kern w:val="0"/>
      <w:sz w:val="20"/>
      <w:szCs w:val="21"/>
    </w:rPr>
  </w:style>
  <w:style w:type="character" w:customStyle="1" w:styleId="Char4">
    <w:name w:val="题注 Char"/>
    <w:link w:val="ab"/>
    <w:qFormat/>
    <w:rsid w:val="00666F75"/>
    <w:rPr>
      <w:rFonts w:ascii="微软雅黑" w:eastAsia="微软雅黑" w:hAnsi="微软雅黑" w:cs="Times New Roman"/>
      <w:bCs/>
      <w:i/>
      <w:iCs/>
      <w:kern w:val="0"/>
      <w:sz w:val="20"/>
      <w:szCs w:val="21"/>
    </w:rPr>
  </w:style>
  <w:style w:type="table" w:styleId="ac">
    <w:name w:val="Table Grid"/>
    <w:basedOn w:val="a1"/>
    <w:rsid w:val="00CE29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nhideWhenUsed/>
    <w:rsid w:val="00FC28CB"/>
    <w:pPr>
      <w:widowControl/>
      <w:spacing w:before="100" w:beforeAutospacing="1" w:after="100" w:afterAutospacing="1"/>
      <w:jc w:val="left"/>
    </w:pPr>
    <w:rPr>
      <w:rFonts w:ascii="宋体" w:hAnsi="宋体" w:cs="宋体"/>
      <w:kern w:val="0"/>
      <w:sz w:val="24"/>
    </w:rPr>
  </w:style>
  <w:style w:type="character" w:customStyle="1" w:styleId="4Char">
    <w:name w:val="标题 4 Char"/>
    <w:aliases w:val="h4 Char,heading 4 Char,h41 Char,heading 41 Char,h42 Char,heading 42 Char,h411 Char,heading 411 Char,h43 Char,heading 43 Char,h412 Char,heading 412 Char,h421 Char,heading 421 Char,h4111 Char,heading 4111 Char,h44 Char,heading 44 Char,h413 Char"/>
    <w:basedOn w:val="a0"/>
    <w:link w:val="4"/>
    <w:rsid w:val="00C91761"/>
    <w:rPr>
      <w:rFonts w:asciiTheme="majorHAnsi" w:eastAsiaTheme="majorEastAsia" w:hAnsiTheme="majorHAnsi" w:cstheme="majorBidi"/>
      <w:b/>
      <w:bCs/>
      <w:sz w:val="28"/>
      <w:szCs w:val="28"/>
    </w:rPr>
  </w:style>
  <w:style w:type="character" w:customStyle="1" w:styleId="5Char">
    <w:name w:val="标题 5 Char"/>
    <w:aliases w:val="h5 Char,Heading5 Char,l5 Char,5 Char,dash Char,ds Char,dd Char,Alt+5 Char,表格标题 Char,H5 Char,PIM 5 Char,Roman list Char,hm Char,Table label Char,mh2 Char,Module heading 2 Char,Head 5 Char,list 5 Char,Block Label Char,Appendix A  Heading 5 Char"/>
    <w:basedOn w:val="a0"/>
    <w:link w:val="50"/>
    <w:rsid w:val="00C91761"/>
    <w:rPr>
      <w:rFonts w:ascii="Times New Roman" w:eastAsia="宋体" w:hAnsi="Times New Roman" w:cs="Times New Roman"/>
      <w:b/>
      <w:bCs/>
      <w:sz w:val="28"/>
      <w:szCs w:val="28"/>
    </w:rPr>
  </w:style>
  <w:style w:type="character" w:customStyle="1" w:styleId="6Char">
    <w:name w:val="标题 6 Char"/>
    <w:aliases w:val="Alt+6 Char,PIM 6 Char,h6 Char,Figure label Char,l6 Char,hsm Char,cnp Char,Caption number (page-wide) Char,list 6 Char,Bullet list Char,H6 Char,L6 Char,BOD 4 Char,6 Char,h61 Char,heading 61 Char,Legal Level 1. Char,heading 6 Char,Heading6 Char"/>
    <w:basedOn w:val="a0"/>
    <w:link w:val="6"/>
    <w:rsid w:val="00C91761"/>
    <w:rPr>
      <w:rFonts w:asciiTheme="majorHAnsi" w:eastAsiaTheme="majorEastAsia" w:hAnsiTheme="majorHAnsi" w:cstheme="majorBidi"/>
      <w:b/>
      <w:bCs/>
      <w:sz w:val="24"/>
      <w:szCs w:val="24"/>
    </w:rPr>
  </w:style>
  <w:style w:type="character" w:customStyle="1" w:styleId="3Char">
    <w:name w:val="标题 3 Char"/>
    <w:aliases w:val="h3 Char,H3 Char,sect1.2.3 Char,Alt+3 Char,1.1.1 Heading 3 Char,Titolo Sotto/Sottosezione Char,1.1.1.标题 3 Char,Bold Head Char,bh Char,l3 Char,CT Char,3rd level Char,3 Char,Head 3 Char,h31 Char,section:3 Char,Level 3 Head Char,heading 3 Char"/>
    <w:basedOn w:val="a0"/>
    <w:link w:val="30"/>
    <w:rsid w:val="00C91761"/>
    <w:rPr>
      <w:rFonts w:ascii="Times New Roman" w:eastAsia="宋体" w:hAnsi="Times New Roman" w:cs="Times New Roman"/>
      <w:b/>
      <w:bCs/>
      <w:sz w:val="32"/>
      <w:szCs w:val="32"/>
    </w:rPr>
  </w:style>
  <w:style w:type="character" w:customStyle="1" w:styleId="2Char">
    <w:name w:val="标题 2 Char"/>
    <w:aliases w:val="h2 Char1,Titre 2 Char1,l2 Char1,H2 Char1,第一章 标题 2 Char1,Heading 2 Hidden Char1,Heading 2 CCBS Char1,heading 2 Char1,sect 1.2 Char1,PIM2 Char1,Titre3 Char1,HD2 Char1,H21 Char1,sect 1.21 Char1,H22 Char1,sect 1.22 Char1,H211 Char1,H23 Char1"/>
    <w:basedOn w:val="a0"/>
    <w:link w:val="20"/>
    <w:rsid w:val="00C91761"/>
    <w:rPr>
      <w:rFonts w:asciiTheme="majorHAnsi" w:eastAsiaTheme="majorEastAsia" w:hAnsiTheme="majorHAnsi" w:cstheme="majorBidi"/>
      <w:b/>
      <w:bCs/>
      <w:sz w:val="32"/>
      <w:szCs w:val="32"/>
    </w:rPr>
  </w:style>
  <w:style w:type="character" w:customStyle="1" w:styleId="1Char">
    <w:name w:val="标题 1 Char"/>
    <w:aliases w:val="H1 Char,h1 Char,1st level Char,Section Head Char,l1 Char,Level 1 Topic Heading Char,b1 Char,H11 Char,H12 Char,H13 Char,H14 Char,H15 Char,H16 Char,H17 Char,1.0 Char,Title1 Char,Sec1 Char,h11 Char,1st level1 Char,h12 Char,1st level2 Char"/>
    <w:basedOn w:val="a0"/>
    <w:link w:val="10"/>
    <w:rsid w:val="00C91761"/>
    <w:rPr>
      <w:rFonts w:ascii="Times New Roman" w:eastAsia="宋体" w:hAnsi="Times New Roman" w:cs="Times New Roman"/>
      <w:b/>
      <w:bCs/>
      <w:kern w:val="44"/>
      <w:sz w:val="44"/>
      <w:szCs w:val="44"/>
    </w:rPr>
  </w:style>
  <w:style w:type="paragraph" w:styleId="ae">
    <w:name w:val="Revision"/>
    <w:hidden/>
    <w:uiPriority w:val="99"/>
    <w:semiHidden/>
    <w:rsid w:val="002640A5"/>
    <w:rPr>
      <w:rFonts w:ascii="Times New Roman" w:eastAsia="宋体" w:hAnsi="Times New Roman" w:cs="Times New Roman"/>
      <w:szCs w:val="24"/>
    </w:rPr>
  </w:style>
  <w:style w:type="paragraph" w:styleId="af">
    <w:name w:val="Document Map"/>
    <w:basedOn w:val="a"/>
    <w:link w:val="Char5"/>
    <w:semiHidden/>
    <w:unhideWhenUsed/>
    <w:rsid w:val="00F330B7"/>
    <w:rPr>
      <w:rFonts w:ascii="宋体"/>
      <w:sz w:val="18"/>
      <w:szCs w:val="18"/>
    </w:rPr>
  </w:style>
  <w:style w:type="character" w:customStyle="1" w:styleId="Char5">
    <w:name w:val="文档结构图 Char"/>
    <w:basedOn w:val="a0"/>
    <w:link w:val="af"/>
    <w:semiHidden/>
    <w:rsid w:val="00F330B7"/>
    <w:rPr>
      <w:rFonts w:ascii="宋体" w:eastAsia="宋体" w:hAnsi="Times New Roman" w:cs="Times New Roman"/>
      <w:sz w:val="18"/>
      <w:szCs w:val="18"/>
    </w:rPr>
  </w:style>
  <w:style w:type="character" w:customStyle="1" w:styleId="7Char">
    <w:name w:val="标题 7 Char"/>
    <w:aliases w:val="Alt+7 Char,PIM 7 Char,sdf Char,L7 Char,letter list Char1,不用 Char,st Char,H TIMES1 Char,（1） Char,正文七级标题 Char,h7 Char,SDL title Char,h71 Char,st1 Char,SDL title1 Char,h72 Char,st2 Char,SDL title2 Char,h73 Char,st3 Char,SDL title3 Char,h74 Char"/>
    <w:basedOn w:val="a0"/>
    <w:link w:val="7"/>
    <w:rsid w:val="00D517F0"/>
    <w:rPr>
      <w:rFonts w:ascii="Times" w:eastAsia="宋体" w:hAnsi="Times" w:cs="Times New Roman"/>
      <w:b/>
      <w:bCs/>
      <w:sz w:val="24"/>
      <w:szCs w:val="24"/>
    </w:rPr>
  </w:style>
  <w:style w:type="character" w:customStyle="1" w:styleId="8Char">
    <w:name w:val="标题 8 Char"/>
    <w:aliases w:val="标题6 Char,Alt+8 Char,AppendixSubHead Char,不用8 Char,正文八级标题 Char,tt1 Char,Figure Char,heading 8 Char,tt2 Char,tt11 Char,Figure1 Char,heading 81 Char,tt3 Char,tt12 Char,Figure2 Char,heading 82 Char,tt4 Char,tt13 Char,Figure3 Char,heading 83 Char"/>
    <w:basedOn w:val="a0"/>
    <w:link w:val="8"/>
    <w:rsid w:val="00D517F0"/>
    <w:rPr>
      <w:rFonts w:ascii="Arial" w:eastAsia="黑体" w:hAnsi="Arial" w:cs="Times New Roman"/>
      <w:sz w:val="24"/>
      <w:szCs w:val="24"/>
    </w:rPr>
  </w:style>
  <w:style w:type="character" w:customStyle="1" w:styleId="9Char">
    <w:name w:val="标题 9 Char"/>
    <w:aliases w:val="tt Char,table title Char,标题 45 Char,Figure Heading Char,FH Char,Alt+9 Char,AppendixBodyHead Char,PIM 9 Char,huh Char,不用9 Char,ft Char,heading 9 Char,HF Char,正文九级标题 Char,三级标题 Char,ft1 Char,t Char,table left Char,tl Char,figures Char,9 Char"/>
    <w:basedOn w:val="a0"/>
    <w:link w:val="9"/>
    <w:rsid w:val="00D517F0"/>
    <w:rPr>
      <w:rFonts w:ascii="Arial" w:eastAsia="黑体" w:hAnsi="Arial" w:cs="Times New Roman"/>
      <w:sz w:val="24"/>
      <w:szCs w:val="21"/>
    </w:rPr>
  </w:style>
  <w:style w:type="paragraph" w:customStyle="1" w:styleId="Char2CharCharCharCharCharCharCharCharChar1CharCharChar">
    <w:name w:val="Char2 Char Char Char Char Char Char Char Char Char1 Char Char Char"/>
    <w:basedOn w:val="af"/>
    <w:autoRedefine/>
    <w:rsid w:val="00D517F0"/>
    <w:pPr>
      <w:shd w:val="clear" w:color="auto" w:fill="000080"/>
    </w:pPr>
    <w:rPr>
      <w:rFonts w:ascii="Arial" w:eastAsia="黑体" w:hAnsi="Arial" w:cs="Arial"/>
      <w:snapToGrid w:val="0"/>
      <w:kern w:val="0"/>
      <w:sz w:val="21"/>
      <w:szCs w:val="21"/>
    </w:rPr>
  </w:style>
  <w:style w:type="character" w:styleId="af0">
    <w:name w:val="page number"/>
    <w:basedOn w:val="a0"/>
    <w:rsid w:val="00D517F0"/>
  </w:style>
  <w:style w:type="paragraph" w:styleId="af1">
    <w:name w:val="Normal Indent"/>
    <w:aliases w:val="表正文,正文非缩进,Alt+X,mr正文缩进,段1,特点,标题4,正文（首行缩进两字） Char Char,ALT+Z,水上软件,正文不缩进,Indent 1,±íÕýÎÄ,ÕýÎÄ·ÇËõ½ø,正文缩进1,正文（首行缩进两字）,四号,正文缩进 Char,正文缩进（首行缩进两字）,表正文1,正文非缩进1,Alt+X1,mr正文缩进1,特点1,段11,正文不缩进1,正文缩进 Char1,正文缩进（首行缩进两字）1,正文（首行缩进两字）1,Indent 11,表正文2,正文非缩进2,Alt+X2"/>
    <w:basedOn w:val="a"/>
    <w:link w:val="Char20"/>
    <w:rsid w:val="00D517F0"/>
    <w:pPr>
      <w:snapToGrid w:val="0"/>
      <w:spacing w:line="360" w:lineRule="auto"/>
      <w:ind w:firstLineChars="200" w:firstLine="480"/>
    </w:pPr>
    <w:rPr>
      <w:rFonts w:ascii="Times" w:hAnsi="Times"/>
      <w:sz w:val="24"/>
    </w:rPr>
  </w:style>
  <w:style w:type="paragraph" w:customStyle="1" w:styleId="ParaCharCharCharCharCharCharChar">
    <w:name w:val="默认段落字体 Para Char Char Char Char Char Char Char"/>
    <w:basedOn w:val="a"/>
    <w:rsid w:val="00D517F0"/>
    <w:rPr>
      <w:rFonts w:ascii="Tahoma" w:hAnsi="Tahoma"/>
      <w:sz w:val="24"/>
      <w:szCs w:val="20"/>
    </w:rPr>
  </w:style>
  <w:style w:type="paragraph" w:styleId="af2">
    <w:name w:val="Body Text Indent"/>
    <w:basedOn w:val="a"/>
    <w:link w:val="Char6"/>
    <w:rsid w:val="00D517F0"/>
    <w:pPr>
      <w:spacing w:line="360" w:lineRule="auto"/>
      <w:ind w:firstLineChars="200" w:firstLine="480"/>
    </w:pPr>
    <w:rPr>
      <w:rFonts w:ascii="Times" w:hAnsi="Times"/>
      <w:sz w:val="24"/>
    </w:rPr>
  </w:style>
  <w:style w:type="character" w:customStyle="1" w:styleId="Char6">
    <w:name w:val="正文文本缩进 Char"/>
    <w:basedOn w:val="a0"/>
    <w:link w:val="af2"/>
    <w:rsid w:val="00D517F0"/>
    <w:rPr>
      <w:rFonts w:ascii="Times" w:eastAsia="宋体" w:hAnsi="Times" w:cs="Times New Roman"/>
      <w:sz w:val="24"/>
      <w:szCs w:val="24"/>
    </w:rPr>
  </w:style>
  <w:style w:type="paragraph" w:customStyle="1" w:styleId="GB2312">
    <w:name w:val="样式 楷体_GB2312 小二 加粗 居中"/>
    <w:basedOn w:val="a"/>
    <w:rsid w:val="00D517F0"/>
    <w:pPr>
      <w:spacing w:line="360" w:lineRule="auto"/>
      <w:ind w:firstLineChars="50" w:firstLine="50"/>
      <w:jc w:val="center"/>
      <w:outlineLvl w:val="0"/>
    </w:pPr>
    <w:rPr>
      <w:rFonts w:ascii="楷体_GB2312" w:eastAsia="楷体_GB2312" w:cs="宋体"/>
      <w:b/>
      <w:bCs/>
      <w:sz w:val="44"/>
      <w:szCs w:val="20"/>
    </w:rPr>
  </w:style>
  <w:style w:type="paragraph" w:customStyle="1" w:styleId="22">
    <w:name w:val="样式 标题 2 + 加粗"/>
    <w:basedOn w:val="20"/>
    <w:rsid w:val="00D517F0"/>
    <w:pPr>
      <w:numPr>
        <w:ilvl w:val="1"/>
      </w:numPr>
      <w:tabs>
        <w:tab w:val="num" w:pos="576"/>
      </w:tabs>
      <w:adjustRightInd w:val="0"/>
      <w:snapToGrid w:val="0"/>
      <w:spacing w:after="0" w:line="360" w:lineRule="auto"/>
      <w:ind w:left="576" w:hanging="576"/>
    </w:pPr>
    <w:rPr>
      <w:rFonts w:ascii="Times New Roman" w:eastAsia="宋体" w:hAnsi="Times New Roman" w:cs="Times New Roman"/>
      <w:sz w:val="30"/>
      <w:lang w:val="x-none" w:eastAsia="x-none"/>
    </w:rPr>
  </w:style>
  <w:style w:type="paragraph" w:customStyle="1" w:styleId="3TimesNewRoman">
    <w:name w:val="样式 标题 3 + Times New Roman"/>
    <w:basedOn w:val="30"/>
    <w:rsid w:val="00D517F0"/>
    <w:pPr>
      <w:numPr>
        <w:ilvl w:val="2"/>
      </w:numPr>
      <w:tabs>
        <w:tab w:val="left" w:pos="0"/>
        <w:tab w:val="num" w:pos="1260"/>
      </w:tabs>
      <w:adjustRightInd w:val="0"/>
      <w:snapToGrid w:val="0"/>
      <w:spacing w:after="0" w:line="360" w:lineRule="auto"/>
      <w:ind w:left="680" w:hanging="680"/>
      <w:outlineLvl w:val="3"/>
    </w:pPr>
    <w:rPr>
      <w:sz w:val="28"/>
      <w:szCs w:val="28"/>
    </w:rPr>
  </w:style>
  <w:style w:type="character" w:customStyle="1" w:styleId="3TimesNewRomanChar">
    <w:name w:val="样式 标题 3 + Times New Roman Char"/>
    <w:rsid w:val="00D517F0"/>
    <w:rPr>
      <w:rFonts w:ascii="Times" w:eastAsia="宋体" w:hAnsi="Times"/>
      <w:b/>
      <w:bCs/>
      <w:kern w:val="2"/>
      <w:sz w:val="28"/>
      <w:szCs w:val="28"/>
      <w:lang w:val="en-US" w:eastAsia="zh-CN" w:bidi="ar-SA"/>
    </w:rPr>
  </w:style>
  <w:style w:type="paragraph" w:customStyle="1" w:styleId="GB231205">
    <w:name w:val="样式 样式 楷体_GB2312 小二 加粗 居中 + 首行缩进:  0.5 字符"/>
    <w:basedOn w:val="GB2312"/>
    <w:rsid w:val="00D517F0"/>
    <w:pPr>
      <w:spacing w:beforeLines="1800" w:before="1800" w:afterLines="1800" w:after="1800"/>
    </w:pPr>
  </w:style>
  <w:style w:type="paragraph" w:styleId="32">
    <w:name w:val="Body Text Indent 3"/>
    <w:basedOn w:val="a"/>
    <w:link w:val="3Char0"/>
    <w:rsid w:val="00D517F0"/>
    <w:pPr>
      <w:spacing w:after="120"/>
      <w:ind w:leftChars="200" w:left="420"/>
    </w:pPr>
    <w:rPr>
      <w:sz w:val="16"/>
      <w:szCs w:val="16"/>
    </w:rPr>
  </w:style>
  <w:style w:type="character" w:customStyle="1" w:styleId="3Char0">
    <w:name w:val="正文文本缩进 3 Char"/>
    <w:basedOn w:val="a0"/>
    <w:link w:val="32"/>
    <w:rsid w:val="00D517F0"/>
    <w:rPr>
      <w:rFonts w:ascii="Times New Roman" w:eastAsia="宋体" w:hAnsi="Times New Roman" w:cs="Times New Roman"/>
      <w:sz w:val="16"/>
      <w:szCs w:val="16"/>
    </w:rPr>
  </w:style>
  <w:style w:type="paragraph" w:customStyle="1" w:styleId="ParaCharCharCharCharCharCharCharCharCharCharCharCharCharCharCharChar2Char">
    <w:name w:val="默认段落字体 Para Char Char Char Char Char Char Char Char Char Char Char Char Char Char Char Char2 Char"/>
    <w:next w:val="a"/>
    <w:rsid w:val="00D517F0"/>
    <w:pPr>
      <w:keepNext/>
      <w:keepLines/>
      <w:numPr>
        <w:ilvl w:val="7"/>
        <w:numId w:val="1"/>
      </w:numPr>
      <w:spacing w:before="240" w:after="240"/>
      <w:outlineLvl w:val="7"/>
    </w:pPr>
    <w:rPr>
      <w:rFonts w:ascii="Arial" w:eastAsia="黑体" w:hAnsi="Arial" w:cs="Arial"/>
      <w:snapToGrid w:val="0"/>
      <w:kern w:val="0"/>
      <w:szCs w:val="21"/>
    </w:rPr>
  </w:style>
  <w:style w:type="paragraph" w:styleId="af3">
    <w:name w:val="Body Text"/>
    <w:basedOn w:val="a"/>
    <w:link w:val="Char7"/>
    <w:rsid w:val="00D517F0"/>
    <w:pPr>
      <w:spacing w:after="120"/>
    </w:pPr>
  </w:style>
  <w:style w:type="character" w:customStyle="1" w:styleId="Char7">
    <w:name w:val="正文文本 Char"/>
    <w:basedOn w:val="a0"/>
    <w:link w:val="af3"/>
    <w:rsid w:val="00D517F0"/>
    <w:rPr>
      <w:rFonts w:ascii="Times New Roman" w:eastAsia="宋体" w:hAnsi="Times New Roman" w:cs="Times New Roman"/>
      <w:szCs w:val="24"/>
    </w:rPr>
  </w:style>
  <w:style w:type="paragraph" w:styleId="af4">
    <w:name w:val="Body Text First Indent"/>
    <w:basedOn w:val="af3"/>
    <w:link w:val="Char8"/>
    <w:rsid w:val="00D517F0"/>
    <w:pPr>
      <w:widowControl/>
      <w:ind w:firstLine="420"/>
    </w:pPr>
    <w:rPr>
      <w:rFonts w:hAnsi="Arial"/>
      <w:sz w:val="24"/>
      <w:szCs w:val="20"/>
    </w:rPr>
  </w:style>
  <w:style w:type="character" w:customStyle="1" w:styleId="Char8">
    <w:name w:val="正文首行缩进 Char"/>
    <w:basedOn w:val="Char7"/>
    <w:link w:val="af4"/>
    <w:rsid w:val="00D517F0"/>
    <w:rPr>
      <w:rFonts w:ascii="Times New Roman" w:eastAsia="宋体" w:hAnsi="Arial" w:cs="Times New Roman"/>
      <w:sz w:val="24"/>
      <w:szCs w:val="20"/>
    </w:rPr>
  </w:style>
  <w:style w:type="paragraph" w:customStyle="1" w:styleId="xl57">
    <w:name w:val="xl57"/>
    <w:basedOn w:val="a"/>
    <w:rsid w:val="00D517F0"/>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kern w:val="0"/>
      <w:sz w:val="20"/>
      <w:szCs w:val="20"/>
    </w:rPr>
  </w:style>
  <w:style w:type="paragraph" w:customStyle="1" w:styleId="xl59">
    <w:name w:val="xl59"/>
    <w:basedOn w:val="a"/>
    <w:rsid w:val="00D517F0"/>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4"/>
    </w:rPr>
  </w:style>
  <w:style w:type="paragraph" w:customStyle="1" w:styleId="1">
    <w:name w:val="样式1"/>
    <w:basedOn w:val="10"/>
    <w:autoRedefine/>
    <w:rsid w:val="00D517F0"/>
    <w:pPr>
      <w:numPr>
        <w:ilvl w:val="1"/>
        <w:numId w:val="3"/>
      </w:numPr>
      <w:tabs>
        <w:tab w:val="num" w:pos="1369"/>
      </w:tabs>
      <w:spacing w:before="300" w:after="300" w:line="240" w:lineRule="auto"/>
      <w:ind w:left="714" w:hanging="425"/>
      <w:jc w:val="center"/>
    </w:pPr>
    <w:rPr>
      <w:rFonts w:ascii="Helvetica" w:eastAsia="黑体" w:hAnsi="Helvetica" w:cs="Helvetica"/>
      <w:kern w:val="2"/>
      <w:sz w:val="32"/>
      <w:szCs w:val="32"/>
    </w:rPr>
  </w:style>
  <w:style w:type="paragraph" w:customStyle="1" w:styleId="2">
    <w:name w:val="样式2"/>
    <w:basedOn w:val="20"/>
    <w:autoRedefine/>
    <w:rsid w:val="00D517F0"/>
    <w:pPr>
      <w:numPr>
        <w:ilvl w:val="1"/>
        <w:numId w:val="14"/>
      </w:numPr>
      <w:tabs>
        <w:tab w:val="left" w:pos="1080"/>
      </w:tabs>
      <w:spacing w:line="240" w:lineRule="auto"/>
    </w:pPr>
    <w:rPr>
      <w:rFonts w:ascii="Helvetica" w:eastAsia="黑体" w:hAnsi="Helvetica" w:cs="Times New Roman"/>
      <w:sz w:val="30"/>
      <w:lang w:val="x-none" w:eastAsia="x-none"/>
    </w:rPr>
  </w:style>
  <w:style w:type="paragraph" w:customStyle="1" w:styleId="3">
    <w:name w:val="样式3"/>
    <w:basedOn w:val="30"/>
    <w:autoRedefine/>
    <w:rsid w:val="00D517F0"/>
    <w:pPr>
      <w:numPr>
        <w:ilvl w:val="2"/>
        <w:numId w:val="15"/>
      </w:numPr>
      <w:tabs>
        <w:tab w:val="clear" w:pos="720"/>
        <w:tab w:val="num" w:pos="1260"/>
      </w:tabs>
      <w:spacing w:line="240" w:lineRule="auto"/>
      <w:ind w:left="1260" w:hanging="720"/>
    </w:pPr>
    <w:rPr>
      <w:rFonts w:ascii="Times" w:eastAsia="黑体" w:hAnsi="Times"/>
      <w:sz w:val="28"/>
    </w:rPr>
  </w:style>
  <w:style w:type="paragraph" w:customStyle="1" w:styleId="12">
    <w:name w:val="正文文本1"/>
    <w:basedOn w:val="a"/>
    <w:rsid w:val="00D517F0"/>
    <w:rPr>
      <w:sz w:val="24"/>
    </w:rPr>
  </w:style>
  <w:style w:type="paragraph" w:styleId="23">
    <w:name w:val="Body Text Indent 2"/>
    <w:basedOn w:val="a"/>
    <w:link w:val="2Char0"/>
    <w:rsid w:val="00D517F0"/>
    <w:pPr>
      <w:spacing w:line="360" w:lineRule="auto"/>
      <w:ind w:firstLine="397"/>
    </w:pPr>
    <w:rPr>
      <w:rFonts w:ascii="楷体_GB2312" w:eastAsia="楷体_GB2312"/>
      <w:sz w:val="24"/>
    </w:rPr>
  </w:style>
  <w:style w:type="character" w:customStyle="1" w:styleId="2Char0">
    <w:name w:val="正文文本缩进 2 Char"/>
    <w:basedOn w:val="a0"/>
    <w:link w:val="23"/>
    <w:rsid w:val="00D517F0"/>
    <w:rPr>
      <w:rFonts w:ascii="楷体_GB2312" w:eastAsia="楷体_GB2312" w:hAnsi="Times New Roman" w:cs="Times New Roman"/>
      <w:sz w:val="24"/>
      <w:szCs w:val="24"/>
    </w:rPr>
  </w:style>
  <w:style w:type="character" w:styleId="af5">
    <w:name w:val="FollowedHyperlink"/>
    <w:rsid w:val="00D517F0"/>
    <w:rPr>
      <w:rFonts w:ascii="Arial" w:eastAsia="黑体" w:hAnsi="Arial" w:cs="Arial"/>
      <w:snapToGrid w:val="0"/>
      <w:color w:val="800080"/>
      <w:sz w:val="21"/>
      <w:szCs w:val="21"/>
      <w:u w:val="single"/>
      <w:lang w:val="en-US" w:eastAsia="zh-CN" w:bidi="ar-SA"/>
    </w:rPr>
  </w:style>
  <w:style w:type="paragraph" w:customStyle="1" w:styleId="font5">
    <w:name w:val="font5"/>
    <w:basedOn w:val="a"/>
    <w:rsid w:val="00D517F0"/>
    <w:pPr>
      <w:widowControl/>
      <w:spacing w:before="100" w:beforeAutospacing="1" w:after="100" w:afterAutospacing="1"/>
      <w:jc w:val="left"/>
    </w:pPr>
    <w:rPr>
      <w:rFonts w:ascii="宋体" w:hAnsi="宋体" w:hint="eastAsia"/>
      <w:b/>
      <w:bCs/>
      <w:kern w:val="0"/>
      <w:sz w:val="18"/>
      <w:szCs w:val="18"/>
    </w:rPr>
  </w:style>
  <w:style w:type="paragraph" w:customStyle="1" w:styleId="font6">
    <w:name w:val="font6"/>
    <w:basedOn w:val="a"/>
    <w:rsid w:val="00D517F0"/>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
    <w:rsid w:val="00D517F0"/>
    <w:pPr>
      <w:widowControl/>
      <w:spacing w:before="100" w:beforeAutospacing="1" w:after="100" w:afterAutospacing="1"/>
      <w:jc w:val="left"/>
    </w:pPr>
    <w:rPr>
      <w:b/>
      <w:bCs/>
      <w:kern w:val="0"/>
      <w:sz w:val="18"/>
      <w:szCs w:val="18"/>
    </w:rPr>
  </w:style>
  <w:style w:type="paragraph" w:customStyle="1" w:styleId="xl25">
    <w:name w:val="xl25"/>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18"/>
      <w:szCs w:val="18"/>
    </w:rPr>
  </w:style>
  <w:style w:type="paragraph" w:customStyle="1" w:styleId="xl26">
    <w:name w:val="xl26"/>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xl27">
    <w:name w:val="xl27"/>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28">
    <w:name w:val="xl28"/>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hAnsi="Arial Unicode MS"/>
      <w:b/>
      <w:bCs/>
      <w:kern w:val="0"/>
      <w:sz w:val="18"/>
      <w:szCs w:val="18"/>
    </w:rPr>
  </w:style>
  <w:style w:type="paragraph" w:customStyle="1" w:styleId="xl29">
    <w:name w:val="xl29"/>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0">
    <w:name w:val="xl30"/>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b/>
      <w:bCs/>
      <w:color w:val="000000"/>
      <w:kern w:val="0"/>
      <w:sz w:val="18"/>
      <w:szCs w:val="18"/>
    </w:rPr>
  </w:style>
  <w:style w:type="paragraph" w:customStyle="1" w:styleId="xl31">
    <w:name w:val="xl31"/>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b/>
      <w:bCs/>
      <w:kern w:val="0"/>
      <w:sz w:val="18"/>
      <w:szCs w:val="18"/>
    </w:rPr>
  </w:style>
  <w:style w:type="paragraph" w:customStyle="1" w:styleId="xl32">
    <w:name w:val="xl32"/>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kern w:val="0"/>
      <w:sz w:val="18"/>
      <w:szCs w:val="18"/>
    </w:rPr>
  </w:style>
  <w:style w:type="paragraph" w:customStyle="1" w:styleId="xl33">
    <w:name w:val="xl33"/>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b/>
      <w:bCs/>
      <w:kern w:val="0"/>
      <w:sz w:val="18"/>
      <w:szCs w:val="18"/>
    </w:rPr>
  </w:style>
  <w:style w:type="paragraph" w:customStyle="1" w:styleId="xl34">
    <w:name w:val="xl34"/>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kern w:val="0"/>
      <w:sz w:val="18"/>
      <w:szCs w:val="18"/>
    </w:rPr>
  </w:style>
  <w:style w:type="paragraph" w:customStyle="1" w:styleId="xl35">
    <w:name w:val="xl35"/>
    <w:basedOn w:val="a"/>
    <w:rsid w:val="00D517F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6">
    <w:name w:val="xl36"/>
    <w:basedOn w:val="a"/>
    <w:rsid w:val="00D517F0"/>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7">
    <w:name w:val="xl37"/>
    <w:basedOn w:val="a"/>
    <w:rsid w:val="00D517F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38">
    <w:name w:val="xl38"/>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kern w:val="0"/>
      <w:sz w:val="18"/>
      <w:szCs w:val="18"/>
    </w:rPr>
  </w:style>
  <w:style w:type="paragraph" w:customStyle="1" w:styleId="xl39">
    <w:name w:val="xl39"/>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kern w:val="0"/>
      <w:sz w:val="18"/>
      <w:szCs w:val="18"/>
    </w:rPr>
  </w:style>
  <w:style w:type="paragraph" w:customStyle="1" w:styleId="xl40">
    <w:name w:val="xl40"/>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1">
    <w:name w:val="xl41"/>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hAnsi="Arial Unicode MS"/>
      <w:b/>
      <w:bCs/>
      <w:kern w:val="0"/>
      <w:sz w:val="18"/>
      <w:szCs w:val="18"/>
    </w:rPr>
  </w:style>
  <w:style w:type="paragraph" w:customStyle="1" w:styleId="xl42">
    <w:name w:val="xl42"/>
    <w:basedOn w:val="a"/>
    <w:rsid w:val="00D517F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bCs/>
      <w:kern w:val="0"/>
      <w:sz w:val="18"/>
      <w:szCs w:val="18"/>
    </w:rPr>
  </w:style>
  <w:style w:type="paragraph" w:customStyle="1" w:styleId="xl43">
    <w:name w:val="xl43"/>
    <w:basedOn w:val="a"/>
    <w:rsid w:val="00D517F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4">
    <w:name w:val="xl44"/>
    <w:basedOn w:val="a"/>
    <w:rsid w:val="00D517F0"/>
    <w:pPr>
      <w:widowControl/>
      <w:pBdr>
        <w:left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5">
    <w:name w:val="xl45"/>
    <w:basedOn w:val="a"/>
    <w:rsid w:val="00D517F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6">
    <w:name w:val="xl46"/>
    <w:basedOn w:val="a"/>
    <w:rsid w:val="00D517F0"/>
    <w:pPr>
      <w:widowControl/>
      <w:pBdr>
        <w:top w:val="single" w:sz="4" w:space="0" w:color="auto"/>
        <w:lef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7">
    <w:name w:val="xl47"/>
    <w:basedOn w:val="a"/>
    <w:rsid w:val="00D517F0"/>
    <w:pPr>
      <w:widowControl/>
      <w:pBdr>
        <w:top w:val="single" w:sz="4" w:space="0" w:color="auto"/>
        <w:right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xl48">
    <w:name w:val="xl48"/>
    <w:basedOn w:val="a"/>
    <w:rsid w:val="00D517F0"/>
    <w:pPr>
      <w:widowControl/>
      <w:pBdr>
        <w:left w:val="single" w:sz="4" w:space="0" w:color="auto"/>
        <w:bottom w:val="single" w:sz="4" w:space="0" w:color="auto"/>
      </w:pBdr>
      <w:spacing w:before="100" w:beforeAutospacing="1" w:after="100" w:afterAutospacing="1"/>
      <w:jc w:val="center"/>
      <w:textAlignment w:val="center"/>
    </w:pPr>
    <w:rPr>
      <w:rFonts w:ascii="Arial Unicode MS" w:hAnsi="Arial Unicode MS"/>
      <w:b/>
      <w:bCs/>
      <w:kern w:val="0"/>
      <w:sz w:val="18"/>
      <w:szCs w:val="18"/>
    </w:rPr>
  </w:style>
  <w:style w:type="paragraph" w:customStyle="1" w:styleId="CharCharCharChar">
    <w:name w:val="Char Char Char Char"/>
    <w:basedOn w:val="af"/>
    <w:autoRedefine/>
    <w:rsid w:val="00D517F0"/>
    <w:pPr>
      <w:widowControl/>
      <w:shd w:val="clear" w:color="auto" w:fill="000080"/>
      <w:ind w:firstLine="454"/>
      <w:jc w:val="left"/>
    </w:pPr>
    <w:rPr>
      <w:rFonts w:ascii="Tahoma" w:hAnsi="Tahoma" w:cs="宋体"/>
      <w:kern w:val="0"/>
      <w:sz w:val="21"/>
      <w:szCs w:val="20"/>
    </w:rPr>
  </w:style>
  <w:style w:type="character" w:customStyle="1" w:styleId="newscontent1">
    <w:name w:val="newscontent1"/>
    <w:rsid w:val="00D517F0"/>
    <w:rPr>
      <w:rFonts w:ascii="Arial" w:eastAsia="黑体" w:hAnsi="Arial" w:cs="Arial"/>
      <w:snapToGrid w:val="0"/>
      <w:sz w:val="21"/>
      <w:szCs w:val="21"/>
      <w:lang w:val="en-US" w:eastAsia="zh-CN" w:bidi="ar-SA"/>
    </w:rPr>
  </w:style>
  <w:style w:type="paragraph" w:customStyle="1" w:styleId="ParaCharCharCharCharCharCharCharCharCharCharCharCharCharChar">
    <w:name w:val="默认段落字体 Para Char Char Char Char Char Char Char Char Char Char Char Char Char Char"/>
    <w:next w:val="a"/>
    <w:rsid w:val="00D517F0"/>
    <w:pPr>
      <w:keepNext/>
      <w:keepLines/>
      <w:tabs>
        <w:tab w:val="num" w:pos="3360"/>
      </w:tabs>
      <w:spacing w:before="240" w:after="240"/>
      <w:ind w:left="3360" w:hanging="420"/>
      <w:outlineLvl w:val="7"/>
    </w:pPr>
    <w:rPr>
      <w:rFonts w:ascii="Arial" w:eastAsia="黑体" w:hAnsi="Arial" w:cs="Arial"/>
      <w:snapToGrid w:val="0"/>
      <w:kern w:val="0"/>
      <w:szCs w:val="21"/>
    </w:rPr>
  </w:style>
  <w:style w:type="paragraph" w:styleId="24">
    <w:name w:val="Body Text First Indent 2"/>
    <w:basedOn w:val="af2"/>
    <w:link w:val="2Char1"/>
    <w:rsid w:val="00D517F0"/>
    <w:pPr>
      <w:spacing w:after="120" w:line="240" w:lineRule="auto"/>
      <w:ind w:leftChars="200" w:left="420" w:firstLine="420"/>
    </w:pPr>
    <w:rPr>
      <w:rFonts w:ascii="Times New Roman" w:hAnsi="Times New Roman"/>
      <w:sz w:val="21"/>
    </w:rPr>
  </w:style>
  <w:style w:type="character" w:customStyle="1" w:styleId="2Char1">
    <w:name w:val="正文首行缩进 2 Char"/>
    <w:basedOn w:val="Char6"/>
    <w:link w:val="24"/>
    <w:rsid w:val="00D517F0"/>
    <w:rPr>
      <w:rFonts w:ascii="Times New Roman" w:eastAsia="宋体" w:hAnsi="Times New Roman" w:cs="Times New Roman"/>
      <w:sz w:val="24"/>
      <w:szCs w:val="24"/>
    </w:rPr>
  </w:style>
  <w:style w:type="paragraph" w:customStyle="1" w:styleId="Char9">
    <w:name w:val="Char"/>
    <w:basedOn w:val="af"/>
    <w:autoRedefine/>
    <w:rsid w:val="00D517F0"/>
    <w:pPr>
      <w:shd w:val="clear" w:color="auto" w:fill="000080"/>
    </w:pPr>
    <w:rPr>
      <w:rFonts w:ascii="Tahoma" w:hAnsi="Tahoma"/>
      <w:sz w:val="24"/>
      <w:szCs w:val="24"/>
    </w:rPr>
  </w:style>
  <w:style w:type="character" w:customStyle="1" w:styleId="CharChar">
    <w:name w:val="Char Char"/>
    <w:rsid w:val="00D517F0"/>
    <w:rPr>
      <w:rFonts w:ascii="Arial" w:eastAsia="黑体" w:hAnsi="Arial"/>
      <w:b/>
      <w:bCs/>
      <w:kern w:val="2"/>
      <w:sz w:val="36"/>
      <w:szCs w:val="32"/>
      <w:lang w:val="en-US" w:eastAsia="zh-CN" w:bidi="ar-SA"/>
    </w:rPr>
  </w:style>
  <w:style w:type="paragraph" w:customStyle="1" w:styleId="25">
    <w:name w:val="标题 2 + 加粗"/>
    <w:basedOn w:val="22"/>
    <w:rsid w:val="00D517F0"/>
  </w:style>
  <w:style w:type="paragraph" w:styleId="5">
    <w:name w:val="List Number 5"/>
    <w:basedOn w:val="a"/>
    <w:rsid w:val="00D517F0"/>
    <w:pPr>
      <w:numPr>
        <w:numId w:val="2"/>
      </w:numPr>
      <w:spacing w:line="360" w:lineRule="auto"/>
    </w:pPr>
    <w:rPr>
      <w:rFonts w:ascii="Times" w:hAnsi="Times"/>
      <w:sz w:val="24"/>
    </w:rPr>
  </w:style>
  <w:style w:type="paragraph" w:customStyle="1" w:styleId="af6">
    <w:name w:val="封面主标题"/>
    <w:basedOn w:val="a"/>
    <w:rsid w:val="00D517F0"/>
    <w:pPr>
      <w:spacing w:before="156" w:after="156"/>
      <w:jc w:val="center"/>
    </w:pPr>
    <w:rPr>
      <w:rFonts w:ascii="黑体" w:eastAsia="黑体"/>
      <w:b/>
      <w:bCs/>
      <w:emboss/>
      <w:color w:val="000000"/>
      <w:sz w:val="44"/>
      <w:szCs w:val="20"/>
    </w:rPr>
  </w:style>
  <w:style w:type="paragraph" w:styleId="af7">
    <w:name w:val="Date"/>
    <w:basedOn w:val="a"/>
    <w:next w:val="a"/>
    <w:link w:val="Chara"/>
    <w:rsid w:val="00D517F0"/>
    <w:pPr>
      <w:ind w:leftChars="2500" w:left="100"/>
    </w:pPr>
  </w:style>
  <w:style w:type="character" w:customStyle="1" w:styleId="Chara">
    <w:name w:val="日期 Char"/>
    <w:basedOn w:val="a0"/>
    <w:link w:val="af7"/>
    <w:rsid w:val="00D517F0"/>
    <w:rPr>
      <w:rFonts w:ascii="Times New Roman" w:eastAsia="宋体" w:hAnsi="Times New Roman" w:cs="Times New Roman"/>
      <w:szCs w:val="24"/>
    </w:rPr>
  </w:style>
  <w:style w:type="paragraph" w:customStyle="1" w:styleId="ALTZ">
    <w:name w:val="正文缩进(ALT+Z)"/>
    <w:basedOn w:val="a"/>
    <w:link w:val="ALTZChar"/>
    <w:rsid w:val="00D517F0"/>
    <w:pPr>
      <w:spacing w:line="360" w:lineRule="auto"/>
      <w:ind w:firstLineChars="200" w:firstLine="200"/>
    </w:pPr>
    <w:rPr>
      <w:sz w:val="24"/>
    </w:rPr>
  </w:style>
  <w:style w:type="character" w:customStyle="1" w:styleId="ALTZChar">
    <w:name w:val="正文缩进(ALT+Z) Char"/>
    <w:link w:val="ALTZ"/>
    <w:rsid w:val="00D517F0"/>
    <w:rPr>
      <w:rFonts w:ascii="Times New Roman" w:eastAsia="宋体" w:hAnsi="Times New Roman" w:cs="Times New Roman"/>
      <w:sz w:val="24"/>
      <w:szCs w:val="24"/>
    </w:rPr>
  </w:style>
  <w:style w:type="character" w:customStyle="1" w:styleId="Char20">
    <w:name w:val="正文缩进 Char2"/>
    <w:aliases w:val="表正文 Char,正文非缩进 Char,Alt+X Char,mr正文缩进 Char,段1 Char,特点 Char,标题4 Char,正文（首行缩进两字） Char Char Char,ALT+Z Char,水上软件 Char,正文不缩进 Char,Indent 1 Char,±íÕýÎÄ Char,ÕýÎÄ·ÇËõ½ø Char,正文缩进1 Char,正文（首行缩进两字） Char,四号 Char,正文缩进 Char Char,正文缩进（首行缩进两字） Char"/>
    <w:link w:val="af1"/>
    <w:rsid w:val="00D517F0"/>
    <w:rPr>
      <w:rFonts w:ascii="Times" w:eastAsia="宋体" w:hAnsi="Times" w:cs="Times New Roman"/>
      <w:sz w:val="24"/>
      <w:szCs w:val="24"/>
    </w:rPr>
  </w:style>
  <w:style w:type="character" w:customStyle="1" w:styleId="2Char10">
    <w:name w:val="标题 2 Char1"/>
    <w:aliases w:val="h2 Char,Titre 2 Char,l2 Char,H2 Char,第一章 标题 2 Char,Heading 2 Hidden Char,Heading 2 CCBS Char,heading 2 Char,sect 1.2 Char,PIM2 Char,Titre3 Char,HD2 Char,H21 Char,sect 1.21 Char,H22 Char,sect 1.22 Char,H211 Char,sect 1.211 Char,H23 Char,2 Char"/>
    <w:rsid w:val="00D517F0"/>
    <w:rPr>
      <w:bCs/>
      <w:kern w:val="2"/>
      <w:sz w:val="32"/>
      <w:szCs w:val="32"/>
      <w:lang w:val="x-none" w:eastAsia="x-none"/>
    </w:rPr>
  </w:style>
  <w:style w:type="paragraph" w:customStyle="1" w:styleId="3h3H3sect123Alt3111Heading3TitoloSottoSotto">
    <w:name w:val="样式 标题 3h3H3sect1.2.3Alt+31.1.1 Heading 3Titolo Sotto/Sotto..."/>
    <w:basedOn w:val="30"/>
    <w:autoRedefine/>
    <w:rsid w:val="00D517F0"/>
    <w:pPr>
      <w:numPr>
        <w:ilvl w:val="2"/>
      </w:numPr>
      <w:tabs>
        <w:tab w:val="num" w:pos="720"/>
      </w:tabs>
      <w:adjustRightInd w:val="0"/>
      <w:snapToGrid w:val="0"/>
      <w:spacing w:before="120" w:after="120" w:line="240" w:lineRule="auto"/>
      <w:ind w:left="720" w:hanging="720"/>
    </w:pPr>
    <w:rPr>
      <w:rFonts w:ascii="Times" w:hAnsi="Times" w:cs="宋体"/>
      <w:sz w:val="28"/>
      <w:szCs w:val="20"/>
    </w:rPr>
  </w:style>
  <w:style w:type="paragraph" w:customStyle="1" w:styleId="Char10">
    <w:name w:val="Char1"/>
    <w:basedOn w:val="af"/>
    <w:autoRedefine/>
    <w:rsid w:val="00D517F0"/>
    <w:pPr>
      <w:shd w:val="clear" w:color="auto" w:fill="000080"/>
    </w:pPr>
    <w:rPr>
      <w:rFonts w:ascii="Tahoma" w:hAnsi="Tahoma"/>
      <w:sz w:val="24"/>
      <w:szCs w:val="24"/>
    </w:rPr>
  </w:style>
  <w:style w:type="character" w:customStyle="1" w:styleId="CharChar1">
    <w:name w:val="Char Char1"/>
    <w:rsid w:val="00D517F0"/>
    <w:rPr>
      <w:rFonts w:ascii="Arial" w:eastAsia="黑体" w:hAnsi="Arial"/>
      <w:b/>
      <w:bCs/>
      <w:kern w:val="2"/>
      <w:sz w:val="36"/>
      <w:szCs w:val="32"/>
      <w:lang w:val="en-US" w:eastAsia="zh-CN" w:bidi="ar-SA"/>
    </w:rPr>
  </w:style>
  <w:style w:type="character" w:customStyle="1" w:styleId="Charb">
    <w:name w:val="规划正文 Char"/>
    <w:link w:val="af8"/>
    <w:rsid w:val="00D517F0"/>
    <w:rPr>
      <w:rFonts w:ascii="仿宋_GB2312" w:eastAsia="仿宋_GB2312" w:hAnsi="仿宋_GB2312"/>
      <w:sz w:val="32"/>
    </w:rPr>
  </w:style>
  <w:style w:type="paragraph" w:customStyle="1" w:styleId="af8">
    <w:name w:val="规划正文"/>
    <w:basedOn w:val="a"/>
    <w:link w:val="Charb"/>
    <w:rsid w:val="00D517F0"/>
    <w:pPr>
      <w:ind w:firstLineChars="200" w:firstLine="430"/>
    </w:pPr>
    <w:rPr>
      <w:rFonts w:ascii="仿宋_GB2312" w:eastAsia="仿宋_GB2312" w:hAnsi="仿宋_GB2312" w:cstheme="minorBidi"/>
      <w:sz w:val="32"/>
      <w:szCs w:val="22"/>
    </w:rPr>
  </w:style>
  <w:style w:type="paragraph" w:customStyle="1" w:styleId="af9">
    <w:name w:val="规划二级标题"/>
    <w:basedOn w:val="20"/>
    <w:rsid w:val="00D517F0"/>
    <w:pPr>
      <w:keepNext w:val="0"/>
      <w:keepLines w:val="0"/>
      <w:snapToGrid w:val="0"/>
      <w:spacing w:beforeLines="25" w:before="78" w:after="0" w:line="360" w:lineRule="auto"/>
      <w:ind w:firstLine="624"/>
    </w:pPr>
    <w:rPr>
      <w:rFonts w:ascii="Arial" w:eastAsia="楷体_GB2312" w:hAnsi="Arial" w:cs="Times New Roman"/>
      <w:b w:val="0"/>
      <w:bCs w:val="0"/>
      <w:szCs w:val="20"/>
      <w:lang w:val="x-none" w:eastAsia="x-none"/>
    </w:rPr>
  </w:style>
  <w:style w:type="paragraph" w:customStyle="1" w:styleId="afa">
    <w:name w:val="表格标题(居中)"/>
    <w:basedOn w:val="a"/>
    <w:link w:val="Charc"/>
    <w:rsid w:val="00D517F0"/>
    <w:pPr>
      <w:snapToGrid w:val="0"/>
      <w:spacing w:line="300" w:lineRule="auto"/>
      <w:jc w:val="center"/>
    </w:pPr>
    <w:rPr>
      <w:rFonts w:eastAsia="黑体"/>
      <w:sz w:val="24"/>
      <w:szCs w:val="20"/>
      <w:lang w:val="x-none" w:eastAsia="x-none"/>
    </w:rPr>
  </w:style>
  <w:style w:type="character" w:customStyle="1" w:styleId="Charc">
    <w:name w:val="表格标题(居中) Char"/>
    <w:link w:val="afa"/>
    <w:rsid w:val="00D517F0"/>
    <w:rPr>
      <w:rFonts w:ascii="Times New Roman" w:eastAsia="黑体" w:hAnsi="Times New Roman" w:cs="Times New Roman"/>
      <w:sz w:val="24"/>
      <w:szCs w:val="20"/>
      <w:lang w:val="x-none" w:eastAsia="x-none"/>
    </w:rPr>
  </w:style>
  <w:style w:type="paragraph" w:customStyle="1" w:styleId="13">
    <w:name w:val="图名1"/>
    <w:basedOn w:val="a"/>
    <w:rsid w:val="00D517F0"/>
    <w:pPr>
      <w:widowControl/>
      <w:tabs>
        <w:tab w:val="left" w:leader="dot" w:pos="1701"/>
        <w:tab w:val="left" w:pos="9072"/>
      </w:tabs>
      <w:snapToGrid w:val="0"/>
      <w:spacing w:after="240" w:line="300" w:lineRule="auto"/>
      <w:jc w:val="center"/>
    </w:pPr>
    <w:rPr>
      <w:rFonts w:eastAsia="黑体"/>
      <w:kern w:val="21"/>
      <w:sz w:val="24"/>
      <w:szCs w:val="20"/>
    </w:rPr>
  </w:style>
  <w:style w:type="paragraph" w:styleId="afb">
    <w:name w:val="Plain Text"/>
    <w:basedOn w:val="a"/>
    <w:link w:val="Chard"/>
    <w:rsid w:val="00D517F0"/>
    <w:rPr>
      <w:rFonts w:ascii="宋体" w:hAnsi="Courier New"/>
      <w:sz w:val="24"/>
      <w:szCs w:val="20"/>
    </w:rPr>
  </w:style>
  <w:style w:type="character" w:customStyle="1" w:styleId="Chard">
    <w:name w:val="纯文本 Char"/>
    <w:basedOn w:val="a0"/>
    <w:link w:val="afb"/>
    <w:rsid w:val="00D517F0"/>
    <w:rPr>
      <w:rFonts w:ascii="宋体" w:eastAsia="宋体" w:hAnsi="Courier New" w:cs="Times New Roman"/>
      <w:sz w:val="24"/>
      <w:szCs w:val="20"/>
    </w:rPr>
  </w:style>
  <w:style w:type="character" w:styleId="afc">
    <w:name w:val="Strong"/>
    <w:qFormat/>
    <w:rsid w:val="00D517F0"/>
    <w:rPr>
      <w:b/>
      <w:bCs/>
    </w:rPr>
  </w:style>
  <w:style w:type="paragraph" w:customStyle="1" w:styleId="MMTitle">
    <w:name w:val="MM Title"/>
    <w:basedOn w:val="afd"/>
    <w:link w:val="MMTitleChar"/>
    <w:uiPriority w:val="99"/>
    <w:rsid w:val="00F87722"/>
    <w:rPr>
      <w:rFonts w:ascii="Cambria" w:hAnsi="Cambria" w:cs="Times New Roman"/>
    </w:rPr>
  </w:style>
  <w:style w:type="character" w:customStyle="1" w:styleId="MMTitleChar">
    <w:name w:val="MM Title Char"/>
    <w:basedOn w:val="Chare"/>
    <w:link w:val="MMTitle"/>
    <w:uiPriority w:val="99"/>
    <w:locked/>
    <w:rsid w:val="00F87722"/>
    <w:rPr>
      <w:rFonts w:ascii="Cambria" w:eastAsia="宋体" w:hAnsi="Cambria" w:cs="Times New Roman"/>
      <w:b/>
      <w:bCs/>
      <w:sz w:val="32"/>
      <w:szCs w:val="32"/>
    </w:rPr>
  </w:style>
  <w:style w:type="paragraph" w:styleId="afd">
    <w:name w:val="Title"/>
    <w:basedOn w:val="a"/>
    <w:next w:val="a"/>
    <w:link w:val="Chare"/>
    <w:uiPriority w:val="10"/>
    <w:qFormat/>
    <w:rsid w:val="00F87722"/>
    <w:pPr>
      <w:spacing w:before="240" w:after="60"/>
      <w:jc w:val="center"/>
      <w:outlineLvl w:val="0"/>
    </w:pPr>
    <w:rPr>
      <w:rFonts w:asciiTheme="majorHAnsi" w:hAnsiTheme="majorHAnsi" w:cstheme="majorBidi"/>
      <w:b/>
      <w:bCs/>
      <w:sz w:val="32"/>
      <w:szCs w:val="32"/>
    </w:rPr>
  </w:style>
  <w:style w:type="character" w:customStyle="1" w:styleId="Chare">
    <w:name w:val="标题 Char"/>
    <w:basedOn w:val="a0"/>
    <w:link w:val="afd"/>
    <w:uiPriority w:val="10"/>
    <w:rsid w:val="00F87722"/>
    <w:rPr>
      <w:rFonts w:asciiTheme="majorHAnsi" w:eastAsia="宋体" w:hAnsiTheme="majorHAnsi" w:cstheme="majorBidi"/>
      <w:b/>
      <w:bCs/>
      <w:sz w:val="32"/>
      <w:szCs w:val="32"/>
    </w:rPr>
  </w:style>
  <w:style w:type="character" w:customStyle="1" w:styleId="righttext1">
    <w:name w:val="right_text1"/>
    <w:basedOn w:val="a0"/>
    <w:rsid w:val="003B6904"/>
    <w:rPr>
      <w:rFonts w:ascii="Arial" w:hAnsi="Arial" w:cs="Arial" w:hint="default"/>
      <w:strike w:val="0"/>
      <w:dstrike w:val="0"/>
      <w:color w:val="333333"/>
      <w:sz w:val="18"/>
      <w:szCs w:val="18"/>
      <w:u w:val="none"/>
    </w:rPr>
  </w:style>
  <w:style w:type="paragraph" w:customStyle="1" w:styleId="Default">
    <w:name w:val="Default"/>
    <w:rsid w:val="00597A4B"/>
    <w:pPr>
      <w:widowControl w:val="0"/>
      <w:autoSpaceDE w:val="0"/>
      <w:autoSpaceDN w:val="0"/>
      <w:adjustRightInd w:val="0"/>
    </w:pPr>
    <w:rPr>
      <w:rFonts w:ascii="microsoft yahei" w:hAnsi="microsoft yahei" w:cs="microsoft yahei"/>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59447947">
      <w:bodyDiv w:val="1"/>
      <w:marLeft w:val="0"/>
      <w:marRight w:val="0"/>
      <w:marTop w:val="0"/>
      <w:marBottom w:val="0"/>
      <w:divBdr>
        <w:top w:val="none" w:sz="0" w:space="0" w:color="auto"/>
        <w:left w:val="none" w:sz="0" w:space="0" w:color="auto"/>
        <w:bottom w:val="none" w:sz="0" w:space="0" w:color="auto"/>
        <w:right w:val="none" w:sz="0" w:space="0" w:color="auto"/>
      </w:divBdr>
    </w:div>
    <w:div w:id="76445676">
      <w:bodyDiv w:val="1"/>
      <w:marLeft w:val="0"/>
      <w:marRight w:val="0"/>
      <w:marTop w:val="0"/>
      <w:marBottom w:val="0"/>
      <w:divBdr>
        <w:top w:val="none" w:sz="0" w:space="0" w:color="auto"/>
        <w:left w:val="none" w:sz="0" w:space="0" w:color="auto"/>
        <w:bottom w:val="none" w:sz="0" w:space="0" w:color="auto"/>
        <w:right w:val="none" w:sz="0" w:space="0" w:color="auto"/>
      </w:divBdr>
    </w:div>
    <w:div w:id="139662698">
      <w:bodyDiv w:val="1"/>
      <w:marLeft w:val="0"/>
      <w:marRight w:val="0"/>
      <w:marTop w:val="0"/>
      <w:marBottom w:val="0"/>
      <w:divBdr>
        <w:top w:val="none" w:sz="0" w:space="0" w:color="auto"/>
        <w:left w:val="none" w:sz="0" w:space="0" w:color="auto"/>
        <w:bottom w:val="none" w:sz="0" w:space="0" w:color="auto"/>
        <w:right w:val="none" w:sz="0" w:space="0" w:color="auto"/>
      </w:divBdr>
    </w:div>
    <w:div w:id="264118501">
      <w:bodyDiv w:val="1"/>
      <w:marLeft w:val="0"/>
      <w:marRight w:val="0"/>
      <w:marTop w:val="0"/>
      <w:marBottom w:val="0"/>
      <w:divBdr>
        <w:top w:val="none" w:sz="0" w:space="0" w:color="auto"/>
        <w:left w:val="none" w:sz="0" w:space="0" w:color="auto"/>
        <w:bottom w:val="none" w:sz="0" w:space="0" w:color="auto"/>
        <w:right w:val="none" w:sz="0" w:space="0" w:color="auto"/>
      </w:divBdr>
    </w:div>
    <w:div w:id="273295130">
      <w:bodyDiv w:val="1"/>
      <w:marLeft w:val="0"/>
      <w:marRight w:val="0"/>
      <w:marTop w:val="0"/>
      <w:marBottom w:val="0"/>
      <w:divBdr>
        <w:top w:val="none" w:sz="0" w:space="0" w:color="auto"/>
        <w:left w:val="none" w:sz="0" w:space="0" w:color="auto"/>
        <w:bottom w:val="none" w:sz="0" w:space="0" w:color="auto"/>
        <w:right w:val="none" w:sz="0" w:space="0" w:color="auto"/>
      </w:divBdr>
    </w:div>
    <w:div w:id="375586889">
      <w:bodyDiv w:val="1"/>
      <w:marLeft w:val="0"/>
      <w:marRight w:val="0"/>
      <w:marTop w:val="0"/>
      <w:marBottom w:val="0"/>
      <w:divBdr>
        <w:top w:val="none" w:sz="0" w:space="0" w:color="auto"/>
        <w:left w:val="none" w:sz="0" w:space="0" w:color="auto"/>
        <w:bottom w:val="none" w:sz="0" w:space="0" w:color="auto"/>
        <w:right w:val="none" w:sz="0" w:space="0" w:color="auto"/>
      </w:divBdr>
      <w:divsChild>
        <w:div w:id="1548368821">
          <w:marLeft w:val="0"/>
          <w:marRight w:val="0"/>
          <w:marTop w:val="0"/>
          <w:marBottom w:val="0"/>
          <w:divBdr>
            <w:top w:val="none" w:sz="0" w:space="0" w:color="auto"/>
            <w:left w:val="none" w:sz="0" w:space="0" w:color="auto"/>
            <w:bottom w:val="none" w:sz="0" w:space="0" w:color="auto"/>
            <w:right w:val="none" w:sz="0" w:space="0" w:color="auto"/>
          </w:divBdr>
          <w:divsChild>
            <w:div w:id="263616012">
              <w:marLeft w:val="450"/>
              <w:marRight w:val="450"/>
              <w:marTop w:val="0"/>
              <w:marBottom w:val="0"/>
              <w:divBdr>
                <w:top w:val="none" w:sz="0" w:space="0" w:color="auto"/>
                <w:left w:val="none" w:sz="0" w:space="0" w:color="auto"/>
                <w:bottom w:val="none" w:sz="0" w:space="0" w:color="auto"/>
                <w:right w:val="none" w:sz="0" w:space="0" w:color="auto"/>
              </w:divBdr>
              <w:divsChild>
                <w:div w:id="1702853985">
                  <w:marLeft w:val="450"/>
                  <w:marRight w:val="450"/>
                  <w:marTop w:val="0"/>
                  <w:marBottom w:val="0"/>
                  <w:divBdr>
                    <w:top w:val="none" w:sz="0" w:space="0" w:color="auto"/>
                    <w:left w:val="none" w:sz="0" w:space="0" w:color="auto"/>
                    <w:bottom w:val="none" w:sz="0" w:space="0" w:color="auto"/>
                    <w:right w:val="none" w:sz="0" w:space="0" w:color="auto"/>
                  </w:divBdr>
                  <w:divsChild>
                    <w:div w:id="870264898">
                      <w:marLeft w:val="0"/>
                      <w:marRight w:val="0"/>
                      <w:marTop w:val="100"/>
                      <w:marBottom w:val="100"/>
                      <w:divBdr>
                        <w:top w:val="none" w:sz="0" w:space="0" w:color="auto"/>
                        <w:left w:val="none" w:sz="0" w:space="0" w:color="auto"/>
                        <w:bottom w:val="none" w:sz="0" w:space="0" w:color="auto"/>
                        <w:right w:val="none" w:sz="0" w:space="0" w:color="auto"/>
                      </w:divBdr>
                      <w:divsChild>
                        <w:div w:id="227349677">
                          <w:marLeft w:val="0"/>
                          <w:marRight w:val="0"/>
                          <w:marTop w:val="0"/>
                          <w:marBottom w:val="0"/>
                          <w:divBdr>
                            <w:top w:val="single" w:sz="2" w:space="15" w:color="D8D8D8"/>
                            <w:left w:val="single" w:sz="6" w:space="23" w:color="D8D8D8"/>
                            <w:bottom w:val="single" w:sz="6" w:space="0" w:color="D8D8D8"/>
                            <w:right w:val="single" w:sz="6" w:space="23" w:color="D8D8D8"/>
                          </w:divBdr>
                        </w:div>
                      </w:divsChild>
                    </w:div>
                  </w:divsChild>
                </w:div>
              </w:divsChild>
            </w:div>
          </w:divsChild>
        </w:div>
      </w:divsChild>
    </w:div>
    <w:div w:id="407190115">
      <w:bodyDiv w:val="1"/>
      <w:marLeft w:val="0"/>
      <w:marRight w:val="0"/>
      <w:marTop w:val="0"/>
      <w:marBottom w:val="0"/>
      <w:divBdr>
        <w:top w:val="none" w:sz="0" w:space="0" w:color="auto"/>
        <w:left w:val="none" w:sz="0" w:space="0" w:color="auto"/>
        <w:bottom w:val="none" w:sz="0" w:space="0" w:color="auto"/>
        <w:right w:val="none" w:sz="0" w:space="0" w:color="auto"/>
      </w:divBdr>
    </w:div>
    <w:div w:id="430323412">
      <w:bodyDiv w:val="1"/>
      <w:marLeft w:val="0"/>
      <w:marRight w:val="0"/>
      <w:marTop w:val="0"/>
      <w:marBottom w:val="0"/>
      <w:divBdr>
        <w:top w:val="none" w:sz="0" w:space="0" w:color="auto"/>
        <w:left w:val="none" w:sz="0" w:space="0" w:color="auto"/>
        <w:bottom w:val="none" w:sz="0" w:space="0" w:color="auto"/>
        <w:right w:val="none" w:sz="0" w:space="0" w:color="auto"/>
      </w:divBdr>
      <w:divsChild>
        <w:div w:id="1940022173">
          <w:marLeft w:val="0"/>
          <w:marRight w:val="0"/>
          <w:marTop w:val="0"/>
          <w:marBottom w:val="0"/>
          <w:divBdr>
            <w:top w:val="none" w:sz="0" w:space="0" w:color="auto"/>
            <w:left w:val="none" w:sz="0" w:space="0" w:color="auto"/>
            <w:bottom w:val="none" w:sz="0" w:space="0" w:color="auto"/>
            <w:right w:val="none" w:sz="0" w:space="0" w:color="auto"/>
          </w:divBdr>
          <w:divsChild>
            <w:div w:id="749734338">
              <w:marLeft w:val="450"/>
              <w:marRight w:val="450"/>
              <w:marTop w:val="0"/>
              <w:marBottom w:val="0"/>
              <w:divBdr>
                <w:top w:val="none" w:sz="0" w:space="0" w:color="auto"/>
                <w:left w:val="none" w:sz="0" w:space="0" w:color="auto"/>
                <w:bottom w:val="none" w:sz="0" w:space="0" w:color="auto"/>
                <w:right w:val="none" w:sz="0" w:space="0" w:color="auto"/>
              </w:divBdr>
              <w:divsChild>
                <w:div w:id="1087922928">
                  <w:marLeft w:val="450"/>
                  <w:marRight w:val="450"/>
                  <w:marTop w:val="0"/>
                  <w:marBottom w:val="0"/>
                  <w:divBdr>
                    <w:top w:val="none" w:sz="0" w:space="0" w:color="auto"/>
                    <w:left w:val="none" w:sz="0" w:space="0" w:color="auto"/>
                    <w:bottom w:val="none" w:sz="0" w:space="0" w:color="auto"/>
                    <w:right w:val="none" w:sz="0" w:space="0" w:color="auto"/>
                  </w:divBdr>
                  <w:divsChild>
                    <w:div w:id="1972711209">
                      <w:marLeft w:val="0"/>
                      <w:marRight w:val="0"/>
                      <w:marTop w:val="100"/>
                      <w:marBottom w:val="100"/>
                      <w:divBdr>
                        <w:top w:val="none" w:sz="0" w:space="0" w:color="auto"/>
                        <w:left w:val="none" w:sz="0" w:space="0" w:color="auto"/>
                        <w:bottom w:val="none" w:sz="0" w:space="0" w:color="auto"/>
                        <w:right w:val="none" w:sz="0" w:space="0" w:color="auto"/>
                      </w:divBdr>
                      <w:divsChild>
                        <w:div w:id="801774420">
                          <w:marLeft w:val="0"/>
                          <w:marRight w:val="0"/>
                          <w:marTop w:val="0"/>
                          <w:marBottom w:val="0"/>
                          <w:divBdr>
                            <w:top w:val="single" w:sz="2" w:space="15" w:color="D8D8D8"/>
                            <w:left w:val="single" w:sz="6" w:space="23" w:color="D8D8D8"/>
                            <w:bottom w:val="single" w:sz="6" w:space="0" w:color="D8D8D8"/>
                            <w:right w:val="single" w:sz="6" w:space="23" w:color="D8D8D8"/>
                          </w:divBdr>
                        </w:div>
                      </w:divsChild>
                    </w:div>
                  </w:divsChild>
                </w:div>
              </w:divsChild>
            </w:div>
          </w:divsChild>
        </w:div>
      </w:divsChild>
    </w:div>
    <w:div w:id="560333357">
      <w:bodyDiv w:val="1"/>
      <w:marLeft w:val="0"/>
      <w:marRight w:val="0"/>
      <w:marTop w:val="0"/>
      <w:marBottom w:val="0"/>
      <w:divBdr>
        <w:top w:val="none" w:sz="0" w:space="0" w:color="auto"/>
        <w:left w:val="none" w:sz="0" w:space="0" w:color="auto"/>
        <w:bottom w:val="none" w:sz="0" w:space="0" w:color="auto"/>
        <w:right w:val="none" w:sz="0" w:space="0" w:color="auto"/>
      </w:divBdr>
    </w:div>
    <w:div w:id="755588287">
      <w:bodyDiv w:val="1"/>
      <w:marLeft w:val="0"/>
      <w:marRight w:val="0"/>
      <w:marTop w:val="0"/>
      <w:marBottom w:val="0"/>
      <w:divBdr>
        <w:top w:val="none" w:sz="0" w:space="0" w:color="auto"/>
        <w:left w:val="none" w:sz="0" w:space="0" w:color="auto"/>
        <w:bottom w:val="none" w:sz="0" w:space="0" w:color="auto"/>
        <w:right w:val="none" w:sz="0" w:space="0" w:color="auto"/>
      </w:divBdr>
      <w:divsChild>
        <w:div w:id="94057413">
          <w:marLeft w:val="0"/>
          <w:marRight w:val="0"/>
          <w:marTop w:val="300"/>
          <w:marBottom w:val="0"/>
          <w:divBdr>
            <w:top w:val="none" w:sz="0" w:space="0" w:color="auto"/>
            <w:left w:val="none" w:sz="0" w:space="0" w:color="auto"/>
            <w:bottom w:val="none" w:sz="0" w:space="0" w:color="auto"/>
            <w:right w:val="none" w:sz="0" w:space="0" w:color="auto"/>
          </w:divBdr>
          <w:divsChild>
            <w:div w:id="1916741625">
              <w:marLeft w:val="0"/>
              <w:marRight w:val="0"/>
              <w:marTop w:val="0"/>
              <w:marBottom w:val="0"/>
              <w:divBdr>
                <w:top w:val="none" w:sz="0" w:space="0" w:color="auto"/>
                <w:left w:val="none" w:sz="0" w:space="0" w:color="auto"/>
                <w:bottom w:val="none" w:sz="0" w:space="0" w:color="auto"/>
                <w:right w:val="none" w:sz="0" w:space="0" w:color="auto"/>
              </w:divBdr>
              <w:divsChild>
                <w:div w:id="97232180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17959000">
      <w:bodyDiv w:val="1"/>
      <w:marLeft w:val="0"/>
      <w:marRight w:val="0"/>
      <w:marTop w:val="0"/>
      <w:marBottom w:val="0"/>
      <w:divBdr>
        <w:top w:val="none" w:sz="0" w:space="0" w:color="auto"/>
        <w:left w:val="none" w:sz="0" w:space="0" w:color="auto"/>
        <w:bottom w:val="none" w:sz="0" w:space="0" w:color="auto"/>
        <w:right w:val="none" w:sz="0" w:space="0" w:color="auto"/>
      </w:divBdr>
    </w:div>
    <w:div w:id="851843870">
      <w:bodyDiv w:val="1"/>
      <w:marLeft w:val="0"/>
      <w:marRight w:val="0"/>
      <w:marTop w:val="0"/>
      <w:marBottom w:val="0"/>
      <w:divBdr>
        <w:top w:val="none" w:sz="0" w:space="0" w:color="auto"/>
        <w:left w:val="none" w:sz="0" w:space="0" w:color="auto"/>
        <w:bottom w:val="none" w:sz="0" w:space="0" w:color="auto"/>
        <w:right w:val="none" w:sz="0" w:space="0" w:color="auto"/>
      </w:divBdr>
    </w:div>
    <w:div w:id="854422902">
      <w:bodyDiv w:val="1"/>
      <w:marLeft w:val="0"/>
      <w:marRight w:val="0"/>
      <w:marTop w:val="0"/>
      <w:marBottom w:val="0"/>
      <w:divBdr>
        <w:top w:val="none" w:sz="0" w:space="0" w:color="auto"/>
        <w:left w:val="none" w:sz="0" w:space="0" w:color="auto"/>
        <w:bottom w:val="none" w:sz="0" w:space="0" w:color="auto"/>
        <w:right w:val="none" w:sz="0" w:space="0" w:color="auto"/>
      </w:divBdr>
    </w:div>
    <w:div w:id="868302778">
      <w:bodyDiv w:val="1"/>
      <w:marLeft w:val="0"/>
      <w:marRight w:val="0"/>
      <w:marTop w:val="0"/>
      <w:marBottom w:val="0"/>
      <w:divBdr>
        <w:top w:val="none" w:sz="0" w:space="0" w:color="auto"/>
        <w:left w:val="none" w:sz="0" w:space="0" w:color="auto"/>
        <w:bottom w:val="none" w:sz="0" w:space="0" w:color="auto"/>
        <w:right w:val="none" w:sz="0" w:space="0" w:color="auto"/>
      </w:divBdr>
    </w:div>
    <w:div w:id="878979584">
      <w:bodyDiv w:val="1"/>
      <w:marLeft w:val="0"/>
      <w:marRight w:val="0"/>
      <w:marTop w:val="0"/>
      <w:marBottom w:val="0"/>
      <w:divBdr>
        <w:top w:val="none" w:sz="0" w:space="0" w:color="auto"/>
        <w:left w:val="none" w:sz="0" w:space="0" w:color="auto"/>
        <w:bottom w:val="none" w:sz="0" w:space="0" w:color="auto"/>
        <w:right w:val="none" w:sz="0" w:space="0" w:color="auto"/>
      </w:divBdr>
    </w:div>
    <w:div w:id="966592930">
      <w:bodyDiv w:val="1"/>
      <w:marLeft w:val="0"/>
      <w:marRight w:val="0"/>
      <w:marTop w:val="0"/>
      <w:marBottom w:val="0"/>
      <w:divBdr>
        <w:top w:val="none" w:sz="0" w:space="0" w:color="auto"/>
        <w:left w:val="none" w:sz="0" w:space="0" w:color="auto"/>
        <w:bottom w:val="none" w:sz="0" w:space="0" w:color="auto"/>
        <w:right w:val="none" w:sz="0" w:space="0" w:color="auto"/>
      </w:divBdr>
    </w:div>
    <w:div w:id="967929320">
      <w:bodyDiv w:val="1"/>
      <w:marLeft w:val="0"/>
      <w:marRight w:val="0"/>
      <w:marTop w:val="0"/>
      <w:marBottom w:val="0"/>
      <w:divBdr>
        <w:top w:val="none" w:sz="0" w:space="0" w:color="auto"/>
        <w:left w:val="none" w:sz="0" w:space="0" w:color="auto"/>
        <w:bottom w:val="none" w:sz="0" w:space="0" w:color="auto"/>
        <w:right w:val="none" w:sz="0" w:space="0" w:color="auto"/>
      </w:divBdr>
    </w:div>
    <w:div w:id="971905541">
      <w:bodyDiv w:val="1"/>
      <w:marLeft w:val="0"/>
      <w:marRight w:val="0"/>
      <w:marTop w:val="0"/>
      <w:marBottom w:val="0"/>
      <w:divBdr>
        <w:top w:val="none" w:sz="0" w:space="0" w:color="auto"/>
        <w:left w:val="none" w:sz="0" w:space="0" w:color="auto"/>
        <w:bottom w:val="none" w:sz="0" w:space="0" w:color="auto"/>
        <w:right w:val="none" w:sz="0" w:space="0" w:color="auto"/>
      </w:divBdr>
      <w:divsChild>
        <w:div w:id="409426812">
          <w:marLeft w:val="0"/>
          <w:marRight w:val="0"/>
          <w:marTop w:val="0"/>
          <w:marBottom w:val="0"/>
          <w:divBdr>
            <w:top w:val="none" w:sz="0" w:space="0" w:color="auto"/>
            <w:left w:val="none" w:sz="0" w:space="0" w:color="auto"/>
            <w:bottom w:val="none" w:sz="0" w:space="0" w:color="auto"/>
            <w:right w:val="none" w:sz="0" w:space="0" w:color="auto"/>
          </w:divBdr>
        </w:div>
      </w:divsChild>
    </w:div>
    <w:div w:id="1095007622">
      <w:bodyDiv w:val="1"/>
      <w:marLeft w:val="0"/>
      <w:marRight w:val="0"/>
      <w:marTop w:val="0"/>
      <w:marBottom w:val="0"/>
      <w:divBdr>
        <w:top w:val="none" w:sz="0" w:space="0" w:color="auto"/>
        <w:left w:val="none" w:sz="0" w:space="0" w:color="auto"/>
        <w:bottom w:val="none" w:sz="0" w:space="0" w:color="auto"/>
        <w:right w:val="none" w:sz="0" w:space="0" w:color="auto"/>
      </w:divBdr>
    </w:div>
    <w:div w:id="1101799289">
      <w:bodyDiv w:val="1"/>
      <w:marLeft w:val="0"/>
      <w:marRight w:val="0"/>
      <w:marTop w:val="0"/>
      <w:marBottom w:val="0"/>
      <w:divBdr>
        <w:top w:val="none" w:sz="0" w:space="0" w:color="auto"/>
        <w:left w:val="none" w:sz="0" w:space="0" w:color="auto"/>
        <w:bottom w:val="none" w:sz="0" w:space="0" w:color="auto"/>
        <w:right w:val="none" w:sz="0" w:space="0" w:color="auto"/>
      </w:divBdr>
      <w:divsChild>
        <w:div w:id="1832601580">
          <w:marLeft w:val="0"/>
          <w:marRight w:val="0"/>
          <w:marTop w:val="0"/>
          <w:marBottom w:val="0"/>
          <w:divBdr>
            <w:top w:val="none" w:sz="0" w:space="0" w:color="auto"/>
            <w:left w:val="none" w:sz="0" w:space="0" w:color="auto"/>
            <w:bottom w:val="none" w:sz="0" w:space="0" w:color="auto"/>
            <w:right w:val="none" w:sz="0" w:space="0" w:color="auto"/>
          </w:divBdr>
          <w:divsChild>
            <w:div w:id="1466780126">
              <w:marLeft w:val="450"/>
              <w:marRight w:val="450"/>
              <w:marTop w:val="0"/>
              <w:marBottom w:val="0"/>
              <w:divBdr>
                <w:top w:val="none" w:sz="0" w:space="0" w:color="auto"/>
                <w:left w:val="none" w:sz="0" w:space="0" w:color="auto"/>
                <w:bottom w:val="none" w:sz="0" w:space="0" w:color="auto"/>
                <w:right w:val="none" w:sz="0" w:space="0" w:color="auto"/>
              </w:divBdr>
              <w:divsChild>
                <w:div w:id="1155338577">
                  <w:marLeft w:val="450"/>
                  <w:marRight w:val="450"/>
                  <w:marTop w:val="0"/>
                  <w:marBottom w:val="0"/>
                  <w:divBdr>
                    <w:top w:val="none" w:sz="0" w:space="0" w:color="auto"/>
                    <w:left w:val="none" w:sz="0" w:space="0" w:color="auto"/>
                    <w:bottom w:val="none" w:sz="0" w:space="0" w:color="auto"/>
                    <w:right w:val="none" w:sz="0" w:space="0" w:color="auto"/>
                  </w:divBdr>
                  <w:divsChild>
                    <w:div w:id="38014685">
                      <w:marLeft w:val="0"/>
                      <w:marRight w:val="0"/>
                      <w:marTop w:val="100"/>
                      <w:marBottom w:val="100"/>
                      <w:divBdr>
                        <w:top w:val="none" w:sz="0" w:space="0" w:color="auto"/>
                        <w:left w:val="none" w:sz="0" w:space="0" w:color="auto"/>
                        <w:bottom w:val="none" w:sz="0" w:space="0" w:color="auto"/>
                        <w:right w:val="none" w:sz="0" w:space="0" w:color="auto"/>
                      </w:divBdr>
                      <w:divsChild>
                        <w:div w:id="407460236">
                          <w:marLeft w:val="0"/>
                          <w:marRight w:val="0"/>
                          <w:marTop w:val="0"/>
                          <w:marBottom w:val="0"/>
                          <w:divBdr>
                            <w:top w:val="single" w:sz="2" w:space="15" w:color="D8D8D8"/>
                            <w:left w:val="single" w:sz="6" w:space="23" w:color="D8D8D8"/>
                            <w:bottom w:val="single" w:sz="6" w:space="0" w:color="D8D8D8"/>
                            <w:right w:val="single" w:sz="6" w:space="23" w:color="D8D8D8"/>
                          </w:divBdr>
                        </w:div>
                      </w:divsChild>
                    </w:div>
                  </w:divsChild>
                </w:div>
              </w:divsChild>
            </w:div>
          </w:divsChild>
        </w:div>
      </w:divsChild>
    </w:div>
    <w:div w:id="1198011937">
      <w:bodyDiv w:val="1"/>
      <w:marLeft w:val="0"/>
      <w:marRight w:val="0"/>
      <w:marTop w:val="0"/>
      <w:marBottom w:val="0"/>
      <w:divBdr>
        <w:top w:val="none" w:sz="0" w:space="0" w:color="auto"/>
        <w:left w:val="none" w:sz="0" w:space="0" w:color="auto"/>
        <w:bottom w:val="none" w:sz="0" w:space="0" w:color="auto"/>
        <w:right w:val="none" w:sz="0" w:space="0" w:color="auto"/>
      </w:divBdr>
    </w:div>
    <w:div w:id="1215659177">
      <w:bodyDiv w:val="1"/>
      <w:marLeft w:val="0"/>
      <w:marRight w:val="0"/>
      <w:marTop w:val="0"/>
      <w:marBottom w:val="0"/>
      <w:divBdr>
        <w:top w:val="none" w:sz="0" w:space="0" w:color="auto"/>
        <w:left w:val="none" w:sz="0" w:space="0" w:color="auto"/>
        <w:bottom w:val="none" w:sz="0" w:space="0" w:color="auto"/>
        <w:right w:val="none" w:sz="0" w:space="0" w:color="auto"/>
      </w:divBdr>
    </w:div>
    <w:div w:id="1241713649">
      <w:bodyDiv w:val="1"/>
      <w:marLeft w:val="0"/>
      <w:marRight w:val="0"/>
      <w:marTop w:val="0"/>
      <w:marBottom w:val="0"/>
      <w:divBdr>
        <w:top w:val="none" w:sz="0" w:space="0" w:color="auto"/>
        <w:left w:val="none" w:sz="0" w:space="0" w:color="auto"/>
        <w:bottom w:val="none" w:sz="0" w:space="0" w:color="auto"/>
        <w:right w:val="none" w:sz="0" w:space="0" w:color="auto"/>
      </w:divBdr>
    </w:div>
    <w:div w:id="1308630822">
      <w:bodyDiv w:val="1"/>
      <w:marLeft w:val="0"/>
      <w:marRight w:val="0"/>
      <w:marTop w:val="0"/>
      <w:marBottom w:val="0"/>
      <w:divBdr>
        <w:top w:val="none" w:sz="0" w:space="0" w:color="auto"/>
        <w:left w:val="none" w:sz="0" w:space="0" w:color="auto"/>
        <w:bottom w:val="none" w:sz="0" w:space="0" w:color="auto"/>
        <w:right w:val="none" w:sz="0" w:space="0" w:color="auto"/>
      </w:divBdr>
      <w:divsChild>
        <w:div w:id="853954144">
          <w:marLeft w:val="0"/>
          <w:marRight w:val="0"/>
          <w:marTop w:val="0"/>
          <w:marBottom w:val="0"/>
          <w:divBdr>
            <w:top w:val="none" w:sz="0" w:space="0" w:color="auto"/>
            <w:left w:val="none" w:sz="0" w:space="0" w:color="auto"/>
            <w:bottom w:val="none" w:sz="0" w:space="0" w:color="auto"/>
            <w:right w:val="none" w:sz="0" w:space="0" w:color="auto"/>
          </w:divBdr>
          <w:divsChild>
            <w:div w:id="1097410527">
              <w:marLeft w:val="0"/>
              <w:marRight w:val="0"/>
              <w:marTop w:val="300"/>
              <w:marBottom w:val="0"/>
              <w:divBdr>
                <w:top w:val="none" w:sz="0" w:space="0" w:color="auto"/>
                <w:left w:val="none" w:sz="0" w:space="0" w:color="auto"/>
                <w:bottom w:val="none" w:sz="0" w:space="0" w:color="auto"/>
                <w:right w:val="none" w:sz="0" w:space="0" w:color="auto"/>
              </w:divBdr>
              <w:divsChild>
                <w:div w:id="1648314381">
                  <w:marLeft w:val="0"/>
                  <w:marRight w:val="0"/>
                  <w:marTop w:val="0"/>
                  <w:marBottom w:val="0"/>
                  <w:divBdr>
                    <w:top w:val="single" w:sz="6" w:space="0" w:color="E5E5E5"/>
                    <w:left w:val="single" w:sz="6" w:space="0" w:color="E5E5E5"/>
                    <w:bottom w:val="single" w:sz="6" w:space="0" w:color="E5E5E5"/>
                    <w:right w:val="single" w:sz="6" w:space="0" w:color="E5E5E5"/>
                  </w:divBdr>
                  <w:divsChild>
                    <w:div w:id="4911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84775">
      <w:bodyDiv w:val="1"/>
      <w:marLeft w:val="0"/>
      <w:marRight w:val="0"/>
      <w:marTop w:val="0"/>
      <w:marBottom w:val="0"/>
      <w:divBdr>
        <w:top w:val="none" w:sz="0" w:space="0" w:color="auto"/>
        <w:left w:val="none" w:sz="0" w:space="0" w:color="auto"/>
        <w:bottom w:val="none" w:sz="0" w:space="0" w:color="auto"/>
        <w:right w:val="none" w:sz="0" w:space="0" w:color="auto"/>
      </w:divBdr>
    </w:div>
    <w:div w:id="1718553528">
      <w:bodyDiv w:val="1"/>
      <w:marLeft w:val="0"/>
      <w:marRight w:val="0"/>
      <w:marTop w:val="0"/>
      <w:marBottom w:val="0"/>
      <w:divBdr>
        <w:top w:val="none" w:sz="0" w:space="0" w:color="auto"/>
        <w:left w:val="none" w:sz="0" w:space="0" w:color="auto"/>
        <w:bottom w:val="none" w:sz="0" w:space="0" w:color="auto"/>
        <w:right w:val="none" w:sz="0" w:space="0" w:color="auto"/>
      </w:divBdr>
    </w:div>
    <w:div w:id="1857384169">
      <w:bodyDiv w:val="1"/>
      <w:marLeft w:val="0"/>
      <w:marRight w:val="0"/>
      <w:marTop w:val="0"/>
      <w:marBottom w:val="0"/>
      <w:divBdr>
        <w:top w:val="none" w:sz="0" w:space="0" w:color="auto"/>
        <w:left w:val="none" w:sz="0" w:space="0" w:color="auto"/>
        <w:bottom w:val="none" w:sz="0" w:space="0" w:color="auto"/>
        <w:right w:val="none" w:sz="0" w:space="0" w:color="auto"/>
      </w:divBdr>
      <w:divsChild>
        <w:div w:id="1542589323">
          <w:marLeft w:val="0"/>
          <w:marRight w:val="0"/>
          <w:marTop w:val="0"/>
          <w:marBottom w:val="0"/>
          <w:divBdr>
            <w:top w:val="none" w:sz="0" w:space="0" w:color="auto"/>
            <w:left w:val="none" w:sz="0" w:space="0" w:color="auto"/>
            <w:bottom w:val="none" w:sz="0" w:space="0" w:color="auto"/>
            <w:right w:val="none" w:sz="0" w:space="0" w:color="auto"/>
          </w:divBdr>
          <w:divsChild>
            <w:div w:id="476723720">
              <w:marLeft w:val="450"/>
              <w:marRight w:val="450"/>
              <w:marTop w:val="0"/>
              <w:marBottom w:val="0"/>
              <w:divBdr>
                <w:top w:val="none" w:sz="0" w:space="0" w:color="auto"/>
                <w:left w:val="none" w:sz="0" w:space="0" w:color="auto"/>
                <w:bottom w:val="none" w:sz="0" w:space="0" w:color="auto"/>
                <w:right w:val="none" w:sz="0" w:space="0" w:color="auto"/>
              </w:divBdr>
              <w:divsChild>
                <w:div w:id="1193373421">
                  <w:marLeft w:val="450"/>
                  <w:marRight w:val="450"/>
                  <w:marTop w:val="0"/>
                  <w:marBottom w:val="0"/>
                  <w:divBdr>
                    <w:top w:val="none" w:sz="0" w:space="0" w:color="auto"/>
                    <w:left w:val="none" w:sz="0" w:space="0" w:color="auto"/>
                    <w:bottom w:val="none" w:sz="0" w:space="0" w:color="auto"/>
                    <w:right w:val="none" w:sz="0" w:space="0" w:color="auto"/>
                  </w:divBdr>
                  <w:divsChild>
                    <w:div w:id="976295926">
                      <w:marLeft w:val="0"/>
                      <w:marRight w:val="0"/>
                      <w:marTop w:val="100"/>
                      <w:marBottom w:val="100"/>
                      <w:divBdr>
                        <w:top w:val="none" w:sz="0" w:space="0" w:color="auto"/>
                        <w:left w:val="none" w:sz="0" w:space="0" w:color="auto"/>
                        <w:bottom w:val="none" w:sz="0" w:space="0" w:color="auto"/>
                        <w:right w:val="none" w:sz="0" w:space="0" w:color="auto"/>
                      </w:divBdr>
                      <w:divsChild>
                        <w:div w:id="240409651">
                          <w:marLeft w:val="0"/>
                          <w:marRight w:val="0"/>
                          <w:marTop w:val="0"/>
                          <w:marBottom w:val="0"/>
                          <w:divBdr>
                            <w:top w:val="single" w:sz="2" w:space="15" w:color="D8D8D8"/>
                            <w:left w:val="single" w:sz="6" w:space="23" w:color="D8D8D8"/>
                            <w:bottom w:val="single" w:sz="6" w:space="0" w:color="D8D8D8"/>
                            <w:right w:val="single" w:sz="6" w:space="23" w:color="D8D8D8"/>
                          </w:divBdr>
                        </w:div>
                      </w:divsChild>
                    </w:div>
                  </w:divsChild>
                </w:div>
              </w:divsChild>
            </w:div>
          </w:divsChild>
        </w:div>
      </w:divsChild>
    </w:div>
    <w:div w:id="1879050363">
      <w:bodyDiv w:val="1"/>
      <w:marLeft w:val="0"/>
      <w:marRight w:val="0"/>
      <w:marTop w:val="0"/>
      <w:marBottom w:val="0"/>
      <w:divBdr>
        <w:top w:val="none" w:sz="0" w:space="0" w:color="auto"/>
        <w:left w:val="none" w:sz="0" w:space="0" w:color="auto"/>
        <w:bottom w:val="none" w:sz="0" w:space="0" w:color="auto"/>
        <w:right w:val="none" w:sz="0" w:space="0" w:color="auto"/>
      </w:divBdr>
    </w:div>
    <w:div w:id="2045249780">
      <w:bodyDiv w:val="1"/>
      <w:marLeft w:val="0"/>
      <w:marRight w:val="0"/>
      <w:marTop w:val="0"/>
      <w:marBottom w:val="0"/>
      <w:divBdr>
        <w:top w:val="none" w:sz="0" w:space="0" w:color="auto"/>
        <w:left w:val="none" w:sz="0" w:space="0" w:color="auto"/>
        <w:bottom w:val="none" w:sz="0" w:space="0" w:color="auto"/>
        <w:right w:val="none" w:sz="0" w:space="0" w:color="auto"/>
      </w:divBdr>
      <w:divsChild>
        <w:div w:id="378826159">
          <w:marLeft w:val="0"/>
          <w:marRight w:val="0"/>
          <w:marTop w:val="0"/>
          <w:marBottom w:val="0"/>
          <w:divBdr>
            <w:top w:val="none" w:sz="0" w:space="0" w:color="auto"/>
            <w:left w:val="none" w:sz="0" w:space="0" w:color="auto"/>
            <w:bottom w:val="none" w:sz="0" w:space="0" w:color="auto"/>
            <w:right w:val="none" w:sz="0" w:space="0" w:color="auto"/>
          </w:divBdr>
        </w:div>
      </w:divsChild>
    </w:div>
    <w:div w:id="209991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chart" Target="charts/chart108.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80.xml"/><Relationship Id="rId112" Type="http://schemas.openxmlformats.org/officeDocument/2006/relationships/chart" Target="charts/chart103.xml"/><Relationship Id="rId133" Type="http://schemas.openxmlformats.org/officeDocument/2006/relationships/chart" Target="charts/chart124.xml"/><Relationship Id="rId138" Type="http://schemas.openxmlformats.org/officeDocument/2006/relationships/chart" Target="charts/chart129.xml"/><Relationship Id="rId154" Type="http://schemas.openxmlformats.org/officeDocument/2006/relationships/image" Target="media/image6.png"/><Relationship Id="rId159" Type="http://schemas.openxmlformats.org/officeDocument/2006/relationships/image" Target="media/image11.png"/><Relationship Id="rId175" Type="http://schemas.openxmlformats.org/officeDocument/2006/relationships/chart" Target="charts/chart147.xml"/><Relationship Id="rId170" Type="http://schemas.openxmlformats.org/officeDocument/2006/relationships/chart" Target="charts/chart142.xml"/><Relationship Id="rId16" Type="http://schemas.openxmlformats.org/officeDocument/2006/relationships/chart" Target="charts/chart8.xml"/><Relationship Id="rId107" Type="http://schemas.openxmlformats.org/officeDocument/2006/relationships/chart" Target="charts/chart98.xml"/><Relationship Id="rId11" Type="http://schemas.openxmlformats.org/officeDocument/2006/relationships/chart" Target="charts/chart3.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chart" Target="charts/chart114.xml"/><Relationship Id="rId128" Type="http://schemas.openxmlformats.org/officeDocument/2006/relationships/chart" Target="charts/chart119.xml"/><Relationship Id="rId144" Type="http://schemas.openxmlformats.org/officeDocument/2006/relationships/chart" Target="charts/chart135.xml"/><Relationship Id="rId149" Type="http://schemas.openxmlformats.org/officeDocument/2006/relationships/chart" Target="charts/chart139.xml"/><Relationship Id="rId5" Type="http://schemas.openxmlformats.org/officeDocument/2006/relationships/webSettings" Target="webSettings.xml"/><Relationship Id="rId90" Type="http://schemas.openxmlformats.org/officeDocument/2006/relationships/chart" Target="charts/chart81.xml"/><Relationship Id="rId95" Type="http://schemas.openxmlformats.org/officeDocument/2006/relationships/chart" Target="charts/chart86.xml"/><Relationship Id="rId160" Type="http://schemas.openxmlformats.org/officeDocument/2006/relationships/image" Target="media/image12.png"/><Relationship Id="rId165" Type="http://schemas.openxmlformats.org/officeDocument/2006/relationships/image" Target="media/image17.png"/><Relationship Id="rId181" Type="http://schemas.openxmlformats.org/officeDocument/2006/relationships/chart" Target="charts/chart153.xml"/><Relationship Id="rId186" Type="http://schemas.openxmlformats.org/officeDocument/2006/relationships/fontTable" Target="fontTable.xml"/><Relationship Id="rId22" Type="http://schemas.openxmlformats.org/officeDocument/2006/relationships/chart" Target="charts/chart14.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113" Type="http://schemas.openxmlformats.org/officeDocument/2006/relationships/chart" Target="charts/chart104.xml"/><Relationship Id="rId118" Type="http://schemas.openxmlformats.org/officeDocument/2006/relationships/chart" Target="charts/chart109.xml"/><Relationship Id="rId134" Type="http://schemas.openxmlformats.org/officeDocument/2006/relationships/chart" Target="charts/chart125.xml"/><Relationship Id="rId139" Type="http://schemas.openxmlformats.org/officeDocument/2006/relationships/chart" Target="charts/chart130.xml"/><Relationship Id="rId80" Type="http://schemas.openxmlformats.org/officeDocument/2006/relationships/chart" Target="charts/chart71.xml"/><Relationship Id="rId85" Type="http://schemas.openxmlformats.org/officeDocument/2006/relationships/chart" Target="charts/chart76.xml"/><Relationship Id="rId150" Type="http://schemas.openxmlformats.org/officeDocument/2006/relationships/image" Target="media/image2.png"/><Relationship Id="rId155" Type="http://schemas.openxmlformats.org/officeDocument/2006/relationships/image" Target="media/image7.png"/><Relationship Id="rId171" Type="http://schemas.openxmlformats.org/officeDocument/2006/relationships/chart" Target="charts/chart143.xml"/><Relationship Id="rId176" Type="http://schemas.openxmlformats.org/officeDocument/2006/relationships/chart" Target="charts/chart148.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chart" Target="charts/chart50.xml"/><Relationship Id="rId103" Type="http://schemas.openxmlformats.org/officeDocument/2006/relationships/chart" Target="charts/chart94.xml"/><Relationship Id="rId108" Type="http://schemas.openxmlformats.org/officeDocument/2006/relationships/chart" Target="charts/chart99.xml"/><Relationship Id="rId124" Type="http://schemas.openxmlformats.org/officeDocument/2006/relationships/chart" Target="charts/chart115.xml"/><Relationship Id="rId129" Type="http://schemas.openxmlformats.org/officeDocument/2006/relationships/chart" Target="charts/chart120.xml"/><Relationship Id="rId54" Type="http://schemas.openxmlformats.org/officeDocument/2006/relationships/chart" Target="charts/chart45.xml"/><Relationship Id="rId70" Type="http://schemas.openxmlformats.org/officeDocument/2006/relationships/chart" Target="charts/chart61.xml"/><Relationship Id="rId75" Type="http://schemas.openxmlformats.org/officeDocument/2006/relationships/chart" Target="charts/chart66.xml"/><Relationship Id="rId91" Type="http://schemas.openxmlformats.org/officeDocument/2006/relationships/chart" Target="charts/chart82.xml"/><Relationship Id="rId96" Type="http://schemas.openxmlformats.org/officeDocument/2006/relationships/chart" Target="charts/chart87.xml"/><Relationship Id="rId140" Type="http://schemas.openxmlformats.org/officeDocument/2006/relationships/chart" Target="charts/chart131.xml"/><Relationship Id="rId145" Type="http://schemas.openxmlformats.org/officeDocument/2006/relationships/chart" Target="charts/chart136.xml"/><Relationship Id="rId161" Type="http://schemas.openxmlformats.org/officeDocument/2006/relationships/image" Target="media/image13.png"/><Relationship Id="rId166" Type="http://schemas.openxmlformats.org/officeDocument/2006/relationships/image" Target="media/image18.png"/><Relationship Id="rId182" Type="http://schemas.openxmlformats.org/officeDocument/2006/relationships/chart" Target="charts/chart154.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chart" Target="charts/chart19.xml"/><Relationship Id="rId49" Type="http://schemas.openxmlformats.org/officeDocument/2006/relationships/chart" Target="charts/chart40.xml"/><Relationship Id="rId114" Type="http://schemas.openxmlformats.org/officeDocument/2006/relationships/chart" Target="charts/chart105.xml"/><Relationship Id="rId119" Type="http://schemas.openxmlformats.org/officeDocument/2006/relationships/chart" Target="charts/chart110.xml"/><Relationship Id="rId44" Type="http://schemas.openxmlformats.org/officeDocument/2006/relationships/chart" Target="charts/chart35.xml"/><Relationship Id="rId60" Type="http://schemas.openxmlformats.org/officeDocument/2006/relationships/chart" Target="charts/chart51.xml"/><Relationship Id="rId65" Type="http://schemas.openxmlformats.org/officeDocument/2006/relationships/chart" Target="charts/chart56.xml"/><Relationship Id="rId81" Type="http://schemas.openxmlformats.org/officeDocument/2006/relationships/chart" Target="charts/chart72.xml"/><Relationship Id="rId86" Type="http://schemas.openxmlformats.org/officeDocument/2006/relationships/chart" Target="charts/chart77.xml"/><Relationship Id="rId130" Type="http://schemas.openxmlformats.org/officeDocument/2006/relationships/chart" Target="charts/chart121.xml"/><Relationship Id="rId135" Type="http://schemas.openxmlformats.org/officeDocument/2006/relationships/chart" Target="charts/chart126.xml"/><Relationship Id="rId151" Type="http://schemas.openxmlformats.org/officeDocument/2006/relationships/image" Target="media/image3.png"/><Relationship Id="rId156" Type="http://schemas.openxmlformats.org/officeDocument/2006/relationships/image" Target="media/image8.png"/><Relationship Id="rId177" Type="http://schemas.openxmlformats.org/officeDocument/2006/relationships/chart" Target="charts/chart149.xml"/><Relationship Id="rId172" Type="http://schemas.openxmlformats.org/officeDocument/2006/relationships/chart" Target="charts/chart144.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chart" Target="charts/chart10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120" Type="http://schemas.openxmlformats.org/officeDocument/2006/relationships/chart" Target="charts/chart111.xml"/><Relationship Id="rId125" Type="http://schemas.openxmlformats.org/officeDocument/2006/relationships/chart" Target="charts/chart116.xml"/><Relationship Id="rId141" Type="http://schemas.openxmlformats.org/officeDocument/2006/relationships/chart" Target="charts/chart132.xml"/><Relationship Id="rId146" Type="http://schemas.openxmlformats.org/officeDocument/2006/relationships/chart" Target="charts/chart137.xml"/><Relationship Id="rId167" Type="http://schemas.openxmlformats.org/officeDocument/2006/relationships/image" Target="media/image19.png"/><Relationship Id="rId188"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chart" Target="charts/chart62.xml"/><Relationship Id="rId92" Type="http://schemas.openxmlformats.org/officeDocument/2006/relationships/chart" Target="charts/chart83.xml"/><Relationship Id="rId162" Type="http://schemas.openxmlformats.org/officeDocument/2006/relationships/image" Target="media/image14.png"/><Relationship Id="rId183" Type="http://schemas.openxmlformats.org/officeDocument/2006/relationships/chart" Target="charts/chart155.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chart" Target="charts/chart101.xml"/><Relationship Id="rId115" Type="http://schemas.openxmlformats.org/officeDocument/2006/relationships/chart" Target="charts/chart106.xml"/><Relationship Id="rId131" Type="http://schemas.openxmlformats.org/officeDocument/2006/relationships/chart" Target="charts/chart122.xml"/><Relationship Id="rId136" Type="http://schemas.openxmlformats.org/officeDocument/2006/relationships/chart" Target="charts/chart127.xml"/><Relationship Id="rId157" Type="http://schemas.openxmlformats.org/officeDocument/2006/relationships/image" Target="media/image9.png"/><Relationship Id="rId178" Type="http://schemas.openxmlformats.org/officeDocument/2006/relationships/chart" Target="charts/chart150.xml"/><Relationship Id="rId61" Type="http://schemas.openxmlformats.org/officeDocument/2006/relationships/chart" Target="charts/chart52.xml"/><Relationship Id="rId82" Type="http://schemas.openxmlformats.org/officeDocument/2006/relationships/chart" Target="charts/chart73.xml"/><Relationship Id="rId152" Type="http://schemas.openxmlformats.org/officeDocument/2006/relationships/image" Target="media/image4.png"/><Relationship Id="rId173" Type="http://schemas.openxmlformats.org/officeDocument/2006/relationships/chart" Target="charts/chart145.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126" Type="http://schemas.openxmlformats.org/officeDocument/2006/relationships/chart" Target="charts/chart117.xml"/><Relationship Id="rId147" Type="http://schemas.openxmlformats.org/officeDocument/2006/relationships/hyperlink" Target="http://www.askci.com/reports/2015/08/25/085320533273.shtml" TargetMode="External"/><Relationship Id="rId168" Type="http://schemas.openxmlformats.org/officeDocument/2006/relationships/chart" Target="charts/chart140.xml"/><Relationship Id="rId8" Type="http://schemas.openxmlformats.org/officeDocument/2006/relationships/footer" Target="footer1.xml"/><Relationship Id="rId51" Type="http://schemas.openxmlformats.org/officeDocument/2006/relationships/chart" Target="charts/chart42.xml"/><Relationship Id="rId72" Type="http://schemas.openxmlformats.org/officeDocument/2006/relationships/chart" Target="charts/chart63.xml"/><Relationship Id="rId93" Type="http://schemas.openxmlformats.org/officeDocument/2006/relationships/chart" Target="charts/chart84.xml"/><Relationship Id="rId98" Type="http://schemas.openxmlformats.org/officeDocument/2006/relationships/chart" Target="charts/chart89.xml"/><Relationship Id="rId121" Type="http://schemas.openxmlformats.org/officeDocument/2006/relationships/chart" Target="charts/chart112.xml"/><Relationship Id="rId142" Type="http://schemas.openxmlformats.org/officeDocument/2006/relationships/chart" Target="charts/chart133.xml"/><Relationship Id="rId163" Type="http://schemas.openxmlformats.org/officeDocument/2006/relationships/image" Target="media/image15.png"/><Relationship Id="rId184" Type="http://schemas.openxmlformats.org/officeDocument/2006/relationships/chart" Target="charts/chart156.xml"/><Relationship Id="rId3" Type="http://schemas.openxmlformats.org/officeDocument/2006/relationships/styles" Target="styles.xml"/><Relationship Id="rId25" Type="http://schemas.openxmlformats.org/officeDocument/2006/relationships/image" Target="media/image1.jpeg"/><Relationship Id="rId46" Type="http://schemas.openxmlformats.org/officeDocument/2006/relationships/chart" Target="charts/chart37.xml"/><Relationship Id="rId67" Type="http://schemas.openxmlformats.org/officeDocument/2006/relationships/chart" Target="charts/chart58.xml"/><Relationship Id="rId116" Type="http://schemas.openxmlformats.org/officeDocument/2006/relationships/chart" Target="charts/chart107.xml"/><Relationship Id="rId137" Type="http://schemas.openxmlformats.org/officeDocument/2006/relationships/chart" Target="charts/chart128.xml"/><Relationship Id="rId158" Type="http://schemas.openxmlformats.org/officeDocument/2006/relationships/image" Target="media/image10.png"/><Relationship Id="rId20" Type="http://schemas.openxmlformats.org/officeDocument/2006/relationships/chart" Target="charts/chart12.xml"/><Relationship Id="rId41" Type="http://schemas.openxmlformats.org/officeDocument/2006/relationships/chart" Target="charts/chart32.xml"/><Relationship Id="rId62" Type="http://schemas.openxmlformats.org/officeDocument/2006/relationships/chart" Target="charts/chart53.xml"/><Relationship Id="rId83" Type="http://schemas.openxmlformats.org/officeDocument/2006/relationships/chart" Target="charts/chart74.xml"/><Relationship Id="rId88" Type="http://schemas.openxmlformats.org/officeDocument/2006/relationships/chart" Target="charts/chart79.xml"/><Relationship Id="rId111" Type="http://schemas.openxmlformats.org/officeDocument/2006/relationships/chart" Target="charts/chart102.xml"/><Relationship Id="rId132" Type="http://schemas.openxmlformats.org/officeDocument/2006/relationships/chart" Target="charts/chart123.xml"/><Relationship Id="rId153" Type="http://schemas.openxmlformats.org/officeDocument/2006/relationships/image" Target="media/image5.png"/><Relationship Id="rId174" Type="http://schemas.openxmlformats.org/officeDocument/2006/relationships/chart" Target="charts/chart146.xml"/><Relationship Id="rId179" Type="http://schemas.openxmlformats.org/officeDocument/2006/relationships/chart" Target="charts/chart151.xml"/><Relationship Id="rId15" Type="http://schemas.openxmlformats.org/officeDocument/2006/relationships/chart" Target="charts/chart7.xml"/><Relationship Id="rId36" Type="http://schemas.openxmlformats.org/officeDocument/2006/relationships/chart" Target="charts/chart27.xml"/><Relationship Id="rId57" Type="http://schemas.openxmlformats.org/officeDocument/2006/relationships/chart" Target="charts/chart48.xml"/><Relationship Id="rId106" Type="http://schemas.openxmlformats.org/officeDocument/2006/relationships/chart" Target="charts/chart97.xml"/><Relationship Id="rId127" Type="http://schemas.openxmlformats.org/officeDocument/2006/relationships/chart" Target="charts/chart118.xml"/><Relationship Id="rId10" Type="http://schemas.openxmlformats.org/officeDocument/2006/relationships/chart" Target="charts/chart2.xml"/><Relationship Id="rId31" Type="http://schemas.openxmlformats.org/officeDocument/2006/relationships/chart" Target="charts/chart22.xml"/><Relationship Id="rId52" Type="http://schemas.openxmlformats.org/officeDocument/2006/relationships/chart" Target="charts/chart43.xml"/><Relationship Id="rId73" Type="http://schemas.openxmlformats.org/officeDocument/2006/relationships/chart" Target="charts/chart64.xml"/><Relationship Id="rId78" Type="http://schemas.openxmlformats.org/officeDocument/2006/relationships/chart" Target="charts/chart69.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chart" Target="charts/chart113.xml"/><Relationship Id="rId143" Type="http://schemas.openxmlformats.org/officeDocument/2006/relationships/chart" Target="charts/chart134.xml"/><Relationship Id="rId148" Type="http://schemas.openxmlformats.org/officeDocument/2006/relationships/chart" Target="charts/chart138.xml"/><Relationship Id="rId164" Type="http://schemas.openxmlformats.org/officeDocument/2006/relationships/image" Target="media/image16.png"/><Relationship Id="rId169" Type="http://schemas.openxmlformats.org/officeDocument/2006/relationships/chart" Target="charts/chart141.xml"/><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chart" Target="charts/chart15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10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1.xml.rels><?xml version="1.0" encoding="UTF-8" standalone="yes"?>
<Relationships xmlns="http://schemas.openxmlformats.org/package/2006/relationships"><Relationship Id="rId2" Type="http://schemas.openxmlformats.org/officeDocument/2006/relationships/chartUserShapes" Target="../drawings/drawing10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2.xml.rels><?xml version="1.0" encoding="UTF-8" standalone="yes"?>
<Relationships xmlns="http://schemas.openxmlformats.org/package/2006/relationships"><Relationship Id="rId2" Type="http://schemas.openxmlformats.org/officeDocument/2006/relationships/chartUserShapes" Target="../drawings/drawing10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10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10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5.xml.rels><?xml version="1.0" encoding="UTF-8" standalone="yes"?>
<Relationships xmlns="http://schemas.openxmlformats.org/package/2006/relationships"><Relationship Id="rId2" Type="http://schemas.openxmlformats.org/officeDocument/2006/relationships/chartUserShapes" Target="../drawings/drawing10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6.xml.rels><?xml version="1.0" encoding="UTF-8" standalone="yes"?>
<Relationships xmlns="http://schemas.openxmlformats.org/package/2006/relationships"><Relationship Id="rId2" Type="http://schemas.openxmlformats.org/officeDocument/2006/relationships/chartUserShapes" Target="../drawings/drawing10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7.xml.rels><?xml version="1.0" encoding="UTF-8" standalone="yes"?>
<Relationships xmlns="http://schemas.openxmlformats.org/package/2006/relationships"><Relationship Id="rId2" Type="http://schemas.openxmlformats.org/officeDocument/2006/relationships/chartUserShapes" Target="../drawings/drawing10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8.xml.rels><?xml version="1.0" encoding="UTF-8" standalone="yes"?>
<Relationships xmlns="http://schemas.openxmlformats.org/package/2006/relationships"><Relationship Id="rId2" Type="http://schemas.openxmlformats.org/officeDocument/2006/relationships/chartUserShapes" Target="../drawings/drawing10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09.xml.rels><?xml version="1.0" encoding="UTF-8" standalone="yes"?>
<Relationships xmlns="http://schemas.openxmlformats.org/package/2006/relationships"><Relationship Id="rId2" Type="http://schemas.openxmlformats.org/officeDocument/2006/relationships/chartUserShapes" Target="../drawings/drawing10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0.xml.rels><?xml version="1.0" encoding="UTF-8" standalone="yes"?>
<Relationships xmlns="http://schemas.openxmlformats.org/package/2006/relationships"><Relationship Id="rId2" Type="http://schemas.openxmlformats.org/officeDocument/2006/relationships/chartUserShapes" Target="../drawings/drawing11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1.xml.rels><?xml version="1.0" encoding="UTF-8" standalone="yes"?>
<Relationships xmlns="http://schemas.openxmlformats.org/package/2006/relationships"><Relationship Id="rId2" Type="http://schemas.openxmlformats.org/officeDocument/2006/relationships/chartUserShapes" Target="../drawings/drawing11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2.xml.rels><?xml version="1.0" encoding="UTF-8" standalone="yes"?>
<Relationships xmlns="http://schemas.openxmlformats.org/package/2006/relationships"><Relationship Id="rId2" Type="http://schemas.openxmlformats.org/officeDocument/2006/relationships/chartUserShapes" Target="../drawings/drawing11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3.xml.rels><?xml version="1.0" encoding="UTF-8" standalone="yes"?>
<Relationships xmlns="http://schemas.openxmlformats.org/package/2006/relationships"><Relationship Id="rId2" Type="http://schemas.openxmlformats.org/officeDocument/2006/relationships/chartUserShapes" Target="../drawings/drawing11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4.xml.rels><?xml version="1.0" encoding="UTF-8" standalone="yes"?>
<Relationships xmlns="http://schemas.openxmlformats.org/package/2006/relationships"><Relationship Id="rId2" Type="http://schemas.openxmlformats.org/officeDocument/2006/relationships/chartUserShapes" Target="../drawings/drawing11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5.xml.rels><?xml version="1.0" encoding="UTF-8" standalone="yes"?>
<Relationships xmlns="http://schemas.openxmlformats.org/package/2006/relationships"><Relationship Id="rId2" Type="http://schemas.openxmlformats.org/officeDocument/2006/relationships/chartUserShapes" Target="../drawings/drawing11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6.xml.rels><?xml version="1.0" encoding="UTF-8" standalone="yes"?>
<Relationships xmlns="http://schemas.openxmlformats.org/package/2006/relationships"><Relationship Id="rId2" Type="http://schemas.openxmlformats.org/officeDocument/2006/relationships/chartUserShapes" Target="../drawings/drawing11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7.xml.rels><?xml version="1.0" encoding="UTF-8" standalone="yes"?>
<Relationships xmlns="http://schemas.openxmlformats.org/package/2006/relationships"><Relationship Id="rId2" Type="http://schemas.openxmlformats.org/officeDocument/2006/relationships/chartUserShapes" Target="../drawings/drawing11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18.xml.rels><?xml version="1.0" encoding="UTF-8" standalone="yes"?>
<Relationships xmlns="http://schemas.openxmlformats.org/package/2006/relationships"><Relationship Id="rId2" Type="http://schemas.openxmlformats.org/officeDocument/2006/relationships/chartUserShapes" Target="../drawings/drawing118.xml"/><Relationship Id="rId1" Type="http://schemas.openxmlformats.org/officeDocument/2006/relationships/oleObject" Target="file:///C:\Users\apple\Documents\WeChat%20Files\asdqweasdhqm\Files\&#38485;&#35199;--&#20114;&#32852;&#32593;&#22522;&#30784;&#36164;&#28304;-&#32593;&#31449;&#22791;&#26696;-&#32593;&#32476;&#23433;&#20840;-&#20316;&#22270;.xlsx" TargetMode="External"/></Relationships>
</file>

<file path=word/charts/_rels/chart119.xml.rels><?xml version="1.0" encoding="UTF-8" standalone="yes"?>
<Relationships xmlns="http://schemas.openxmlformats.org/package/2006/relationships"><Relationship Id="rId2" Type="http://schemas.openxmlformats.org/officeDocument/2006/relationships/chartUserShapes" Target="../drawings/drawing119.xml"/><Relationship Id="rId1" Type="http://schemas.openxmlformats.org/officeDocument/2006/relationships/oleObject" Target="file:///C:\Users\apple\Documents\WeChat%20Files\asdqweasdhqm\Files\&#38485;&#35199;--&#20114;&#32852;&#32593;&#22522;&#30784;&#36164;&#28304;-&#32593;&#31449;&#22791;&#26696;-&#32593;&#32476;&#23433;&#20840;-&#20316;&#22270;.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20.xml.rels><?xml version="1.0" encoding="UTF-8" standalone="yes"?>
<Relationships xmlns="http://schemas.openxmlformats.org/package/2006/relationships"><Relationship Id="rId2" Type="http://schemas.openxmlformats.org/officeDocument/2006/relationships/chartUserShapes" Target="../drawings/drawing120.xml"/><Relationship Id="rId1" Type="http://schemas.openxmlformats.org/officeDocument/2006/relationships/oleObject" Target="file:///C:\Users\apple\Documents\WeChat%20Files\asdqweasdhqm\Files\&#38485;&#35199;--&#20114;&#32852;&#32593;&#22522;&#30784;&#36164;&#28304;-&#32593;&#31449;&#22791;&#26696;-&#32593;&#32476;&#23433;&#20840;-&#20316;&#22270;.xlsx" TargetMode="External"/></Relationships>
</file>

<file path=word/charts/_rels/chart121.xml.rels><?xml version="1.0" encoding="UTF-8" standalone="yes"?>
<Relationships xmlns="http://schemas.openxmlformats.org/package/2006/relationships"><Relationship Id="rId2" Type="http://schemas.openxmlformats.org/officeDocument/2006/relationships/chartUserShapes" Target="../drawings/drawing121.xml"/><Relationship Id="rId1" Type="http://schemas.openxmlformats.org/officeDocument/2006/relationships/oleObject" Target="file:///C:\Users\apple\Documents\WeChat%20Files\asdqweasdhqm\Files\&#38485;&#35199;--&#20114;&#32852;&#32593;&#22522;&#30784;&#36164;&#28304;-&#32593;&#31449;&#22791;&#26696;-&#32593;&#32476;&#23433;&#20840;-&#20316;&#22270;.xlsx" TargetMode="External"/></Relationships>
</file>

<file path=word/charts/_rels/chart122.xml.rels><?xml version="1.0" encoding="UTF-8" standalone="yes"?>
<Relationships xmlns="http://schemas.openxmlformats.org/package/2006/relationships"><Relationship Id="rId2" Type="http://schemas.openxmlformats.org/officeDocument/2006/relationships/chartUserShapes" Target="../drawings/drawing122.xml"/><Relationship Id="rId1" Type="http://schemas.openxmlformats.org/officeDocument/2006/relationships/oleObject" Target="file:///C:\Users\apple\Documents\WeChat%20Files\asdqweasdhqm\Files\&#38485;&#35199;--&#20114;&#32852;&#32593;&#22522;&#30784;&#36164;&#28304;-&#32593;&#31449;&#22791;&#26696;-&#32593;&#32476;&#23433;&#20840;-&#20316;&#22270;.xlsx" TargetMode="External"/></Relationships>
</file>

<file path=word/charts/_rels/chart123.xml.rels><?xml version="1.0" encoding="UTF-8" standalone="yes"?>
<Relationships xmlns="http://schemas.openxmlformats.org/package/2006/relationships"><Relationship Id="rId2" Type="http://schemas.openxmlformats.org/officeDocument/2006/relationships/chartUserShapes" Target="../drawings/drawing12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24.xml.rels><?xml version="1.0" encoding="UTF-8" standalone="yes"?>
<Relationships xmlns="http://schemas.openxmlformats.org/package/2006/relationships"><Relationship Id="rId2" Type="http://schemas.openxmlformats.org/officeDocument/2006/relationships/chartUserShapes" Target="../drawings/drawing124.xml"/><Relationship Id="rId1" Type="http://schemas.openxmlformats.org/officeDocument/2006/relationships/oleObject" Target="file:///C:\Users\apple\Documents\WeChat%20Files\asdqweasdhqm\Files\&#38485;&#35199;--&#20114;&#32852;&#32593;&#22522;&#30784;&#36164;&#28304;-&#32593;&#31449;&#22791;&#26696;-&#32593;&#32476;&#23433;&#20840;-&#20316;&#22270;.xlsx" TargetMode="External"/></Relationships>
</file>

<file path=word/charts/_rels/chart125.xml.rels><?xml version="1.0" encoding="UTF-8" standalone="yes"?>
<Relationships xmlns="http://schemas.openxmlformats.org/package/2006/relationships"><Relationship Id="rId3" Type="http://schemas.openxmlformats.org/officeDocument/2006/relationships/chartUserShapes" Target="../drawings/drawing125.xml"/><Relationship Id="rId2" Type="http://schemas.openxmlformats.org/officeDocument/2006/relationships/oleObject" Target="file:///C:\Users\42050\Desktop\&#38485;&#35199;--&#20114;&#32852;&#32593;&#22522;&#30784;&#36164;&#28304;-&#32593;&#31449;&#22791;&#26696;-&#32593;&#32476;&#23433;&#20840;-&#20316;&#22270;(1).xlsx" TargetMode="External"/><Relationship Id="rId1" Type="http://schemas.openxmlformats.org/officeDocument/2006/relationships/themeOverride" Target="../theme/themeOverride12.xml"/></Relationships>
</file>

<file path=word/charts/_rels/chart126.xml.rels><?xml version="1.0" encoding="UTF-8" standalone="yes"?>
<Relationships xmlns="http://schemas.openxmlformats.org/package/2006/relationships"><Relationship Id="rId2" Type="http://schemas.openxmlformats.org/officeDocument/2006/relationships/chartUserShapes" Target="../drawings/drawing126.xml"/><Relationship Id="rId1" Type="http://schemas.openxmlformats.org/officeDocument/2006/relationships/oleObject" Target="file:///C:\Users\42050\Desktop\&#38485;&#35199;--&#20114;&#32852;&#32593;&#22522;&#30784;&#36164;&#28304;-&#32593;&#31449;&#22791;&#26696;-&#32593;&#32476;&#23433;&#20840;-&#20316;&#22270;(1).xlsx" TargetMode="External"/></Relationships>
</file>

<file path=word/charts/_rels/chart127.xml.rels><?xml version="1.0" encoding="UTF-8" standalone="yes"?>
<Relationships xmlns="http://schemas.openxmlformats.org/package/2006/relationships"><Relationship Id="rId3" Type="http://schemas.openxmlformats.org/officeDocument/2006/relationships/chartUserShapes" Target="../drawings/drawing127.xml"/><Relationship Id="rId2" Type="http://schemas.openxmlformats.org/officeDocument/2006/relationships/oleObject" Target="file:///C:\Users\42050\Desktop\&#38485;&#35199;--&#20114;&#32852;&#32593;&#22522;&#30784;&#36164;&#28304;-&#32593;&#31449;&#22791;&#26696;-&#32593;&#32476;&#23433;&#20840;-&#20316;&#22270;(1).xlsx" TargetMode="External"/><Relationship Id="rId1" Type="http://schemas.openxmlformats.org/officeDocument/2006/relationships/themeOverride" Target="../theme/themeOverride13.xml"/></Relationships>
</file>

<file path=word/charts/_rels/chart128.xml.rels><?xml version="1.0" encoding="UTF-8" standalone="yes"?>
<Relationships xmlns="http://schemas.openxmlformats.org/package/2006/relationships"><Relationship Id="rId2" Type="http://schemas.openxmlformats.org/officeDocument/2006/relationships/chartUserShapes" Target="../drawings/drawing128.xml"/><Relationship Id="rId1" Type="http://schemas.openxmlformats.org/officeDocument/2006/relationships/oleObject" Target="file:///D:\Work\01_iResearch\01--&#25191;&#34892;&#39033;&#30446;\2018\18004--&#38485;&#35199;&#30465;&#20114;&#32852;&#32593;&#21457;&#23637;&#29366;&#20917;&#25253;&#21578;2017\&#26700;&#38754;&#25991;&#20214;\&#38485;&#35199;&#26032;&#23186;&#20307;-2018&#24180;6&#26376;&#25968;&#25454;\&#38485;&#35199;--&#20114;&#32852;&#32593;&#22522;&#30784;&#36164;&#28304;-&#32593;&#31449;&#22791;&#26696;-&#32593;&#32476;&#23433;&#20840;-&#20316;&#22270;(1).xlsx" TargetMode="External"/></Relationships>
</file>

<file path=word/charts/_rels/chart129.xml.rels><?xml version="1.0" encoding="UTF-8" standalone="yes"?>
<Relationships xmlns="http://schemas.openxmlformats.org/package/2006/relationships"><Relationship Id="rId2" Type="http://schemas.openxmlformats.org/officeDocument/2006/relationships/chartUserShapes" Target="../drawings/drawing129.xml"/><Relationship Id="rId1" Type="http://schemas.openxmlformats.org/officeDocument/2006/relationships/oleObject" Target="file:///D:\Work\01_iResearch\01--&#25191;&#34892;&#39033;&#30446;\2018\18004--&#38485;&#35199;&#30465;&#20114;&#32852;&#32593;&#21457;&#23637;&#29366;&#20917;&#25253;&#21578;2017\&#26700;&#38754;&#25991;&#20214;\&#38485;&#35199;&#26032;&#23186;&#20307;-2018&#24180;6&#26376;&#25968;&#25454;\&#38485;&#35199;--&#20114;&#32852;&#32593;&#22522;&#30784;&#36164;&#28304;-&#32593;&#31449;&#22791;&#26696;-&#32593;&#32476;&#23433;&#20840;-&#20316;&#22270;(1).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30.xml.rels><?xml version="1.0" encoding="UTF-8" standalone="yes"?>
<Relationships xmlns="http://schemas.openxmlformats.org/package/2006/relationships"><Relationship Id="rId2" Type="http://schemas.openxmlformats.org/officeDocument/2006/relationships/chartUserShapes" Target="../drawings/drawing130.xml"/><Relationship Id="rId1" Type="http://schemas.openxmlformats.org/officeDocument/2006/relationships/oleObject" Target="file:///D:\Work\01_iResearch\01--&#25191;&#34892;&#39033;&#30446;\2018\18004--&#38485;&#35199;&#30465;&#20114;&#32852;&#32593;&#21457;&#23637;&#29366;&#20917;&#25253;&#21578;2017\&#26700;&#38754;&#25991;&#20214;\&#38485;&#35199;&#26032;&#23186;&#20307;-2018&#24180;6&#26376;&#25968;&#25454;\&#38485;&#35199;--&#20114;&#32852;&#32593;&#22522;&#30784;&#36164;&#28304;-&#32593;&#31449;&#22791;&#26696;-&#32593;&#32476;&#23433;&#20840;-&#20316;&#22270;(1).xlsx" TargetMode="External"/></Relationships>
</file>

<file path=word/charts/_rels/chart131.xml.rels><?xml version="1.0" encoding="UTF-8" standalone="yes"?>
<Relationships xmlns="http://schemas.openxmlformats.org/package/2006/relationships"><Relationship Id="rId2" Type="http://schemas.openxmlformats.org/officeDocument/2006/relationships/chartUserShapes" Target="../drawings/drawing131.xml"/><Relationship Id="rId1" Type="http://schemas.openxmlformats.org/officeDocument/2006/relationships/oleObject" Target="file:///D:\Work\01_iResearch\01--&#25191;&#34892;&#39033;&#30446;\2018\18004--&#38485;&#35199;&#30465;&#20114;&#32852;&#32593;&#21457;&#23637;&#29366;&#20917;&#25253;&#21578;2017\&#26700;&#38754;&#25991;&#20214;\&#38485;&#35199;&#26032;&#23186;&#20307;-2018&#24180;6&#26376;&#25968;&#25454;\&#38485;&#35199;--&#20114;&#32852;&#32593;&#22522;&#30784;&#36164;&#28304;-&#32593;&#31449;&#22791;&#26696;-&#32593;&#32476;&#23433;&#20840;-&#20316;&#22270;(1).xlsx" TargetMode="External"/></Relationships>
</file>

<file path=word/charts/_rels/chart132.xml.rels><?xml version="1.0" encoding="UTF-8" standalone="yes"?>
<Relationships xmlns="http://schemas.openxmlformats.org/package/2006/relationships"><Relationship Id="rId2" Type="http://schemas.openxmlformats.org/officeDocument/2006/relationships/chartUserShapes" Target="../drawings/drawing132.xml"/><Relationship Id="rId1" Type="http://schemas.openxmlformats.org/officeDocument/2006/relationships/oleObject" Target="file:///D:\Work\01_iResearch\01--&#25191;&#34892;&#39033;&#30446;\2018\18004--&#38485;&#35199;&#30465;&#20114;&#32852;&#32593;&#21457;&#23637;&#29366;&#20917;&#25253;&#21578;2017\03--&#23548;&#20986;&#25968;&#25454;&#21450;&#20316;&#22270;\&#38485;&#35199;--&#20114;&#32852;&#32593;&#22522;&#30784;&#36164;&#28304;-&#32593;&#31449;&#22791;&#26696;-&#32593;&#32476;&#23433;&#20840;-&#20316;&#22270;-20180822.xlsx" TargetMode="External"/></Relationships>
</file>

<file path=word/charts/_rels/chart133.xml.rels><?xml version="1.0" encoding="UTF-8" standalone="yes"?>
<Relationships xmlns="http://schemas.openxmlformats.org/package/2006/relationships"><Relationship Id="rId2" Type="http://schemas.openxmlformats.org/officeDocument/2006/relationships/chartUserShapes" Target="../drawings/drawing133.xml"/><Relationship Id="rId1" Type="http://schemas.openxmlformats.org/officeDocument/2006/relationships/oleObject" Target="file:///D:\Work\01_iResearch\01--&#25191;&#34892;&#39033;&#30446;\2018\18004--&#38485;&#35199;&#30465;&#20114;&#32852;&#32593;&#21457;&#23637;&#29366;&#20917;&#25253;&#21578;2017\03--&#23548;&#20986;&#25968;&#25454;&#21450;&#20316;&#22270;\&#38485;&#35199;--&#20114;&#32852;&#32593;&#22522;&#30784;&#36164;&#28304;-&#32593;&#31449;&#22791;&#26696;-&#32593;&#32476;&#23433;&#20840;-&#20316;&#22270;-20180822.xlsx" TargetMode="External"/></Relationships>
</file>

<file path=word/charts/_rels/chart134.xml.rels><?xml version="1.0" encoding="UTF-8" standalone="yes"?>
<Relationships xmlns="http://schemas.openxmlformats.org/package/2006/relationships"><Relationship Id="rId2" Type="http://schemas.openxmlformats.org/officeDocument/2006/relationships/chartUserShapes" Target="../drawings/drawing134.xml"/><Relationship Id="rId1" Type="http://schemas.openxmlformats.org/officeDocument/2006/relationships/oleObject" Target="file:///C:\Users\apple\Desktop\&#33406;&#29790;&#21672;&#35810;\&#38485;&#35199;--&#20114;&#32852;&#32593;&#22522;&#30784;&#36164;&#28304;-&#32593;&#31449;&#22791;&#26696;-&#32593;&#32476;&#23433;&#20840;-&#20316;&#22270;.xlsx" TargetMode="External"/></Relationships>
</file>

<file path=word/charts/_rels/chart135.xml.rels><?xml version="1.0" encoding="UTF-8" standalone="yes"?>
<Relationships xmlns="http://schemas.openxmlformats.org/package/2006/relationships"><Relationship Id="rId2" Type="http://schemas.openxmlformats.org/officeDocument/2006/relationships/chartUserShapes" Target="../drawings/drawing135.xml"/><Relationship Id="rId1" Type="http://schemas.openxmlformats.org/officeDocument/2006/relationships/oleObject" Target="file:///D:\Work\01_iResearch\01--&#25191;&#34892;&#39033;&#30446;\2018\18004--&#38485;&#35199;&#30465;&#20114;&#32852;&#32593;&#21457;&#23637;&#29366;&#20917;&#25253;&#21578;2017\03--&#23548;&#20986;&#25968;&#25454;&#21450;&#20316;&#22270;\&#38485;&#35199;--&#20114;&#32852;&#32593;&#22522;&#30784;&#36164;&#28304;-&#32593;&#31449;&#22791;&#26696;-&#32593;&#32476;&#23433;&#20840;-&#20316;&#22270;-20180822.xlsx" TargetMode="External"/></Relationships>
</file>

<file path=word/charts/_rels/chart136.xml.rels><?xml version="1.0" encoding="UTF-8" standalone="yes"?>
<Relationships xmlns="http://schemas.openxmlformats.org/package/2006/relationships"><Relationship Id="rId2" Type="http://schemas.openxmlformats.org/officeDocument/2006/relationships/chartUserShapes" Target="../drawings/drawing136.xml"/><Relationship Id="rId1" Type="http://schemas.openxmlformats.org/officeDocument/2006/relationships/oleObject" Target="file:///D:\Work\01_iResearch\01--&#25191;&#34892;&#39033;&#30446;\2018\18004--&#38485;&#35199;&#30465;&#20114;&#32852;&#32593;&#21457;&#23637;&#29366;&#20917;&#25253;&#21578;2017\03--&#23548;&#20986;&#25968;&#25454;&#21450;&#20316;&#22270;\&#38485;&#35199;--&#20114;&#32852;&#32593;&#22522;&#30784;&#36164;&#28304;-&#32593;&#31449;&#22791;&#26696;-&#32593;&#32476;&#23433;&#20840;-&#20316;&#22270;-20180822.xlsx" TargetMode="External"/></Relationships>
</file>

<file path=word/charts/_rels/chart137.xml.rels><?xml version="1.0" encoding="UTF-8" standalone="yes"?>
<Relationships xmlns="http://schemas.openxmlformats.org/package/2006/relationships"><Relationship Id="rId2" Type="http://schemas.openxmlformats.org/officeDocument/2006/relationships/chartUserShapes" Target="../drawings/drawing137.xml"/><Relationship Id="rId1" Type="http://schemas.openxmlformats.org/officeDocument/2006/relationships/oleObject" Target="file:///D:\Work\01_iResearch\01--&#25191;&#34892;&#39033;&#30446;\2018\18004--&#38485;&#35199;&#30465;&#20114;&#32852;&#32593;&#21457;&#23637;&#29366;&#20917;&#25253;&#21578;2017\03--&#23548;&#20986;&#25968;&#25454;&#21450;&#20316;&#22270;\&#38485;&#35199;--&#20114;&#32852;&#32593;&#22522;&#30784;&#36164;&#28304;-&#32593;&#31449;&#22791;&#26696;-&#32593;&#32476;&#23433;&#20840;-&#20316;&#22270;-20180822.xlsx" TargetMode="External"/></Relationships>
</file>

<file path=word/charts/_rels/chart138.xml.rels><?xml version="1.0" encoding="UTF-8" standalone="yes"?>
<Relationships xmlns="http://schemas.openxmlformats.org/package/2006/relationships"><Relationship Id="rId2" Type="http://schemas.openxmlformats.org/officeDocument/2006/relationships/chartUserShapes" Target="../drawings/drawing138.xml"/><Relationship Id="rId1" Type="http://schemas.openxmlformats.org/officeDocument/2006/relationships/oleObject" Target="file:///D:\Work\01_iResearch\01--&#25191;&#34892;&#39033;&#30446;\2018\18001--&#22235;&#24029;&#30465;&#20114;&#32852;&#32593;&#21457;&#23637;&#29366;&#20917;&#25253;&#21578;2017\&#22235;&#24029;&#30465;2017&#25968;&#25454;&#21450;&#20316;&#22270;.xlsx" TargetMode="External"/></Relationships>
</file>

<file path=word/charts/_rels/chart139.xml.rels><?xml version="1.0" encoding="UTF-8" standalone="yes"?>
<Relationships xmlns="http://schemas.openxmlformats.org/package/2006/relationships"><Relationship Id="rId2" Type="http://schemas.openxmlformats.org/officeDocument/2006/relationships/chartUserShapes" Target="../drawings/drawing139.xml"/><Relationship Id="rId1" Type="http://schemas.openxmlformats.org/officeDocument/2006/relationships/oleObject" Target="file:///D:\Work\01_iResearch\01--&#25191;&#34892;&#39033;&#30446;\2018\18001--&#22235;&#24029;&#30465;&#20114;&#32852;&#32593;&#21457;&#23637;&#29366;&#20917;&#25253;&#21578;2017\&#22235;&#24029;&#30465;2017&#25968;&#25454;&#21450;&#20316;&#22270;.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42050\Desktop\&#38485;&#35199;&#30465;&#29992;&#25143;--&#26032;&#23186;&#20307;&#20316;&#22270;--2018&#24180;6&#26376;&#25968;&#25454;.xlsx" TargetMode="External"/></Relationships>
</file>

<file path=word/charts/_rels/chart140.xml.rels><?xml version="1.0" encoding="UTF-8" standalone="yes"?>
<Relationships xmlns="http://schemas.openxmlformats.org/package/2006/relationships"><Relationship Id="rId2" Type="http://schemas.openxmlformats.org/officeDocument/2006/relationships/chartUserShapes" Target="../drawings/drawing14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1.xml.rels><?xml version="1.0" encoding="UTF-8" standalone="yes"?>
<Relationships xmlns="http://schemas.openxmlformats.org/package/2006/relationships"><Relationship Id="rId2" Type="http://schemas.openxmlformats.org/officeDocument/2006/relationships/chartUserShapes" Target="../drawings/drawing14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2.xml.rels><?xml version="1.0" encoding="UTF-8" standalone="yes"?>
<Relationships xmlns="http://schemas.openxmlformats.org/package/2006/relationships"><Relationship Id="rId2" Type="http://schemas.openxmlformats.org/officeDocument/2006/relationships/chartUserShapes" Target="../drawings/drawing14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3.xml.rels><?xml version="1.0" encoding="UTF-8" standalone="yes"?>
<Relationships xmlns="http://schemas.openxmlformats.org/package/2006/relationships"><Relationship Id="rId2" Type="http://schemas.openxmlformats.org/officeDocument/2006/relationships/chartUserShapes" Target="../drawings/drawing14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4.xml.rels><?xml version="1.0" encoding="UTF-8" standalone="yes"?>
<Relationships xmlns="http://schemas.openxmlformats.org/package/2006/relationships"><Relationship Id="rId2" Type="http://schemas.openxmlformats.org/officeDocument/2006/relationships/chartUserShapes" Target="../drawings/drawing14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5.xml.rels><?xml version="1.0" encoding="UTF-8" standalone="yes"?>
<Relationships xmlns="http://schemas.openxmlformats.org/package/2006/relationships"><Relationship Id="rId2" Type="http://schemas.openxmlformats.org/officeDocument/2006/relationships/chartUserShapes" Target="../drawings/drawing14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6.xml.rels><?xml version="1.0" encoding="UTF-8" standalone="yes"?>
<Relationships xmlns="http://schemas.openxmlformats.org/package/2006/relationships"><Relationship Id="rId2" Type="http://schemas.openxmlformats.org/officeDocument/2006/relationships/chartUserShapes" Target="../drawings/drawing14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7.xml.rels><?xml version="1.0" encoding="UTF-8" standalone="yes"?>
<Relationships xmlns="http://schemas.openxmlformats.org/package/2006/relationships"><Relationship Id="rId2" Type="http://schemas.openxmlformats.org/officeDocument/2006/relationships/chartUserShapes" Target="../drawings/drawing14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8.xml.rels><?xml version="1.0" encoding="UTF-8" standalone="yes"?>
<Relationships xmlns="http://schemas.openxmlformats.org/package/2006/relationships"><Relationship Id="rId2" Type="http://schemas.openxmlformats.org/officeDocument/2006/relationships/chartUserShapes" Target="../drawings/drawing14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49.xml.rels><?xml version="1.0" encoding="UTF-8" standalone="yes"?>
<Relationships xmlns="http://schemas.openxmlformats.org/package/2006/relationships"><Relationship Id="rId2" Type="http://schemas.openxmlformats.org/officeDocument/2006/relationships/chartUserShapes" Target="../drawings/drawing14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42050\Desktop\&#38485;&#35199;&#30465;&#29992;&#25143;--&#26032;&#23186;&#20307;&#20316;&#22270;--2018&#24180;6&#26376;&#25968;&#25454;.xlsx" TargetMode="External"/></Relationships>
</file>

<file path=word/charts/_rels/chart150.xml.rels><?xml version="1.0" encoding="UTF-8" standalone="yes"?>
<Relationships xmlns="http://schemas.openxmlformats.org/package/2006/relationships"><Relationship Id="rId2" Type="http://schemas.openxmlformats.org/officeDocument/2006/relationships/chartUserShapes" Target="../drawings/drawing15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51.xml.rels><?xml version="1.0" encoding="UTF-8" standalone="yes"?>
<Relationships xmlns="http://schemas.openxmlformats.org/package/2006/relationships"><Relationship Id="rId2" Type="http://schemas.openxmlformats.org/officeDocument/2006/relationships/chartUserShapes" Target="../drawings/drawing15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52.xml.rels><?xml version="1.0" encoding="UTF-8" standalone="yes"?>
<Relationships xmlns="http://schemas.openxmlformats.org/package/2006/relationships"><Relationship Id="rId2" Type="http://schemas.openxmlformats.org/officeDocument/2006/relationships/chartUserShapes" Target="../drawings/drawing15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53.xml.rels><?xml version="1.0" encoding="UTF-8" standalone="yes"?>
<Relationships xmlns="http://schemas.openxmlformats.org/package/2006/relationships"><Relationship Id="rId2" Type="http://schemas.openxmlformats.org/officeDocument/2006/relationships/chartUserShapes" Target="../drawings/drawing15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54.xml.rels><?xml version="1.0" encoding="UTF-8" standalone="yes"?>
<Relationships xmlns="http://schemas.openxmlformats.org/package/2006/relationships"><Relationship Id="rId2" Type="http://schemas.openxmlformats.org/officeDocument/2006/relationships/chartUserShapes" Target="../drawings/drawing15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55.xml.rels><?xml version="1.0" encoding="UTF-8" standalone="yes"?>
<Relationships xmlns="http://schemas.openxmlformats.org/package/2006/relationships"><Relationship Id="rId2" Type="http://schemas.openxmlformats.org/officeDocument/2006/relationships/chartUserShapes" Target="../drawings/drawing15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156.xml.rels><?xml version="1.0" encoding="UTF-8" standalone="yes"?>
<Relationships xmlns="http://schemas.openxmlformats.org/package/2006/relationships"><Relationship Id="rId2" Type="http://schemas.openxmlformats.org/officeDocument/2006/relationships/chartUserShapes" Target="../drawings/drawing156.xml"/><Relationship Id="rId1" Type="http://schemas.openxmlformats.org/officeDocument/2006/relationships/oleObject" Target="file:///D:\Work\01_iResearch\01--&#25191;&#34892;&#39033;&#30446;\2018\18004--&#38485;&#35199;&#30465;&#20114;&#32852;&#32593;&#21457;&#23637;&#29366;&#20917;&#25253;&#21578;2017\03--&#23548;&#20986;&#25968;&#25454;&#21450;&#20316;&#22270;\&#38485;&#35199;--&#20114;&#32852;&#32593;&#22522;&#30784;&#36164;&#28304;-&#32593;&#31449;&#22791;&#26696;-&#32593;&#32476;&#23433;&#20840;-&#20316;&#22270;-20180822.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42050\Desktop\&#38485;&#35199;&#30465;&#29992;&#25143;--&#26032;&#23186;&#20307;&#20316;&#22270;--2018&#24180;6&#26376;&#25968;&#25454;.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D:\18004--&#38485;&#35199;&#30465;&#20114;&#32852;&#32593;&#21457;&#23637;&#29366;&#20917;&#25253;&#21578;2017\&#26700;&#38754;&#25991;&#20214;\&#38485;&#35199;&#26032;&#23186;&#20307;-2018&#24180;6&#26376;&#25968;&#25454;\&#38485;&#35199;&#30465;&#29992;&#25143;--&#26032;&#23186;&#20307;&#20316;&#22270;--2018&#24180;6&#26376;&#25968;&#25454;.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D:\18004--&#38485;&#35199;&#30465;&#20114;&#32852;&#32593;&#21457;&#23637;&#29366;&#20917;&#25253;&#21578;2017\&#26700;&#38754;&#25991;&#20214;\&#38485;&#35199;&#26032;&#23186;&#20307;-2018&#24180;6&#26376;&#25968;&#25454;\&#38485;&#35199;&#30465;&#29992;&#25143;--&#26032;&#23186;&#20307;&#20316;&#22270;--2018&#24180;6&#26376;&#25968;&#25454;.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28155;&#21152;&#19982;&#20840;&#22269;&#30340;&#23545;&#27604;.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28155;&#21152;&#19982;&#20840;&#22269;&#30340;&#23545;&#27604;.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28155;&#21152;&#19982;&#20840;&#22269;&#30340;&#23545;&#27604;.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28155;&#21152;&#19982;&#20840;&#22269;&#30340;&#23545;&#27604;.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5.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5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5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5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5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5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Work\01_iResearch\01--&#25191;&#34892;&#39033;&#30446;\2018\18004--&#38485;&#35199;&#30465;&#20114;&#32852;&#32593;&#21457;&#23637;&#29366;&#20917;&#25253;&#21578;2017\03--&#23548;&#20986;&#25968;&#25454;&#21450;&#20316;&#22270;\01--&#32593;&#27665;&#35268;&#27169;&#21450;&#22522;&#26412;&#23646;&#24615;&#25968;&#25454;-PC&#31471;-&#20316;&#22270;-&#20005;&#36234;-Ken.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6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28155;&#21152;&#19982;&#20840;&#22269;&#30340;&#23545;&#27604;.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6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6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28155;&#21152;&#19982;&#20840;&#22269;&#30340;&#23545;&#27604;.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6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6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28155;&#21152;&#19982;&#20840;&#22269;&#30340;&#23545;&#27604;.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6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6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67.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1.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68.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2.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69.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Work\01_iResearch\01--&#25191;&#34892;&#39033;&#30446;\2018\18004--&#38485;&#35199;&#30465;&#20114;&#32852;&#32593;&#21457;&#23637;&#29366;&#20917;&#25253;&#21578;2017\03--&#23548;&#20986;&#25968;&#25454;&#21450;&#20316;&#22270;\01--&#32593;&#27665;&#35268;&#27169;&#21450;&#22522;&#26412;&#23646;&#24615;&#25968;&#25454;-PC&#31471;-&#20316;&#22270;-&#20005;&#36234;-Ken.xlsx" TargetMode="Externa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70.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4.xml"/></Relationships>
</file>

<file path=word/charts/_rels/chart71.xml.rels><?xml version="1.0" encoding="UTF-8" standalone="yes"?>
<Relationships xmlns="http://schemas.openxmlformats.org/package/2006/relationships"><Relationship Id="rId2" Type="http://schemas.openxmlformats.org/officeDocument/2006/relationships/chartUserShapes" Target="../drawings/drawing7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72.xml.rels><?xml version="1.0" encoding="UTF-8" standalone="yes"?>
<Relationships xmlns="http://schemas.openxmlformats.org/package/2006/relationships"><Relationship Id="rId3" Type="http://schemas.openxmlformats.org/officeDocument/2006/relationships/chartUserShapes" Target="../drawings/drawing72.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5.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73.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6.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74.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7.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75.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8.xml"/></Relationships>
</file>

<file path=word/charts/_rels/chart76.xml.rels><?xml version="1.0" encoding="UTF-8" standalone="yes"?>
<Relationships xmlns="http://schemas.openxmlformats.org/package/2006/relationships"><Relationship Id="rId2" Type="http://schemas.openxmlformats.org/officeDocument/2006/relationships/chartUserShapes" Target="../drawings/drawing7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77.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9.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78.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10.xml"/></Relationships>
</file>

<file path=word/charts/_rels/chart79.xml.rels><?xml version="1.0" encoding="UTF-8" standalone="yes"?>
<Relationships xmlns="http://schemas.openxmlformats.org/package/2006/relationships"><Relationship Id="rId2" Type="http://schemas.openxmlformats.org/officeDocument/2006/relationships/chartUserShapes" Target="../drawings/drawing7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80.xml"/><Relationship Id="rId2"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 Id="rId1" Type="http://schemas.openxmlformats.org/officeDocument/2006/relationships/themeOverride" Target="../theme/themeOverride11.xml"/></Relationships>
</file>

<file path=word/charts/_rels/chart81.xml.rels><?xml version="1.0" encoding="UTF-8" standalone="yes"?>
<Relationships xmlns="http://schemas.openxmlformats.org/package/2006/relationships"><Relationship Id="rId2" Type="http://schemas.openxmlformats.org/officeDocument/2006/relationships/chartUserShapes" Target="../drawings/drawing8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2.xml.rels><?xml version="1.0" encoding="UTF-8" standalone="yes"?>
<Relationships xmlns="http://schemas.openxmlformats.org/package/2006/relationships"><Relationship Id="rId2" Type="http://schemas.openxmlformats.org/officeDocument/2006/relationships/chartUserShapes" Target="../drawings/drawing8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3.xml.rels><?xml version="1.0" encoding="UTF-8" standalone="yes"?>
<Relationships xmlns="http://schemas.openxmlformats.org/package/2006/relationships"><Relationship Id="rId2" Type="http://schemas.openxmlformats.org/officeDocument/2006/relationships/chartUserShapes" Target="../drawings/drawing8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4.xml.rels><?xml version="1.0" encoding="UTF-8" standalone="yes"?>
<Relationships xmlns="http://schemas.openxmlformats.org/package/2006/relationships"><Relationship Id="rId2" Type="http://schemas.openxmlformats.org/officeDocument/2006/relationships/chartUserShapes" Target="../drawings/drawing8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5.xml.rels><?xml version="1.0" encoding="UTF-8" standalone="yes"?>
<Relationships xmlns="http://schemas.openxmlformats.org/package/2006/relationships"><Relationship Id="rId2" Type="http://schemas.openxmlformats.org/officeDocument/2006/relationships/chartUserShapes" Target="../drawings/drawing8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6.xml.rels><?xml version="1.0" encoding="UTF-8" standalone="yes"?>
<Relationships xmlns="http://schemas.openxmlformats.org/package/2006/relationships"><Relationship Id="rId2" Type="http://schemas.openxmlformats.org/officeDocument/2006/relationships/chartUserShapes" Target="../drawings/drawing8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7.xml.rels><?xml version="1.0" encoding="UTF-8" standalone="yes"?>
<Relationships xmlns="http://schemas.openxmlformats.org/package/2006/relationships"><Relationship Id="rId2" Type="http://schemas.openxmlformats.org/officeDocument/2006/relationships/chartUserShapes" Target="../drawings/drawing8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8.xml.rels><?xml version="1.0" encoding="UTF-8" standalone="yes"?>
<Relationships xmlns="http://schemas.openxmlformats.org/package/2006/relationships"><Relationship Id="rId2" Type="http://schemas.openxmlformats.org/officeDocument/2006/relationships/chartUserShapes" Target="../drawings/drawing8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89.xml.rels><?xml version="1.0" encoding="UTF-8" standalone="yes"?>
<Relationships xmlns="http://schemas.openxmlformats.org/package/2006/relationships"><Relationship Id="rId2" Type="http://schemas.openxmlformats.org/officeDocument/2006/relationships/chartUserShapes" Target="../drawings/drawing8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Work\01_iResearch\01--&#25191;&#34892;&#39033;&#30446;\2018\18004--&#38485;&#35199;&#30465;&#20114;&#32852;&#32593;&#21457;&#23637;&#29366;&#20917;&#25253;&#21578;2017\03--&#23548;&#20986;&#25968;&#25454;&#21450;&#20316;&#22270;\01--&#32593;&#27665;&#35268;&#27169;&#21450;&#22522;&#26412;&#23646;&#24615;&#25968;&#25454;-PC&#31471;-&#20316;&#22270;-&#20005;&#36234;-Ken.xlsx" TargetMode="External"/></Relationships>
</file>

<file path=word/charts/_rels/chart90.xml.rels><?xml version="1.0" encoding="UTF-8" standalone="yes"?>
<Relationships xmlns="http://schemas.openxmlformats.org/package/2006/relationships"><Relationship Id="rId2" Type="http://schemas.openxmlformats.org/officeDocument/2006/relationships/chartUserShapes" Target="../drawings/drawing90.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1.xml.rels><?xml version="1.0" encoding="UTF-8" standalone="yes"?>
<Relationships xmlns="http://schemas.openxmlformats.org/package/2006/relationships"><Relationship Id="rId2" Type="http://schemas.openxmlformats.org/officeDocument/2006/relationships/chartUserShapes" Target="../drawings/drawing91.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92.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3.xml.rels><?xml version="1.0" encoding="UTF-8" standalone="yes"?>
<Relationships xmlns="http://schemas.openxmlformats.org/package/2006/relationships"><Relationship Id="rId2" Type="http://schemas.openxmlformats.org/officeDocument/2006/relationships/chartUserShapes" Target="../drawings/drawing93.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4.xml.rels><?xml version="1.0" encoding="UTF-8" standalone="yes"?>
<Relationships xmlns="http://schemas.openxmlformats.org/package/2006/relationships"><Relationship Id="rId2" Type="http://schemas.openxmlformats.org/officeDocument/2006/relationships/chartUserShapes" Target="../drawings/drawing94.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5.xml.rels><?xml version="1.0" encoding="UTF-8" standalone="yes"?>
<Relationships xmlns="http://schemas.openxmlformats.org/package/2006/relationships"><Relationship Id="rId2" Type="http://schemas.openxmlformats.org/officeDocument/2006/relationships/chartUserShapes" Target="../drawings/drawing95.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6.xml.rels><?xml version="1.0" encoding="UTF-8" standalone="yes"?>
<Relationships xmlns="http://schemas.openxmlformats.org/package/2006/relationships"><Relationship Id="rId2" Type="http://schemas.openxmlformats.org/officeDocument/2006/relationships/chartUserShapes" Target="../drawings/drawing96.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7.xml.rels><?xml version="1.0" encoding="UTF-8" standalone="yes"?>
<Relationships xmlns="http://schemas.openxmlformats.org/package/2006/relationships"><Relationship Id="rId2" Type="http://schemas.openxmlformats.org/officeDocument/2006/relationships/chartUserShapes" Target="../drawings/drawing97.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8.xml.rels><?xml version="1.0" encoding="UTF-8" standalone="yes"?>
<Relationships xmlns="http://schemas.openxmlformats.org/package/2006/relationships"><Relationship Id="rId2" Type="http://schemas.openxmlformats.org/officeDocument/2006/relationships/chartUserShapes" Target="../drawings/drawing98.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_rels/chart99.xml.rels><?xml version="1.0" encoding="UTF-8" standalone="yes"?>
<Relationships xmlns="http://schemas.openxmlformats.org/package/2006/relationships"><Relationship Id="rId2" Type="http://schemas.openxmlformats.org/officeDocument/2006/relationships/chartUserShapes" Target="../drawings/drawing99.xml"/><Relationship Id="rId1" Type="http://schemas.openxmlformats.org/officeDocument/2006/relationships/oleObject" Target="file:///D:\Work\01_iResearch\01--&#25191;&#34892;&#39033;&#30446;\2018\18004--&#38485;&#35199;&#30465;&#20114;&#32852;&#32593;&#21457;&#23637;&#29366;&#20917;&#25253;&#21578;2017\03--&#23548;&#20986;&#25968;&#25454;&#21450;&#20316;&#22270;\2017--&#38485;&#35199;&#30465;&#25968;&#25454;&#21450;&#20316;&#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sz="1200" b="1"/>
              <a:t>2016</a:t>
            </a:r>
            <a:r>
              <a:rPr lang="en-US" altLang="zh-CN" sz="1200" b="1"/>
              <a:t>-2017</a:t>
            </a:r>
            <a:r>
              <a:rPr lang="zh-CN" sz="1200" b="1"/>
              <a:t>年</a:t>
            </a:r>
            <a:r>
              <a:rPr lang="zh-CN" altLang="en-US" sz="1200" b="1"/>
              <a:t>陕西</a:t>
            </a:r>
            <a:r>
              <a:rPr lang="zh-CN" sz="1200" b="1"/>
              <a:t>省网民</a:t>
            </a:r>
            <a:r>
              <a:rPr lang="zh-CN" altLang="en-US" sz="1200" b="1"/>
              <a:t>在移动端使用月独立设备数量</a:t>
            </a:r>
            <a:endParaRPr lang="zh-CN" sz="1200" b="1"/>
          </a:p>
        </c:rich>
      </c:tx>
      <c:spPr>
        <a:noFill/>
        <a:ln w="25400">
          <a:noFill/>
        </a:ln>
      </c:spPr>
    </c:title>
    <c:plotArea>
      <c:layout>
        <c:manualLayout>
          <c:layoutTarget val="inner"/>
          <c:xMode val="edge"/>
          <c:yMode val="edge"/>
          <c:x val="0.11120051563539585"/>
          <c:y val="0.19117849722878918"/>
          <c:w val="0.8421835495675315"/>
          <c:h val="0.44209513888888879"/>
        </c:manualLayout>
      </c:layout>
      <c:barChart>
        <c:barDir val="col"/>
        <c:grouping val="clustered"/>
        <c:ser>
          <c:idx val="1"/>
          <c:order val="0"/>
          <c:tx>
            <c:strRef>
              <c:f>'03-移动端网民基本属性'!$A$14</c:f>
              <c:strCache>
                <c:ptCount val="1"/>
                <c:pt idx="0">
                  <c:v>月独立设备数（万台）</c:v>
                </c:pt>
              </c:strCache>
            </c:strRef>
          </c:tx>
          <c:spPr>
            <a:solidFill>
              <a:srgbClr val="B2D234"/>
            </a:solidFill>
            <a:ln w="12700">
              <a:noFill/>
              <a:prstDash val="solid"/>
            </a:ln>
          </c:spPr>
          <c:dLbls>
            <c:dLbl>
              <c:idx val="1"/>
              <c:layout>
                <c:manualLayout>
                  <c:x val="0"/>
                  <c:y val="1.346480067854114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34-431D-BD7F-BC173CA5A84A}"/>
                </c:ext>
              </c:extLst>
            </c:dLbl>
            <c:dLbl>
              <c:idx val="2"/>
              <c:layout>
                <c:manualLayout>
                  <c:x val="0"/>
                  <c:y val="1.009860050890585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34-431D-BD7F-BC173CA5A84A}"/>
                </c:ext>
              </c:extLst>
            </c:dLbl>
            <c:dLbl>
              <c:idx val="5"/>
              <c:layout>
                <c:manualLayout>
                  <c:x val="0"/>
                  <c:y val="1.346480067854108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34-431D-BD7F-BC173CA5A84A}"/>
                </c:ext>
              </c:extLst>
            </c:dLbl>
            <c:dLbl>
              <c:idx val="7"/>
              <c:layout>
                <c:manualLayout>
                  <c:x val="-9.680856262732071E-17"/>
                  <c:y val="1.346480067854114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34-431D-BD7F-BC173CA5A84A}"/>
                </c:ext>
              </c:extLst>
            </c:dLbl>
            <c:dLbl>
              <c:idx val="8"/>
              <c:layout>
                <c:manualLayout>
                  <c:x val="0"/>
                  <c:y val="-1.009860050890587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34-431D-BD7F-BC173CA5A84A}"/>
                </c:ext>
              </c:extLst>
            </c:dLbl>
            <c:dLbl>
              <c:idx val="9"/>
              <c:layout>
                <c:manualLayout>
                  <c:x val="0"/>
                  <c:y val="2.019720101781171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B34-431D-BD7F-BC173CA5A84A}"/>
                </c:ext>
              </c:extLst>
            </c:dLbl>
            <c:dLbl>
              <c:idx val="11"/>
              <c:layout>
                <c:manualLayout>
                  <c:x val="0"/>
                  <c:y val="1.009860050890581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B34-431D-BD7F-BC173CA5A84A}"/>
                </c:ext>
              </c:extLst>
            </c:dLbl>
            <c:numFmt formatCode="0.0_);[Red]\(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numRef>
              <c:f>'03-移动端网民基本属性'!$C$13:$J$13</c:f>
              <c:numCache>
                <c:formatCode>General</c:formatCode>
                <c:ptCount val="8"/>
                <c:pt idx="0">
                  <c:v>2016.3</c:v>
                </c:pt>
                <c:pt idx="1">
                  <c:v>2016.6</c:v>
                </c:pt>
                <c:pt idx="2">
                  <c:v>2016.9</c:v>
                </c:pt>
                <c:pt idx="3">
                  <c:v>2016.12</c:v>
                </c:pt>
                <c:pt idx="4">
                  <c:v>2017.3</c:v>
                </c:pt>
                <c:pt idx="5">
                  <c:v>2017.6</c:v>
                </c:pt>
                <c:pt idx="6">
                  <c:v>2017.9</c:v>
                </c:pt>
                <c:pt idx="7">
                  <c:v>2017.12</c:v>
                </c:pt>
              </c:numCache>
            </c:numRef>
          </c:cat>
          <c:val>
            <c:numRef>
              <c:f>'03-移动端网民基本属性'!$C$14:$J$14</c:f>
              <c:numCache>
                <c:formatCode>#,##0.00</c:formatCode>
                <c:ptCount val="8"/>
                <c:pt idx="0">
                  <c:v>2643.24</c:v>
                </c:pt>
                <c:pt idx="1">
                  <c:v>3146.3300000000017</c:v>
                </c:pt>
                <c:pt idx="2">
                  <c:v>3229.53</c:v>
                </c:pt>
                <c:pt idx="3">
                  <c:v>3275.3900000000012</c:v>
                </c:pt>
                <c:pt idx="4" formatCode="General">
                  <c:v>3368.2799999999997</c:v>
                </c:pt>
                <c:pt idx="5" formatCode="General">
                  <c:v>3475.16</c:v>
                </c:pt>
                <c:pt idx="6" formatCode="General">
                  <c:v>3596.69</c:v>
                </c:pt>
                <c:pt idx="7">
                  <c:v>3717.8100000000018</c:v>
                </c:pt>
              </c:numCache>
            </c:numRef>
          </c:val>
          <c:extLst xmlns:c16r2="http://schemas.microsoft.com/office/drawing/2015/06/chart">
            <c:ext xmlns:c16="http://schemas.microsoft.com/office/drawing/2014/chart" uri="{C3380CC4-5D6E-409C-BE32-E72D297353CC}">
              <c16:uniqueId val="{00000007-5B34-431D-BD7F-BC173CA5A84A}"/>
            </c:ext>
          </c:extLst>
        </c:ser>
        <c:dLbls>
          <c:showVal val="1"/>
        </c:dLbls>
        <c:gapWidth val="60"/>
        <c:axId val="183141504"/>
        <c:axId val="183143040"/>
      </c:barChart>
      <c:lineChart>
        <c:grouping val="standard"/>
        <c:ser>
          <c:idx val="0"/>
          <c:order val="1"/>
          <c:tx>
            <c:strRef>
              <c:f>'03-移动端网民基本属性'!$A$15</c:f>
              <c:strCache>
                <c:ptCount val="1"/>
                <c:pt idx="0">
                  <c:v>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numRef>
              <c:f>'03-移动端网民基本属性'!$C$13:$J$13</c:f>
              <c:numCache>
                <c:formatCode>General</c:formatCode>
                <c:ptCount val="8"/>
                <c:pt idx="0">
                  <c:v>2016.3</c:v>
                </c:pt>
                <c:pt idx="1">
                  <c:v>2016.6</c:v>
                </c:pt>
                <c:pt idx="2">
                  <c:v>2016.9</c:v>
                </c:pt>
                <c:pt idx="3">
                  <c:v>2016.12</c:v>
                </c:pt>
                <c:pt idx="4">
                  <c:v>2017.3</c:v>
                </c:pt>
                <c:pt idx="5">
                  <c:v>2017.6</c:v>
                </c:pt>
                <c:pt idx="6">
                  <c:v>2017.9</c:v>
                </c:pt>
                <c:pt idx="7">
                  <c:v>2017.12</c:v>
                </c:pt>
              </c:numCache>
            </c:numRef>
          </c:cat>
          <c:val>
            <c:numRef>
              <c:f>'03-移动端网民基本属性'!$C$15:$J$15</c:f>
              <c:numCache>
                <c:formatCode>0.00%</c:formatCode>
                <c:ptCount val="8"/>
                <c:pt idx="1">
                  <c:v>0.19033080613186848</c:v>
                </c:pt>
                <c:pt idx="2">
                  <c:v>2.6443507197274431E-2</c:v>
                </c:pt>
                <c:pt idx="3">
                  <c:v>1.4200208699098441E-2</c:v>
                </c:pt>
                <c:pt idx="4">
                  <c:v>2.835998155944797E-2</c:v>
                </c:pt>
                <c:pt idx="5">
                  <c:v>3.1731328749391247E-2</c:v>
                </c:pt>
                <c:pt idx="6">
                  <c:v>3.4971051692584076E-2</c:v>
                </c:pt>
                <c:pt idx="7">
                  <c:v>3.3675407110426631E-2</c:v>
                </c:pt>
              </c:numCache>
            </c:numRef>
          </c:val>
          <c:extLst xmlns:c16r2="http://schemas.microsoft.com/office/drawing/2015/06/chart">
            <c:ext xmlns:c16="http://schemas.microsoft.com/office/drawing/2014/chart" uri="{C3380CC4-5D6E-409C-BE32-E72D297353CC}">
              <c16:uniqueId val="{00000008-5B34-431D-BD7F-BC173CA5A84A}"/>
            </c:ext>
          </c:extLst>
        </c:ser>
        <c:dLbls>
          <c:showVal val="1"/>
        </c:dLbls>
        <c:marker val="1"/>
        <c:axId val="183153024"/>
        <c:axId val="183154560"/>
      </c:lineChart>
      <c:catAx>
        <c:axId val="18314150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183143040"/>
        <c:crosses val="autoZero"/>
        <c:lblAlgn val="ctr"/>
        <c:lblOffset val="100"/>
        <c:tickLblSkip val="1"/>
        <c:tickMarkSkip val="1"/>
      </c:catAx>
      <c:valAx>
        <c:axId val="183143040"/>
        <c:scaling>
          <c:orientation val="minMax"/>
          <c:max val="600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183141504"/>
        <c:crosses val="autoZero"/>
        <c:crossBetween val="between"/>
        <c:majorUnit val="2000"/>
        <c:minorUnit val="500"/>
      </c:valAx>
      <c:catAx>
        <c:axId val="183153024"/>
        <c:scaling>
          <c:orientation val="minMax"/>
        </c:scaling>
        <c:delete val="1"/>
        <c:axPos val="b"/>
        <c:numFmt formatCode="General" sourceLinked="1"/>
        <c:tickLblPos val="none"/>
        <c:crossAx val="183154560"/>
        <c:crosses val="autoZero"/>
        <c:lblAlgn val="ctr"/>
        <c:lblOffset val="100"/>
      </c:catAx>
      <c:valAx>
        <c:axId val="183154560"/>
        <c:scaling>
          <c:orientation val="minMax"/>
          <c:max val="0.36000000000000126"/>
          <c:min val="-3"/>
        </c:scaling>
        <c:axPos val="r"/>
        <c:numFmt formatCode="General" sourceLinked="1"/>
        <c:majorTickMark val="none"/>
        <c:tickLblPos val="none"/>
        <c:spPr>
          <a:ln w="3175">
            <a:noFill/>
            <a:prstDash val="solid"/>
          </a:ln>
        </c:spPr>
        <c:crossAx val="183153024"/>
        <c:crosses val="max"/>
        <c:crossBetween val="between"/>
        <c:majorUnit val="0.29000000000000031"/>
        <c:minorUnit val="0.29000000000000031"/>
      </c:valAx>
      <c:spPr>
        <a:noFill/>
        <a:ln w="12700">
          <a:noFill/>
          <a:prstDash val="solid"/>
        </a:ln>
      </c:spPr>
    </c:plotArea>
    <c:legend>
      <c:legendPos val="r"/>
      <c:layout>
        <c:manualLayout>
          <c:xMode val="edge"/>
          <c:yMode val="edge"/>
          <c:x val="0.10960765968063872"/>
          <c:y val="0.7344489583333339"/>
          <c:w val="0.78985335166437565"/>
          <c:h val="6.9777083333333406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sz="1200" b="1"/>
              <a:t>2015</a:t>
            </a:r>
            <a:r>
              <a:rPr lang="en-US" altLang="zh-CN" sz="1200" b="1"/>
              <a:t>-</a:t>
            </a:r>
            <a:r>
              <a:rPr lang="en-US" sz="1200" b="1"/>
              <a:t>2017</a:t>
            </a:r>
            <a:r>
              <a:rPr lang="zh-CN" sz="1200" b="1"/>
              <a:t>年</a:t>
            </a:r>
            <a:r>
              <a:rPr lang="zh-CN" altLang="en-US" sz="1200" b="1"/>
              <a:t>陕西省移动端网民性别变化情况</a:t>
            </a:r>
            <a:endParaRPr lang="zh-CN" sz="1200" b="1"/>
          </a:p>
        </c:rich>
      </c:tx>
      <c:layout>
        <c:manualLayout>
          <c:xMode val="edge"/>
          <c:yMode val="edge"/>
          <c:x val="0.16146524258725106"/>
          <c:y val="4.0394402035623472E-2"/>
        </c:manualLayout>
      </c:layout>
      <c:spPr>
        <a:noFill/>
        <a:ln w="25400">
          <a:noFill/>
        </a:ln>
      </c:spPr>
    </c:title>
    <c:plotArea>
      <c:layout>
        <c:manualLayout>
          <c:layoutTarget val="inner"/>
          <c:xMode val="edge"/>
          <c:yMode val="edge"/>
          <c:x val="0.1085591330786622"/>
          <c:y val="0.16424883375742189"/>
          <c:w val="0.8448250305345506"/>
          <c:h val="0.47229097222222238"/>
        </c:manualLayout>
      </c:layout>
      <c:barChart>
        <c:barDir val="col"/>
        <c:grouping val="percentStacked"/>
        <c:ser>
          <c:idx val="1"/>
          <c:order val="0"/>
          <c:tx>
            <c:strRef>
              <c:f>'对比分析-2017'!$B$132</c:f>
              <c:strCache>
                <c:ptCount val="1"/>
                <c:pt idx="0">
                  <c:v>男性</c:v>
                </c:pt>
              </c:strCache>
            </c:strRef>
          </c:tx>
          <c:spPr>
            <a:solidFill>
              <a:srgbClr val="B2D234"/>
            </a:solidFill>
            <a:ln w="12700">
              <a:solidFill>
                <a:srgbClr val="B2D234"/>
              </a:solidFill>
              <a:prstDash val="solid"/>
            </a:ln>
          </c:spPr>
          <c:dLbls>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'对比分析-2017'!$A$133:$A$135</c:f>
              <c:strCache>
                <c:ptCount val="3"/>
                <c:pt idx="0">
                  <c:v>2015年</c:v>
                </c:pt>
                <c:pt idx="1">
                  <c:v>2016年</c:v>
                </c:pt>
                <c:pt idx="2">
                  <c:v>2017年</c:v>
                </c:pt>
              </c:strCache>
            </c:strRef>
          </c:cat>
          <c:val>
            <c:numRef>
              <c:f>'对比分析-2017'!$B$133:$B$135</c:f>
              <c:numCache>
                <c:formatCode>0.00%</c:formatCode>
                <c:ptCount val="3"/>
                <c:pt idx="0">
                  <c:v>0.61600000000000044</c:v>
                </c:pt>
                <c:pt idx="1">
                  <c:v>0.56599999999999995</c:v>
                </c:pt>
                <c:pt idx="2" formatCode="0%">
                  <c:v>0.58000000000000007</c:v>
                </c:pt>
              </c:numCache>
            </c:numRef>
          </c:val>
          <c:extLst xmlns:c16r2="http://schemas.microsoft.com/office/drawing/2015/06/chart">
            <c:ext xmlns:c16="http://schemas.microsoft.com/office/drawing/2014/chart" uri="{C3380CC4-5D6E-409C-BE32-E72D297353CC}">
              <c16:uniqueId val="{00000000-949B-4F2E-A85A-6E46E4C2299B}"/>
            </c:ext>
          </c:extLst>
        </c:ser>
        <c:ser>
          <c:idx val="0"/>
          <c:order val="1"/>
          <c:tx>
            <c:strRef>
              <c:f>'对比分析-2017'!$C$132</c:f>
              <c:strCache>
                <c:ptCount val="1"/>
                <c:pt idx="0">
                  <c:v>女性</c:v>
                </c:pt>
              </c:strCache>
            </c:strRef>
          </c:tx>
          <c:spPr>
            <a:solidFill>
              <a:srgbClr val="1EC8F3"/>
            </a:solidFill>
            <a:ln>
              <a:solidFill>
                <a:srgbClr val="1EC8F3"/>
              </a:solidFill>
            </a:ln>
          </c:spPr>
          <c:dLbls>
            <c:numFmt formatCode="0.0%" sourceLinked="0"/>
            <c:showVal val="1"/>
          </c:dLbls>
          <c:cat>
            <c:strRef>
              <c:f>'对比分析-2017'!$A$133:$A$135</c:f>
              <c:strCache>
                <c:ptCount val="3"/>
                <c:pt idx="0">
                  <c:v>2015年</c:v>
                </c:pt>
                <c:pt idx="1">
                  <c:v>2016年</c:v>
                </c:pt>
                <c:pt idx="2">
                  <c:v>2017年</c:v>
                </c:pt>
              </c:strCache>
            </c:strRef>
          </c:cat>
          <c:val>
            <c:numRef>
              <c:f>'对比分析-2017'!$C$133:$C$135</c:f>
              <c:numCache>
                <c:formatCode>0.00%</c:formatCode>
                <c:ptCount val="3"/>
                <c:pt idx="0">
                  <c:v>0.38400000000000023</c:v>
                </c:pt>
                <c:pt idx="1">
                  <c:v>0.43400000000000022</c:v>
                </c:pt>
                <c:pt idx="2" formatCode="0%">
                  <c:v>0.42000000000000021</c:v>
                </c:pt>
              </c:numCache>
            </c:numRef>
          </c:val>
        </c:ser>
        <c:gapWidth val="60"/>
        <c:overlap val="100"/>
        <c:axId val="209024512"/>
        <c:axId val="208872192"/>
      </c:barChart>
      <c:catAx>
        <c:axId val="2090245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08872192"/>
        <c:crosses val="autoZero"/>
        <c:lblAlgn val="ctr"/>
        <c:lblOffset val="100"/>
        <c:tickLblSkip val="1"/>
        <c:tickMarkSkip val="1"/>
      </c:catAx>
      <c:valAx>
        <c:axId val="208872192"/>
        <c:scaling>
          <c:orientation val="minMax"/>
          <c:max val="1"/>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09024512"/>
        <c:crosses val="autoZero"/>
        <c:crossBetween val="between"/>
        <c:majorUnit val="0.2"/>
        <c:minorUnit val="0.1"/>
      </c:valAx>
      <c:spPr>
        <a:noFill/>
        <a:ln w="12700">
          <a:solidFill>
            <a:schemeClr val="bg1">
              <a:lumMod val="50000"/>
            </a:schemeClr>
          </a:solidFill>
          <a:prstDash val="solid"/>
        </a:ln>
      </c:spPr>
    </c:plotArea>
    <c:legend>
      <c:legendPos val="r"/>
      <c:layout>
        <c:manualLayout>
          <c:xMode val="edge"/>
          <c:yMode val="edge"/>
          <c:x val="0.13336950702944311"/>
          <c:y val="0.71750694444444441"/>
          <c:w val="0.79006283620488094"/>
          <c:h val="6.365086938083119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游戏服务</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7.9513888888888939E-2"/>
          <c:y val="0.18739422809169182"/>
          <c:w val="0.87387017631403918"/>
          <c:h val="0.43959618055555577"/>
        </c:manualLayout>
      </c:layout>
      <c:barChart>
        <c:barDir val="col"/>
        <c:grouping val="clustered"/>
        <c:ser>
          <c:idx val="1"/>
          <c:order val="0"/>
          <c:tx>
            <c:strRef>
              <c:f>'05-移动端十大类APP网络使用黏性'!$A$233</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'05-移动端十大类APP网络使用黏性'!$B$232:$M$232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'05-移动端十大类APP网络使用黏性'!$B$233:$M$233</c:f>
              <c:numCache>
                <c:formatCode>General</c:formatCode>
                <c:ptCount val="12"/>
                <c:pt idx="0">
                  <c:v>15.81</c:v>
                </c:pt>
                <c:pt idx="1">
                  <c:v>16.29</c:v>
                </c:pt>
                <c:pt idx="2">
                  <c:v>16.649999999999999</c:v>
                </c:pt>
                <c:pt idx="3">
                  <c:v>16.36</c:v>
                </c:pt>
                <c:pt idx="4">
                  <c:v>16.260000000000002</c:v>
                </c:pt>
                <c:pt idx="5">
                  <c:v>16.260000000000002</c:v>
                </c:pt>
                <c:pt idx="6">
                  <c:v>14.350000000000007</c:v>
                </c:pt>
                <c:pt idx="7">
                  <c:v>13.14</c:v>
                </c:pt>
                <c:pt idx="8">
                  <c:v>12.63</c:v>
                </c:pt>
                <c:pt idx="9">
                  <c:v>11.89</c:v>
                </c:pt>
                <c:pt idx="10">
                  <c:v>11.39</c:v>
                </c:pt>
                <c:pt idx="11">
                  <c:v>11.55</c:v>
                </c:pt>
              </c:numCache>
            </c:numRef>
          </c:val>
          <c:extLst xmlns:c16r2="http://schemas.microsoft.com/office/drawing/2015/06/chart">
            <c:ext xmlns:c16="http://schemas.microsoft.com/office/drawing/2014/chart" uri="{C3380CC4-5D6E-409C-BE32-E72D297353CC}">
              <c16:uniqueId val="{00000000-1EDE-4B11-961A-97B37047DC2F}"/>
            </c:ext>
          </c:extLst>
        </c:ser>
        <c:dLbls>
          <c:showVal val="1"/>
        </c:dLbls>
        <c:gapWidth val="60"/>
        <c:axId val="259244800"/>
        <c:axId val="259246336"/>
      </c:barChart>
      <c:lineChart>
        <c:grouping val="standard"/>
        <c:ser>
          <c:idx val="0"/>
          <c:order val="1"/>
          <c:tx>
            <c:strRef>
              <c:f>'05-移动端十大类APP网络使用黏性'!$A$234</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DE-4B11-961A-97B37047DC2F}"/>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DE-4B11-961A-97B37047DC2F}"/>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DE-4B11-961A-97B37047DC2F}"/>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EDE-4B11-961A-97B37047DC2F}"/>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'05-移动端十大类APP网络使用黏性'!$B$232:$M$232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'05-移动端十大类APP网络使用黏性'!$B$234:$M$234</c:f>
              <c:numCache>
                <c:formatCode>0.0%</c:formatCode>
                <c:ptCount val="12"/>
                <c:pt idx="1">
                  <c:v>3.0360531309297816E-2</c:v>
                </c:pt>
                <c:pt idx="2">
                  <c:v>2.2099447513812136E-2</c:v>
                </c:pt>
                <c:pt idx="3">
                  <c:v>-1.741741741741732E-2</c:v>
                </c:pt>
                <c:pt idx="4">
                  <c:v>-6.1124694376526499E-3</c:v>
                </c:pt>
                <c:pt idx="5">
                  <c:v>0</c:v>
                </c:pt>
                <c:pt idx="6">
                  <c:v>-0.11746617466174669</c:v>
                </c:pt>
                <c:pt idx="7">
                  <c:v>-8.4320557491289222E-2</c:v>
                </c:pt>
                <c:pt idx="8">
                  <c:v>-3.8812785388127831E-2</c:v>
                </c:pt>
                <c:pt idx="9">
                  <c:v>-5.8590657165479072E-2</c:v>
                </c:pt>
                <c:pt idx="10">
                  <c:v>-4.2052144659377684E-2</c:v>
                </c:pt>
                <c:pt idx="11">
                  <c:v>1.4047410008779737E-2</c:v>
                </c:pt>
              </c:numCache>
            </c:numRef>
          </c:val>
          <c:extLst xmlns:c16r2="http://schemas.microsoft.com/office/drawing/2015/06/chart">
            <c:ext xmlns:c16="http://schemas.microsoft.com/office/drawing/2014/chart" uri="{C3380CC4-5D6E-409C-BE32-E72D297353CC}">
              <c16:uniqueId val="{00000005-1EDE-4B11-961A-97B37047DC2F}"/>
            </c:ext>
          </c:extLst>
        </c:ser>
        <c:dLbls>
          <c:showVal val="1"/>
        </c:dLbls>
        <c:marker val="1"/>
        <c:axId val="259247488"/>
        <c:axId val="259404928"/>
      </c:lineChart>
      <c:catAx>
        <c:axId val="25924480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246336"/>
        <c:crosses val="autoZero"/>
        <c:lblAlgn val="ctr"/>
        <c:lblOffset val="100"/>
        <c:tickLblSkip val="1"/>
        <c:tickMarkSkip val="1"/>
      </c:catAx>
      <c:valAx>
        <c:axId val="259246336"/>
        <c:scaling>
          <c:orientation val="minMax"/>
          <c:max val="3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244800"/>
        <c:crosses val="autoZero"/>
        <c:crossBetween val="between"/>
        <c:majorUnit val="5"/>
      </c:valAx>
      <c:catAx>
        <c:axId val="259247488"/>
        <c:scaling>
          <c:orientation val="minMax"/>
        </c:scaling>
        <c:delete val="1"/>
        <c:axPos val="b"/>
        <c:numFmt formatCode="General" sourceLinked="1"/>
        <c:tickLblPos val="none"/>
        <c:crossAx val="259404928"/>
        <c:crosses val="autoZero"/>
        <c:lblAlgn val="ctr"/>
        <c:lblOffset val="100"/>
      </c:catAx>
      <c:valAx>
        <c:axId val="259404928"/>
        <c:scaling>
          <c:orientation val="minMax"/>
          <c:max val="0.30000000000000027"/>
          <c:min val="-1.7"/>
        </c:scaling>
        <c:axPos val="r"/>
        <c:numFmt formatCode="General" sourceLinked="1"/>
        <c:majorTickMark val="none"/>
        <c:tickLblPos val="none"/>
        <c:spPr>
          <a:ln w="3175">
            <a:noFill/>
            <a:prstDash val="solid"/>
          </a:ln>
        </c:spPr>
        <c:crossAx val="259247488"/>
        <c:crosses val="max"/>
        <c:crossBetween val="between"/>
        <c:majorUnit val="0.29000000000000031"/>
        <c:minorUnit val="0.29000000000000031"/>
      </c:valAx>
      <c:spPr>
        <a:noFill/>
        <a:ln w="12700">
          <a:noFill/>
          <a:prstDash val="solid"/>
        </a:ln>
      </c:spPr>
    </c:plotArea>
    <c:legend>
      <c:legendPos val="r"/>
      <c:layout>
        <c:manualLayout>
          <c:xMode val="edge"/>
          <c:yMode val="edge"/>
          <c:x val="9.3764346307385366E-2"/>
          <c:y val="0.72104444444444504"/>
          <c:w val="0.78985335166437565"/>
          <c:h val="8.3006250000000045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1.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网民常用游戏服务类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21331462075848301"/>
          <c:y val="2.9817901234567901E-2"/>
        </c:manualLayout>
      </c:layout>
    </c:title>
    <c:plotArea>
      <c:layout>
        <c:manualLayout>
          <c:layoutTarget val="inner"/>
          <c:xMode val="edge"/>
          <c:yMode val="edge"/>
          <c:x val="0.25885325498041178"/>
          <c:y val="0.12935092592592587"/>
          <c:w val="0.67076664999583224"/>
          <c:h val="0.56014382716049438"/>
        </c:manualLayout>
      </c:layout>
      <c:barChart>
        <c:barDir val="bar"/>
        <c:grouping val="clustered"/>
        <c:ser>
          <c:idx val="1"/>
          <c:order val="0"/>
          <c:tx>
            <c:strRef>
              <c:f>'06-移动端十大类APP-Top10'!$D$150</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'06-移动端十大类APP-Top10'!$C$151:$C$160</c:f>
              <c:strCache>
                <c:ptCount val="10"/>
                <c:pt idx="0">
                  <c:v>穿越火线：枪战王者</c:v>
                </c:pt>
                <c:pt idx="1">
                  <c:v>球球大作战</c:v>
                </c:pt>
                <c:pt idx="2">
                  <c:v>天天象棋</c:v>
                </c:pt>
                <c:pt idx="3">
                  <c:v>天天爱消除</c:v>
                </c:pt>
                <c:pt idx="4">
                  <c:v>宾果消消消</c:v>
                </c:pt>
                <c:pt idx="5">
                  <c:v>腾讯欢乐麻将</c:v>
                </c:pt>
                <c:pt idx="6">
                  <c:v>荒野行动</c:v>
                </c:pt>
                <c:pt idx="7">
                  <c:v>开心消消乐</c:v>
                </c:pt>
                <c:pt idx="8">
                  <c:v>QQ欢乐斗地主</c:v>
                </c:pt>
                <c:pt idx="9">
                  <c:v>王者荣耀</c:v>
                </c:pt>
              </c:strCache>
            </c:strRef>
          </c:cat>
          <c:val>
            <c:numRef>
              <c:f>'06-移动端十大类APP-Top10'!$D$151:$D$160</c:f>
              <c:numCache>
                <c:formatCode>0.00%</c:formatCode>
                <c:ptCount val="10"/>
                <c:pt idx="0">
                  <c:v>3.2900000000000006E-2</c:v>
                </c:pt>
                <c:pt idx="1">
                  <c:v>3.32E-2</c:v>
                </c:pt>
                <c:pt idx="2">
                  <c:v>3.6500000000000005E-2</c:v>
                </c:pt>
                <c:pt idx="3">
                  <c:v>3.790000000000001E-2</c:v>
                </c:pt>
                <c:pt idx="4">
                  <c:v>3.9199999999999999E-2</c:v>
                </c:pt>
                <c:pt idx="5">
                  <c:v>4.5200000000000004E-2</c:v>
                </c:pt>
                <c:pt idx="6">
                  <c:v>6.450000000000003E-2</c:v>
                </c:pt>
                <c:pt idx="7">
                  <c:v>0.11650000000000002</c:v>
                </c:pt>
                <c:pt idx="8">
                  <c:v>0.13</c:v>
                </c:pt>
                <c:pt idx="9">
                  <c:v>0.19489999999999999</c:v>
                </c:pt>
              </c:numCache>
            </c:numRef>
          </c:val>
          <c:extLst xmlns:c16r2="http://schemas.microsoft.com/office/drawing/2015/06/chart">
            <c:ext xmlns:c16="http://schemas.microsoft.com/office/drawing/2014/chart" uri="{C3380CC4-5D6E-409C-BE32-E72D297353CC}">
              <c16:uniqueId val="{00000000-F838-4135-B96A-8F6C661FFCDC}"/>
            </c:ext>
          </c:extLst>
        </c:ser>
        <c:dLbls>
          <c:showVal val="1"/>
        </c:dLbls>
        <c:gapWidth val="60"/>
        <c:axId val="259474944"/>
        <c:axId val="259476480"/>
      </c:barChart>
      <c:catAx>
        <c:axId val="259474944"/>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59476480"/>
        <c:crosses val="autoZero"/>
        <c:auto val="1"/>
        <c:lblAlgn val="ctr"/>
        <c:lblOffset val="100"/>
      </c:catAx>
      <c:valAx>
        <c:axId val="259476480"/>
        <c:scaling>
          <c:orientation val="minMax"/>
          <c:max val="0.25"/>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59474944"/>
        <c:crosses val="autoZero"/>
        <c:crossBetween val="between"/>
        <c:majorUnit val="5.0000000000000024E-2"/>
        <c:minorUnit val="5.0000000000000024E-2"/>
      </c:valAx>
      <c:spPr>
        <a:ln>
          <a:noFill/>
        </a:ln>
      </c:spPr>
    </c:plotArea>
    <c:legend>
      <c:legendPos val="b"/>
      <c:layout>
        <c:manualLayout>
          <c:xMode val="edge"/>
          <c:yMode val="edge"/>
          <c:x val="0.39823249334664057"/>
          <c:y val="0.77037314814814861"/>
          <c:w val="0.28424626990080892"/>
          <c:h val="6.6938888888888895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10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年陕西省网民使用音乐音频</a:t>
            </a:r>
            <a:r>
              <a:rPr lang="en-US" sz="1200" b="1"/>
              <a:t>APP</a:t>
            </a:r>
            <a:r>
              <a:rPr lang="zh-CN" altLang="en-US" sz="1200" b="1"/>
              <a:t>月独立设备数比例</a:t>
            </a:r>
          </a:p>
        </c:rich>
      </c:tx>
      <c:layout>
        <c:manualLayout>
          <c:xMode val="edge"/>
          <c:yMode val="edge"/>
          <c:x val="0.11437208915502323"/>
          <c:y val="2.3670857694762081E-2"/>
        </c:manualLayout>
      </c:layout>
      <c:spPr>
        <a:noFill/>
        <a:ln w="25400">
          <a:noFill/>
        </a:ln>
      </c:spPr>
    </c:title>
    <c:plotArea>
      <c:layout>
        <c:manualLayout>
          <c:layoutTarget val="inner"/>
          <c:xMode val="edge"/>
          <c:yMode val="edge"/>
          <c:x val="0.10591941117764465"/>
          <c:y val="0.19600972222222221"/>
          <c:w val="0.83690244510978062"/>
          <c:h val="0.43558750000000035"/>
        </c:manualLayout>
      </c:layout>
      <c:areaChart>
        <c:grouping val="standard"/>
        <c:ser>
          <c:idx val="1"/>
          <c:order val="0"/>
          <c:tx>
            <c:strRef>
              <c:f>'05-移动端十大类APP网络使用黏性'!$A$195</c:f>
              <c:strCache>
                <c:ptCount val="1"/>
                <c:pt idx="0">
                  <c:v>月独立设备数比例</c:v>
                </c:pt>
              </c:strCache>
            </c:strRef>
          </c:tx>
          <c:spPr>
            <a:solidFill>
              <a:srgbClr val="B2D234"/>
            </a:solidFill>
            <a:ln w="12700">
              <a:noFill/>
              <a:prstDash val="solid"/>
            </a:ln>
          </c:spPr>
          <c:dLbls>
            <c:dLbl>
              <c:idx val="0"/>
              <c:delete val="1"/>
            </c:dLbl>
            <c:dLbl>
              <c:idx val="1"/>
              <c:layout>
                <c:manualLayout>
                  <c:x val="-1.5843313373253492E-2"/>
                  <c:y val="-0.1455208333333334"/>
                </c:manualLayout>
              </c:layout>
              <c:showVal val="1"/>
            </c:dLbl>
            <c:dLbl>
              <c:idx val="2"/>
              <c:delete val="1"/>
            </c:dLbl>
            <c:dLbl>
              <c:idx val="3"/>
              <c:layout>
                <c:manualLayout>
                  <c:x val="-5.2811044577511703E-3"/>
                  <c:y val="-0.20725694444444456"/>
                </c:manualLayout>
              </c:layout>
              <c:showVal val="1"/>
            </c:dLbl>
            <c:dLbl>
              <c:idx val="4"/>
              <c:delete val="1"/>
            </c:dLbl>
            <c:dLbl>
              <c:idx val="5"/>
              <c:layout>
                <c:manualLayout>
                  <c:x val="7.9216566866267494E-3"/>
                  <c:y val="-0.2116666666666667"/>
                </c:manualLayout>
              </c:layout>
              <c:showVal val="1"/>
            </c:dLbl>
            <c:dLbl>
              <c:idx val="6"/>
              <c:delete val="1"/>
            </c:dLbl>
            <c:dLbl>
              <c:idx val="7"/>
              <c:layout>
                <c:manualLayout>
                  <c:x val="7.9216566866267494E-3"/>
                  <c:y val="-0.22489583333333341"/>
                </c:manualLayout>
              </c:layout>
              <c:showVal val="1"/>
            </c:dLbl>
            <c:dLbl>
              <c:idx val="8"/>
              <c:delete val="1"/>
            </c:dLbl>
            <c:dLbl>
              <c:idx val="9"/>
              <c:layout>
                <c:manualLayout>
                  <c:x val="0"/>
                  <c:y val="-0.21607638888888894"/>
                </c:manualLayout>
              </c:layout>
              <c:showVal val="1"/>
            </c:dLbl>
            <c:dLbl>
              <c:idx val="10"/>
              <c:delete val="1"/>
            </c:dLbl>
            <c:dLbl>
              <c:idx val="11"/>
              <c:layout>
                <c:manualLayout>
                  <c:x val="-2.6405522288755856E-3"/>
                  <c:y val="-0.22930555555555557"/>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'05-移动端十大类APP网络使用黏性'!$B$194:$M$194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'05-移动端十大类APP网络使用黏性'!$B$195:$M$195</c:f>
              <c:numCache>
                <c:formatCode>0.00%</c:formatCode>
                <c:ptCount val="12"/>
                <c:pt idx="0">
                  <c:v>0.59899198877152049</c:v>
                </c:pt>
                <c:pt idx="1">
                  <c:v>0.59253469481914933</c:v>
                </c:pt>
                <c:pt idx="2">
                  <c:v>0.6839009821036256</c:v>
                </c:pt>
                <c:pt idx="3">
                  <c:v>0.69710393333136311</c:v>
                </c:pt>
                <c:pt idx="4">
                  <c:v>0.71305313712638463</c:v>
                </c:pt>
                <c:pt idx="5">
                  <c:v>0.70207702666927618</c:v>
                </c:pt>
                <c:pt idx="6">
                  <c:v>0.70564279080863235</c:v>
                </c:pt>
                <c:pt idx="7">
                  <c:v>0.72545797134721779</c:v>
                </c:pt>
                <c:pt idx="8">
                  <c:v>0.722695033489126</c:v>
                </c:pt>
                <c:pt idx="9">
                  <c:v>0.71881352748806782</c:v>
                </c:pt>
                <c:pt idx="10">
                  <c:v>0.73764226191293358</c:v>
                </c:pt>
                <c:pt idx="11">
                  <c:v>0.72494559969444439</c:v>
                </c:pt>
              </c:numCache>
            </c:numRef>
          </c:val>
          <c:extLst xmlns:c16r2="http://schemas.microsoft.com/office/drawing/2015/06/chart">
            <c:ext xmlns:c16="http://schemas.microsoft.com/office/drawing/2014/chart" uri="{C3380CC4-5D6E-409C-BE32-E72D297353CC}">
              <c16:uniqueId val="{00000000-2178-4C93-AA0D-B1E8BC49DB45}"/>
            </c:ext>
          </c:extLst>
        </c:ser>
        <c:dLbls>
          <c:showVal val="1"/>
        </c:dLbls>
        <c:axId val="259657728"/>
        <c:axId val="259659264"/>
      </c:areaChart>
      <c:catAx>
        <c:axId val="25965772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659264"/>
        <c:crosses val="autoZero"/>
        <c:lblAlgn val="ctr"/>
        <c:lblOffset val="100"/>
        <c:tickLblSkip val="1"/>
        <c:tickMarkSkip val="1"/>
      </c:catAx>
      <c:valAx>
        <c:axId val="259659264"/>
        <c:scaling>
          <c:orientation val="minMax"/>
          <c:max val="0.8"/>
          <c:min val="0.4"/>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657728"/>
        <c:crosses val="autoZero"/>
        <c:crossBetween val="midCat"/>
        <c:majorUnit val="0.1"/>
        <c:minorUnit val="0.1"/>
      </c:valAx>
      <c:spPr>
        <a:noFill/>
        <a:ln w="12700">
          <a:noFill/>
          <a:prstDash val="solid"/>
        </a:ln>
      </c:spPr>
    </c:plotArea>
    <c:legend>
      <c:legendPos val="r"/>
      <c:layout>
        <c:manualLayout>
          <c:xMode val="edge"/>
          <c:yMode val="edge"/>
          <c:x val="0.11488855622089149"/>
          <c:y val="0.73600555555555613"/>
          <c:w val="0.78985335166437565"/>
          <c:h val="6.9777083333333434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年陕西省网民使用音乐音频</a:t>
            </a:r>
            <a:r>
              <a:rPr lang="en-US" sz="1200" b="1"/>
              <a:t>APP</a:t>
            </a:r>
            <a:r>
              <a:rPr lang="zh-CN" altLang="en-US" sz="1200" b="1"/>
              <a:t>单机使用天数</a:t>
            </a:r>
            <a:endParaRPr lang="zh-CN" sz="1200" b="1"/>
          </a:p>
        </c:rich>
      </c:tx>
      <c:spPr>
        <a:noFill/>
        <a:ln w="25400">
          <a:noFill/>
        </a:ln>
      </c:spPr>
    </c:title>
    <c:plotArea>
      <c:layout>
        <c:manualLayout>
          <c:layoutTarget val="inner"/>
          <c:xMode val="edge"/>
          <c:yMode val="edge"/>
          <c:x val="9.0076097804391214E-2"/>
          <c:y val="0.19117848956663233"/>
          <c:w val="0.86330796739853666"/>
          <c:h val="0.42436284722222273"/>
        </c:manualLayout>
      </c:layout>
      <c:barChart>
        <c:barDir val="col"/>
        <c:grouping val="clustered"/>
        <c:ser>
          <c:idx val="1"/>
          <c:order val="0"/>
          <c:tx>
            <c:strRef>
              <c:f>'05-移动端十大类APP网络使用黏性'!$A$200</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'05-移动端十大类APP网络使用黏性'!$B$199:$M$199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'05-移动端十大类APP网络使用黏性'!$B$200:$M$200</c:f>
              <c:numCache>
                <c:formatCode>General</c:formatCode>
                <c:ptCount val="12"/>
                <c:pt idx="0">
                  <c:v>8.9700000000000006</c:v>
                </c:pt>
                <c:pt idx="1">
                  <c:v>7.89</c:v>
                </c:pt>
                <c:pt idx="2">
                  <c:v>8.9500000000000028</c:v>
                </c:pt>
                <c:pt idx="3">
                  <c:v>8.52</c:v>
                </c:pt>
                <c:pt idx="4">
                  <c:v>8.74</c:v>
                </c:pt>
                <c:pt idx="5">
                  <c:v>8.39</c:v>
                </c:pt>
                <c:pt idx="6">
                  <c:v>8.68</c:v>
                </c:pt>
                <c:pt idx="7">
                  <c:v>8.73</c:v>
                </c:pt>
                <c:pt idx="8">
                  <c:v>8.3500000000000068</c:v>
                </c:pt>
                <c:pt idx="9">
                  <c:v>8.59</c:v>
                </c:pt>
                <c:pt idx="10">
                  <c:v>8.620000000000001</c:v>
                </c:pt>
                <c:pt idx="11">
                  <c:v>8.76</c:v>
                </c:pt>
              </c:numCache>
            </c:numRef>
          </c:val>
          <c:extLst xmlns:c16r2="http://schemas.microsoft.com/office/drawing/2015/06/chart">
            <c:ext xmlns:c16="http://schemas.microsoft.com/office/drawing/2014/chart" uri="{C3380CC4-5D6E-409C-BE32-E72D297353CC}">
              <c16:uniqueId val="{00000000-18FC-4365-A58F-7BE6E8BC8E11}"/>
            </c:ext>
          </c:extLst>
        </c:ser>
        <c:dLbls>
          <c:showVal val="1"/>
        </c:dLbls>
        <c:gapWidth val="60"/>
        <c:axId val="259570688"/>
        <c:axId val="259580672"/>
      </c:barChart>
      <c:lineChart>
        <c:grouping val="standard"/>
        <c:ser>
          <c:idx val="0"/>
          <c:order val="1"/>
          <c:tx>
            <c:strRef>
              <c:f>'05-移动端十大类APP网络使用黏性'!$A$201</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FC-4365-A58F-7BE6E8BC8E11}"/>
                </c:ext>
              </c:extLst>
            </c:dLbl>
            <c:dLbl>
              <c:idx val="1"/>
              <c:layout>
                <c:manualLayout>
                  <c:x val="-6.8743554557551573E-2"/>
                  <c:y val="-5.1819444444444487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8FC-4365-A58F-7BE6E8BC8E11}"/>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8FC-4365-A58F-7BE6E8BC8E11}"/>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8FC-4365-A58F-7BE6E8BC8E11}"/>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'05-移动端十大类APP网络使用黏性'!$B$199:$M$199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'05-移动端十大类APP网络使用黏性'!$B$201:$M$201</c:f>
              <c:numCache>
                <c:formatCode>0.0%</c:formatCode>
                <c:ptCount val="12"/>
                <c:pt idx="1">
                  <c:v>-0.12040133779264223</c:v>
                </c:pt>
                <c:pt idx="2">
                  <c:v>0.13434727503168564</c:v>
                </c:pt>
                <c:pt idx="3">
                  <c:v>-4.8044692737430172E-2</c:v>
                </c:pt>
                <c:pt idx="4">
                  <c:v>2.5821596244131474E-2</c:v>
                </c:pt>
                <c:pt idx="5">
                  <c:v>-4.0045766590388901E-2</c:v>
                </c:pt>
                <c:pt idx="6">
                  <c:v>3.4564958283670899E-2</c:v>
                </c:pt>
                <c:pt idx="7">
                  <c:v>5.7603686635945353E-3</c:v>
                </c:pt>
                <c:pt idx="8">
                  <c:v>-4.3528064146620922E-2</c:v>
                </c:pt>
                <c:pt idx="9">
                  <c:v>2.8742514970059981E-2</c:v>
                </c:pt>
                <c:pt idx="10">
                  <c:v>3.4924330616996641E-3</c:v>
                </c:pt>
                <c:pt idx="11">
                  <c:v>1.6241299303944471E-2</c:v>
                </c:pt>
              </c:numCache>
            </c:numRef>
          </c:val>
          <c:extLst xmlns:c16r2="http://schemas.microsoft.com/office/drawing/2015/06/chart">
            <c:ext xmlns:c16="http://schemas.microsoft.com/office/drawing/2014/chart" uri="{C3380CC4-5D6E-409C-BE32-E72D297353CC}">
              <c16:uniqueId val="{00000005-18FC-4365-A58F-7BE6E8BC8E11}"/>
            </c:ext>
          </c:extLst>
        </c:ser>
        <c:dLbls>
          <c:showVal val="1"/>
        </c:dLbls>
        <c:marker val="1"/>
        <c:axId val="259582208"/>
        <c:axId val="259719168"/>
      </c:lineChart>
      <c:catAx>
        <c:axId val="25957068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580672"/>
        <c:crosses val="autoZero"/>
        <c:lblAlgn val="ctr"/>
        <c:lblOffset val="100"/>
        <c:tickLblSkip val="1"/>
        <c:tickMarkSkip val="1"/>
      </c:catAx>
      <c:valAx>
        <c:axId val="259580672"/>
        <c:scaling>
          <c:orientation val="minMax"/>
          <c:max val="1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570688"/>
        <c:crosses val="autoZero"/>
        <c:crossBetween val="between"/>
        <c:majorUnit val="5"/>
      </c:valAx>
      <c:catAx>
        <c:axId val="259582208"/>
        <c:scaling>
          <c:orientation val="minMax"/>
        </c:scaling>
        <c:delete val="1"/>
        <c:axPos val="b"/>
        <c:numFmt formatCode="General" sourceLinked="1"/>
        <c:tickLblPos val="none"/>
        <c:crossAx val="259719168"/>
        <c:crosses val="autoZero"/>
        <c:lblAlgn val="ctr"/>
        <c:lblOffset val="100"/>
      </c:catAx>
      <c:valAx>
        <c:axId val="259719168"/>
        <c:scaling>
          <c:orientation val="minMax"/>
          <c:max val="0.30000000000000027"/>
          <c:min val="-1.7"/>
        </c:scaling>
        <c:axPos val="r"/>
        <c:numFmt formatCode="General" sourceLinked="1"/>
        <c:majorTickMark val="none"/>
        <c:tickLblPos val="none"/>
        <c:spPr>
          <a:ln w="3175">
            <a:noFill/>
            <a:prstDash val="solid"/>
          </a:ln>
        </c:spPr>
        <c:crossAx val="259582208"/>
        <c:crosses val="max"/>
        <c:crossBetween val="between"/>
        <c:majorUnit val="0.29000000000000031"/>
        <c:minorUnit val="0.29000000000000031"/>
      </c:valAx>
      <c:spPr>
        <a:noFill/>
        <a:ln w="12700">
          <a:noFill/>
          <a:prstDash val="solid"/>
        </a:ln>
      </c:spPr>
    </c:plotArea>
    <c:legend>
      <c:legendPos val="r"/>
      <c:layout>
        <c:manualLayout>
          <c:xMode val="edge"/>
          <c:yMode val="edge"/>
          <c:x val="0.11224821190951437"/>
          <c:y val="0.72143090277777777"/>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音乐音频</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6.8951472055888294E-2"/>
          <c:y val="0.18738072228589481"/>
          <c:w val="0.88707293745841664"/>
          <c:h val="0.44360520833333311"/>
        </c:manualLayout>
      </c:layout>
      <c:barChart>
        <c:barDir val="col"/>
        <c:grouping val="clustered"/>
        <c:ser>
          <c:idx val="1"/>
          <c:order val="0"/>
          <c:tx>
            <c:strRef>
              <c:f>'05-移动端十大类APP网络使用黏性'!$A$205</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'05-移动端十大类APP网络使用黏性'!$B$204:$M$204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'05-移动端十大类APP网络使用黏性'!$B$205:$M$205</c:f>
              <c:numCache>
                <c:formatCode>General</c:formatCode>
                <c:ptCount val="12"/>
                <c:pt idx="0">
                  <c:v>3.54</c:v>
                </c:pt>
                <c:pt idx="1">
                  <c:v>3.6</c:v>
                </c:pt>
                <c:pt idx="2">
                  <c:v>3.3299999999999987</c:v>
                </c:pt>
                <c:pt idx="3">
                  <c:v>3.1</c:v>
                </c:pt>
                <c:pt idx="4">
                  <c:v>3.23</c:v>
                </c:pt>
                <c:pt idx="5">
                  <c:v>3.3099999999999987</c:v>
                </c:pt>
                <c:pt idx="6">
                  <c:v>3.38</c:v>
                </c:pt>
                <c:pt idx="7">
                  <c:v>3.69</c:v>
                </c:pt>
                <c:pt idx="8">
                  <c:v>3.67</c:v>
                </c:pt>
                <c:pt idx="9">
                  <c:v>4.03</c:v>
                </c:pt>
                <c:pt idx="10">
                  <c:v>3.8</c:v>
                </c:pt>
                <c:pt idx="11">
                  <c:v>3.7600000000000002</c:v>
                </c:pt>
              </c:numCache>
            </c:numRef>
          </c:val>
          <c:extLst xmlns:c16r2="http://schemas.microsoft.com/office/drawing/2015/06/chart">
            <c:ext xmlns:c16="http://schemas.microsoft.com/office/drawing/2014/chart" uri="{C3380CC4-5D6E-409C-BE32-E72D297353CC}">
              <c16:uniqueId val="{00000000-4ED9-41AB-971A-5A827059BE4C}"/>
            </c:ext>
          </c:extLst>
        </c:ser>
        <c:dLbls>
          <c:showVal val="1"/>
        </c:dLbls>
        <c:gapWidth val="60"/>
        <c:axId val="259732992"/>
        <c:axId val="259734528"/>
      </c:barChart>
      <c:lineChart>
        <c:grouping val="standard"/>
        <c:ser>
          <c:idx val="0"/>
          <c:order val="1"/>
          <c:tx>
            <c:strRef>
              <c:f>'05-移动端十大类APP网络使用黏性'!$A$206</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D9-41AB-971A-5A827059BE4C}"/>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ED9-41AB-971A-5A827059BE4C}"/>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ED9-41AB-971A-5A827059BE4C}"/>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ED9-41AB-971A-5A827059BE4C}"/>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'05-移动端十大类APP网络使用黏性'!$B$204:$M$204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'05-移动端十大类APP网络使用黏性'!$B$206:$M$206</c:f>
              <c:numCache>
                <c:formatCode>0.0%</c:formatCode>
                <c:ptCount val="12"/>
                <c:pt idx="1">
                  <c:v>1.6949152542372843E-2</c:v>
                </c:pt>
                <c:pt idx="2">
                  <c:v>-7.5000000000000011E-2</c:v>
                </c:pt>
                <c:pt idx="3">
                  <c:v>-6.9069069069069067E-2</c:v>
                </c:pt>
                <c:pt idx="4">
                  <c:v>4.1935483870967787E-2</c:v>
                </c:pt>
                <c:pt idx="5">
                  <c:v>2.4767801857585203E-2</c:v>
                </c:pt>
                <c:pt idx="6">
                  <c:v>2.114803625377638E-2</c:v>
                </c:pt>
                <c:pt idx="7">
                  <c:v>9.1715976331360929E-2</c:v>
                </c:pt>
                <c:pt idx="8">
                  <c:v>-5.4200542005420384E-3</c:v>
                </c:pt>
                <c:pt idx="9">
                  <c:v>9.8092643051771247E-2</c:v>
                </c:pt>
                <c:pt idx="10">
                  <c:v>-5.7071960297766844E-2</c:v>
                </c:pt>
                <c:pt idx="11">
                  <c:v>-1.052631578947372E-2</c:v>
                </c:pt>
              </c:numCache>
            </c:numRef>
          </c:val>
          <c:extLst xmlns:c16r2="http://schemas.microsoft.com/office/drawing/2015/06/chart">
            <c:ext xmlns:c16="http://schemas.microsoft.com/office/drawing/2014/chart" uri="{C3380CC4-5D6E-409C-BE32-E72D297353CC}">
              <c16:uniqueId val="{00000005-4ED9-41AB-971A-5A827059BE4C}"/>
            </c:ext>
          </c:extLst>
        </c:ser>
        <c:dLbls>
          <c:showVal val="1"/>
        </c:dLbls>
        <c:marker val="1"/>
        <c:axId val="259769088"/>
        <c:axId val="259770624"/>
      </c:lineChart>
      <c:catAx>
        <c:axId val="25973299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734528"/>
        <c:crosses val="autoZero"/>
        <c:lblAlgn val="ctr"/>
        <c:lblOffset val="100"/>
        <c:tickLblSkip val="1"/>
        <c:tickMarkSkip val="1"/>
      </c:catAx>
      <c:valAx>
        <c:axId val="259734528"/>
        <c:scaling>
          <c:orientation val="minMax"/>
          <c:max val="7"/>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732992"/>
        <c:crosses val="autoZero"/>
        <c:crossBetween val="between"/>
        <c:majorUnit val="2"/>
      </c:valAx>
      <c:catAx>
        <c:axId val="259769088"/>
        <c:scaling>
          <c:orientation val="minMax"/>
        </c:scaling>
        <c:delete val="1"/>
        <c:axPos val="b"/>
        <c:numFmt formatCode="General" sourceLinked="1"/>
        <c:tickLblPos val="none"/>
        <c:crossAx val="259770624"/>
        <c:crosses val="autoZero"/>
        <c:lblAlgn val="ctr"/>
        <c:lblOffset val="100"/>
      </c:catAx>
      <c:valAx>
        <c:axId val="259770624"/>
        <c:scaling>
          <c:orientation val="minMax"/>
          <c:max val="0.30000000000000027"/>
          <c:min val="-1.7"/>
        </c:scaling>
        <c:axPos val="r"/>
        <c:numFmt formatCode="General" sourceLinked="1"/>
        <c:majorTickMark val="none"/>
        <c:tickLblPos val="none"/>
        <c:spPr>
          <a:ln w="3175">
            <a:noFill/>
            <a:prstDash val="solid"/>
          </a:ln>
        </c:spPr>
        <c:crossAx val="259769088"/>
        <c:crosses val="max"/>
        <c:crossBetween val="between"/>
        <c:majorUnit val="0.29000000000000031"/>
        <c:minorUnit val="0.29000000000000031"/>
      </c:valAx>
      <c:spPr>
        <a:noFill/>
        <a:ln w="12700">
          <a:noFill/>
          <a:prstDash val="solid"/>
        </a:ln>
      </c:spPr>
    </c:plotArea>
    <c:legend>
      <c:legendPos val="r"/>
      <c:layout>
        <c:manualLayout>
          <c:xMode val="edge"/>
          <c:yMode val="edge"/>
          <c:x val="0.10960765968063872"/>
          <c:y val="0.73547604166666658"/>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音乐音频</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7.6873336660013308E-2"/>
          <c:y val="0.18739422809169182"/>
          <c:w val="0.87651072854291368"/>
          <c:h val="0.4460104166666668"/>
        </c:manualLayout>
      </c:layout>
      <c:barChart>
        <c:barDir val="col"/>
        <c:grouping val="clustered"/>
        <c:ser>
          <c:idx val="1"/>
          <c:order val="0"/>
          <c:tx>
            <c:strRef>
              <c:f>'05-移动端十大类APP网络使用黏性'!$A$210</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'05-移动端十大类APP网络使用黏性'!$B$209:$M$209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'05-移动端十大类APP网络使用黏性'!$B$210:$M$210</c:f>
              <c:numCache>
                <c:formatCode>General</c:formatCode>
                <c:ptCount val="12"/>
                <c:pt idx="0">
                  <c:v>5.38</c:v>
                </c:pt>
                <c:pt idx="1">
                  <c:v>5.09</c:v>
                </c:pt>
                <c:pt idx="2">
                  <c:v>5.45</c:v>
                </c:pt>
                <c:pt idx="3">
                  <c:v>5.4</c:v>
                </c:pt>
                <c:pt idx="4">
                  <c:v>5.35</c:v>
                </c:pt>
                <c:pt idx="5">
                  <c:v>5.4300000000000024</c:v>
                </c:pt>
                <c:pt idx="6">
                  <c:v>4.7699999999999996</c:v>
                </c:pt>
                <c:pt idx="7">
                  <c:v>4.6899999999999995</c:v>
                </c:pt>
                <c:pt idx="8">
                  <c:v>4.6399999999999997</c:v>
                </c:pt>
                <c:pt idx="9">
                  <c:v>4.3899999999999997</c:v>
                </c:pt>
                <c:pt idx="10">
                  <c:v>4.28</c:v>
                </c:pt>
                <c:pt idx="11">
                  <c:v>4.34</c:v>
                </c:pt>
              </c:numCache>
            </c:numRef>
          </c:val>
          <c:extLst xmlns:c16r2="http://schemas.microsoft.com/office/drawing/2015/06/chart">
            <c:ext xmlns:c16="http://schemas.microsoft.com/office/drawing/2014/chart" uri="{C3380CC4-5D6E-409C-BE32-E72D297353CC}">
              <c16:uniqueId val="{00000000-F173-448C-A355-EC599E9BD5D3}"/>
            </c:ext>
          </c:extLst>
        </c:ser>
        <c:dLbls>
          <c:showVal val="1"/>
        </c:dLbls>
        <c:gapWidth val="60"/>
        <c:axId val="259808256"/>
        <c:axId val="259859200"/>
      </c:barChart>
      <c:lineChart>
        <c:grouping val="standard"/>
        <c:ser>
          <c:idx val="0"/>
          <c:order val="1"/>
          <c:tx>
            <c:strRef>
              <c:f>'05-移动端十大类APP网络使用黏性'!$A$211</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73-448C-A355-EC599E9BD5D3}"/>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173-448C-A355-EC599E9BD5D3}"/>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173-448C-A355-EC599E9BD5D3}"/>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73-448C-A355-EC599E9BD5D3}"/>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'05-移动端十大类APP网络使用黏性'!$B$209:$M$209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'05-移动端十大类APP网络使用黏性'!$B$211:$M$211</c:f>
              <c:numCache>
                <c:formatCode>0.0%</c:formatCode>
                <c:ptCount val="12"/>
                <c:pt idx="1">
                  <c:v>-5.3903345724907056E-2</c:v>
                </c:pt>
                <c:pt idx="2">
                  <c:v>7.0726915520628764E-2</c:v>
                </c:pt>
                <c:pt idx="3">
                  <c:v>-9.1743119266054496E-3</c:v>
                </c:pt>
                <c:pt idx="4">
                  <c:v>-9.259259259259427E-3</c:v>
                </c:pt>
                <c:pt idx="5">
                  <c:v>1.4953271028037349E-2</c:v>
                </c:pt>
                <c:pt idx="6">
                  <c:v>-0.12154696132596687</c:v>
                </c:pt>
                <c:pt idx="7">
                  <c:v>-1.6771488469601539E-2</c:v>
                </c:pt>
                <c:pt idx="8">
                  <c:v>-1.0660980810234701E-2</c:v>
                </c:pt>
                <c:pt idx="9">
                  <c:v>-5.3879310344827624E-2</c:v>
                </c:pt>
                <c:pt idx="10">
                  <c:v>-2.5056947608200358E-2</c:v>
                </c:pt>
                <c:pt idx="11">
                  <c:v>1.4018691588784979E-2</c:v>
                </c:pt>
              </c:numCache>
            </c:numRef>
          </c:val>
          <c:extLst xmlns:c16r2="http://schemas.microsoft.com/office/drawing/2015/06/chart">
            <c:ext xmlns:c16="http://schemas.microsoft.com/office/drawing/2014/chart" uri="{C3380CC4-5D6E-409C-BE32-E72D297353CC}">
              <c16:uniqueId val="{00000005-F173-448C-A355-EC599E9BD5D3}"/>
            </c:ext>
          </c:extLst>
        </c:ser>
        <c:dLbls>
          <c:showVal val="1"/>
        </c:dLbls>
        <c:marker val="1"/>
        <c:axId val="259860736"/>
        <c:axId val="259866624"/>
      </c:lineChart>
      <c:catAx>
        <c:axId val="25980825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859200"/>
        <c:crosses val="autoZero"/>
        <c:lblAlgn val="ctr"/>
        <c:lblOffset val="100"/>
        <c:tickLblSkip val="1"/>
        <c:tickMarkSkip val="1"/>
      </c:catAx>
      <c:valAx>
        <c:axId val="259859200"/>
        <c:scaling>
          <c:orientation val="minMax"/>
          <c:max val="1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808256"/>
        <c:crosses val="autoZero"/>
        <c:crossBetween val="between"/>
        <c:majorUnit val="2"/>
      </c:valAx>
      <c:catAx>
        <c:axId val="259860736"/>
        <c:scaling>
          <c:orientation val="minMax"/>
        </c:scaling>
        <c:delete val="1"/>
        <c:axPos val="b"/>
        <c:numFmt formatCode="General" sourceLinked="1"/>
        <c:tickLblPos val="none"/>
        <c:crossAx val="259866624"/>
        <c:crosses val="autoZero"/>
        <c:lblAlgn val="ctr"/>
        <c:lblOffset val="100"/>
      </c:catAx>
      <c:valAx>
        <c:axId val="259866624"/>
        <c:scaling>
          <c:orientation val="minMax"/>
          <c:max val="0.30000000000000027"/>
          <c:min val="-1.7"/>
        </c:scaling>
        <c:axPos val="r"/>
        <c:numFmt formatCode="General" sourceLinked="1"/>
        <c:majorTickMark val="none"/>
        <c:tickLblPos val="none"/>
        <c:spPr>
          <a:ln w="3175">
            <a:noFill/>
            <a:prstDash val="solid"/>
          </a:ln>
        </c:spPr>
        <c:crossAx val="259860736"/>
        <c:crosses val="max"/>
        <c:crossBetween val="between"/>
        <c:majorUnit val="0.29000000000000031"/>
        <c:minorUnit val="0.29000000000000031"/>
      </c:valAx>
      <c:spPr>
        <a:noFill/>
        <a:ln w="12700">
          <a:noFill/>
          <a:prstDash val="solid"/>
        </a:ln>
      </c:spPr>
    </c:plotArea>
    <c:legend>
      <c:legendPos val="r"/>
      <c:layout>
        <c:manualLayout>
          <c:xMode val="edge"/>
          <c:yMode val="edge"/>
          <c:x val="0.11488876413838989"/>
          <c:y val="0.72465243055555606"/>
          <c:w val="0.78985335166437565"/>
          <c:h val="8.3006250000000045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6.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网民常用音乐音频类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18426854624085159"/>
          <c:y val="2.9817901234567901E-2"/>
        </c:manualLayout>
      </c:layout>
    </c:title>
    <c:plotArea>
      <c:layout>
        <c:manualLayout>
          <c:layoutTarget val="inner"/>
          <c:xMode val="edge"/>
          <c:yMode val="edge"/>
          <c:x val="0.17151892139701594"/>
          <c:y val="0.12935092592592587"/>
          <c:w val="0.75016149870801063"/>
          <c:h val="0.57929320987654331"/>
        </c:manualLayout>
      </c:layout>
      <c:barChart>
        <c:barDir val="bar"/>
        <c:grouping val="clustered"/>
        <c:ser>
          <c:idx val="1"/>
          <c:order val="0"/>
          <c:tx>
            <c:strRef>
              <c:f>'06-移动端十大类APP-Top10'!$D$175</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'06-移动端十大类APP-Top10'!$C$176:$C$185</c:f>
              <c:strCache>
                <c:ptCount val="10"/>
                <c:pt idx="0">
                  <c:v>铃声多多</c:v>
                </c:pt>
                <c:pt idx="1">
                  <c:v>荔枝</c:v>
                </c:pt>
                <c:pt idx="2">
                  <c:v>唱吧</c:v>
                </c:pt>
                <c:pt idx="3">
                  <c:v>虾米音乐</c:v>
                </c:pt>
                <c:pt idx="4">
                  <c:v>喜马拉雅</c:v>
                </c:pt>
                <c:pt idx="5">
                  <c:v>网易云音乐</c:v>
                </c:pt>
                <c:pt idx="6">
                  <c:v>酷我音乐</c:v>
                </c:pt>
                <c:pt idx="7">
                  <c:v>全民K歌</c:v>
                </c:pt>
                <c:pt idx="8">
                  <c:v>酷狗音乐</c:v>
                </c:pt>
                <c:pt idx="9">
                  <c:v>QQ音乐</c:v>
                </c:pt>
              </c:strCache>
            </c:strRef>
          </c:cat>
          <c:val>
            <c:numRef>
              <c:f>'06-移动端十大类APP-Top10'!$D$176:$D$185</c:f>
              <c:numCache>
                <c:formatCode>0.00%</c:formatCode>
                <c:ptCount val="10"/>
                <c:pt idx="0">
                  <c:v>4.2000000000000023E-2</c:v>
                </c:pt>
                <c:pt idx="1">
                  <c:v>4.2100000000000012E-2</c:v>
                </c:pt>
                <c:pt idx="2">
                  <c:v>4.5500000000000013E-2</c:v>
                </c:pt>
                <c:pt idx="3">
                  <c:v>5.16E-2</c:v>
                </c:pt>
                <c:pt idx="4">
                  <c:v>8.8100000000000067E-2</c:v>
                </c:pt>
                <c:pt idx="5">
                  <c:v>0.15260000000000001</c:v>
                </c:pt>
                <c:pt idx="6">
                  <c:v>0.1775000000000001</c:v>
                </c:pt>
                <c:pt idx="7">
                  <c:v>0.19289999999999999</c:v>
                </c:pt>
                <c:pt idx="8">
                  <c:v>0.28680000000000022</c:v>
                </c:pt>
                <c:pt idx="9">
                  <c:v>0.36450000000000027</c:v>
                </c:pt>
              </c:numCache>
            </c:numRef>
          </c:val>
          <c:extLst xmlns:c16r2="http://schemas.microsoft.com/office/drawing/2015/06/chart">
            <c:ext xmlns:c16="http://schemas.microsoft.com/office/drawing/2014/chart" uri="{C3380CC4-5D6E-409C-BE32-E72D297353CC}">
              <c16:uniqueId val="{00000000-4A95-4AA9-A7A7-E17D5218BD1B}"/>
            </c:ext>
          </c:extLst>
        </c:ser>
        <c:dLbls>
          <c:showVal val="1"/>
        </c:dLbls>
        <c:gapWidth val="60"/>
        <c:axId val="259826048"/>
        <c:axId val="259827584"/>
      </c:barChart>
      <c:catAx>
        <c:axId val="259826048"/>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59827584"/>
        <c:crosses val="autoZero"/>
        <c:auto val="1"/>
        <c:lblAlgn val="ctr"/>
        <c:lblOffset val="100"/>
      </c:catAx>
      <c:valAx>
        <c:axId val="259827584"/>
        <c:scaling>
          <c:orientation val="minMax"/>
          <c:max val="0.4"/>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59826048"/>
        <c:crosses val="autoZero"/>
        <c:crossBetween val="between"/>
        <c:majorUnit val="0.1"/>
        <c:minorUnit val="0.1"/>
      </c:valAx>
      <c:spPr>
        <a:ln>
          <a:noFill/>
        </a:ln>
      </c:spPr>
    </c:plotArea>
    <c:legend>
      <c:legendPos val="b"/>
      <c:layout>
        <c:manualLayout>
          <c:xMode val="edge"/>
          <c:yMode val="edge"/>
          <c:x val="0.382407060878244"/>
          <c:y val="0.80117283950617324"/>
          <c:w val="0.28424626990080892"/>
          <c:h val="5.0903045471984182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10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年陕西省网民使用应用分发</a:t>
            </a:r>
            <a:r>
              <a:rPr lang="en-US" sz="1200" b="1"/>
              <a:t>APP</a:t>
            </a:r>
            <a:r>
              <a:rPr lang="zh-CN" altLang="en-US" sz="1200" b="1"/>
              <a:t>月独立设备数比例</a:t>
            </a:r>
          </a:p>
        </c:rich>
      </c:tx>
      <c:spPr>
        <a:noFill/>
        <a:ln w="25400">
          <a:noFill/>
        </a:ln>
      </c:spPr>
    </c:title>
    <c:plotArea>
      <c:layout>
        <c:manualLayout>
          <c:layoutTarget val="inner"/>
          <c:xMode val="edge"/>
          <c:yMode val="edge"/>
          <c:x val="0.12176272455089827"/>
          <c:y val="0.19063030303030304"/>
          <c:w val="0.83162134065202964"/>
          <c:h val="0.38709148111452985"/>
        </c:manualLayout>
      </c:layout>
      <c:areaChart>
        <c:grouping val="standard"/>
        <c:ser>
          <c:idx val="1"/>
          <c:order val="0"/>
          <c:tx>
            <c:strRef>
              <c:f>'05-移动端十大类APP网络使用黏性'!$A$172</c:f>
              <c:strCache>
                <c:ptCount val="1"/>
                <c:pt idx="0">
                  <c:v>月独立设备数比例</c:v>
                </c:pt>
              </c:strCache>
            </c:strRef>
          </c:tx>
          <c:spPr>
            <a:solidFill>
              <a:srgbClr val="B2D234"/>
            </a:solidFill>
            <a:ln w="12700">
              <a:noFill/>
              <a:prstDash val="solid"/>
            </a:ln>
          </c:spPr>
          <c:dLbls>
            <c:dLbl>
              <c:idx val="0"/>
              <c:delete val="1"/>
            </c:dLbl>
            <c:dLbl>
              <c:idx val="1"/>
              <c:layout>
                <c:manualLayout>
                  <c:x val="2.6405522288755856E-3"/>
                  <c:y val="-7.0555555555555496E-2"/>
                </c:manualLayout>
              </c:layout>
              <c:showVal val="1"/>
            </c:dLbl>
            <c:dLbl>
              <c:idx val="2"/>
              <c:delete val="1"/>
            </c:dLbl>
            <c:dLbl>
              <c:idx val="3"/>
              <c:layout>
                <c:manualLayout>
                  <c:x val="-1.3202761144377925E-2"/>
                  <c:y val="-0.15434027777777792"/>
                </c:manualLayout>
              </c:layout>
              <c:showVal val="1"/>
            </c:dLbl>
            <c:dLbl>
              <c:idx val="4"/>
              <c:delete val="1"/>
            </c:dLbl>
            <c:dLbl>
              <c:idx val="5"/>
              <c:layout>
                <c:manualLayout>
                  <c:x val="1.5843313373253492E-2"/>
                  <c:y val="-0.2116666666666667"/>
                </c:manualLayout>
              </c:layout>
              <c:showVal val="1"/>
            </c:dLbl>
            <c:dLbl>
              <c:idx val="6"/>
              <c:delete val="1"/>
            </c:dLbl>
            <c:dLbl>
              <c:idx val="7"/>
              <c:layout>
                <c:manualLayout>
                  <c:x val="0"/>
                  <c:y val="-0.22048611111111122"/>
                </c:manualLayout>
              </c:layout>
              <c:showVal val="1"/>
            </c:dLbl>
            <c:dLbl>
              <c:idx val="8"/>
              <c:delete val="1"/>
            </c:dLbl>
            <c:dLbl>
              <c:idx val="9"/>
              <c:layout>
                <c:manualLayout>
                  <c:x val="-2.6405522288755856E-3"/>
                  <c:y val="-0.2116666666666667"/>
                </c:manualLayout>
              </c:layout>
              <c:showVal val="1"/>
            </c:dLbl>
            <c:dLbl>
              <c:idx val="10"/>
              <c:delete val="1"/>
            </c:dLbl>
            <c:dLbl>
              <c:idx val="11"/>
              <c:layout>
                <c:manualLayout>
                  <c:x val="-5.2811044577511703E-3"/>
                  <c:y val="-0.2116666666666667"/>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'05-移动端十大类APP网络使用黏性'!$B$171:$M$171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'05-移动端十大类APP网络使用黏性'!$B$172:$M$172</c:f>
              <c:numCache>
                <c:formatCode>0.00%</c:formatCode>
                <c:ptCount val="12"/>
                <c:pt idx="0">
                  <c:v>0.2030209956769139</c:v>
                </c:pt>
                <c:pt idx="1">
                  <c:v>0.17240866429499399</c:v>
                </c:pt>
                <c:pt idx="2">
                  <c:v>0.16827579654898048</c:v>
                </c:pt>
                <c:pt idx="3">
                  <c:v>0.54240078016489868</c:v>
                </c:pt>
                <c:pt idx="4">
                  <c:v>0.78961212971931993</c:v>
                </c:pt>
                <c:pt idx="5">
                  <c:v>0.7847494791606725</c:v>
                </c:pt>
                <c:pt idx="6">
                  <c:v>0.80237026181935867</c:v>
                </c:pt>
                <c:pt idx="7">
                  <c:v>0.82084872036800161</c:v>
                </c:pt>
                <c:pt idx="8">
                  <c:v>0.82436351200687341</c:v>
                </c:pt>
                <c:pt idx="9">
                  <c:v>0.82703398444405152</c:v>
                </c:pt>
                <c:pt idx="10">
                  <c:v>0.80949465273678323</c:v>
                </c:pt>
                <c:pt idx="11">
                  <c:v>0.80519445587590543</c:v>
                </c:pt>
              </c:numCache>
            </c:numRef>
          </c:val>
          <c:extLst xmlns:c16r2="http://schemas.microsoft.com/office/drawing/2015/06/chart">
            <c:ext xmlns:c16="http://schemas.microsoft.com/office/drawing/2014/chart" uri="{C3380CC4-5D6E-409C-BE32-E72D297353CC}">
              <c16:uniqueId val="{00000000-7969-4E2A-A664-F0BFEFF74078}"/>
            </c:ext>
          </c:extLst>
        </c:ser>
        <c:dLbls>
          <c:showVal val="1"/>
        </c:dLbls>
        <c:axId val="259958656"/>
        <c:axId val="260055040"/>
      </c:areaChart>
      <c:catAx>
        <c:axId val="25995865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0055040"/>
        <c:crosses val="autoZero"/>
        <c:lblAlgn val="ctr"/>
        <c:lblOffset val="100"/>
        <c:tickLblSkip val="1"/>
        <c:tickMarkSkip val="1"/>
      </c:catAx>
      <c:valAx>
        <c:axId val="260055040"/>
        <c:scaling>
          <c:orientation val="minMax"/>
          <c:max val="1"/>
          <c:min val="0"/>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958656"/>
        <c:crosses val="autoZero"/>
        <c:crossBetween val="midCat"/>
        <c:majorUnit val="0.2"/>
        <c:minorUnit val="0.2"/>
      </c:valAx>
      <c:spPr>
        <a:noFill/>
        <a:ln w="12700">
          <a:noFill/>
          <a:prstDash val="solid"/>
        </a:ln>
      </c:spPr>
    </c:plotArea>
    <c:legend>
      <c:legendPos val="r"/>
      <c:layout>
        <c:manualLayout>
          <c:xMode val="edge"/>
          <c:yMode val="edge"/>
          <c:x val="0.12016845860995655"/>
          <c:y val="0.68951445016451263"/>
          <c:w val="0.78985335166437565"/>
          <c:h val="5.6547916666666663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8.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年陕西省网民使用应用分发</a:t>
            </a:r>
            <a:r>
              <a:rPr lang="en-US" sz="1200" b="1"/>
              <a:t>APP</a:t>
            </a:r>
            <a:r>
              <a:rPr lang="zh-CN" altLang="en-US" sz="1200" b="1"/>
              <a:t>单机使用天数</a:t>
            </a:r>
            <a:endParaRPr lang="zh-CN" sz="1200" b="1"/>
          </a:p>
        </c:rich>
      </c:tx>
      <c:spPr>
        <a:noFill/>
        <a:ln w="25400">
          <a:noFill/>
        </a:ln>
      </c:spPr>
    </c:title>
    <c:plotArea>
      <c:layout>
        <c:manualLayout>
          <c:layoutTarget val="inner"/>
          <c:xMode val="edge"/>
          <c:yMode val="edge"/>
          <c:x val="8.2154441117764557E-2"/>
          <c:y val="0.1840335858585859"/>
          <c:w val="0.87122962408516358"/>
          <c:h val="0.44280347222222238"/>
        </c:manualLayout>
      </c:layout>
      <c:barChart>
        <c:barDir val="col"/>
        <c:grouping val="clustered"/>
        <c:ser>
          <c:idx val="1"/>
          <c:order val="0"/>
          <c:tx>
            <c:strRef>
              <c:f>'05-移动端十大类APP网络使用黏性'!$A$177</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'05-移动端十大类APP网络使用黏性'!$B$176:$M$176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'05-移动端十大类APP网络使用黏性'!$B$177:$M$177</c:f>
              <c:numCache>
                <c:formatCode>General</c:formatCode>
                <c:ptCount val="12"/>
                <c:pt idx="0">
                  <c:v>8.5300000000000011</c:v>
                </c:pt>
                <c:pt idx="1">
                  <c:v>7.04</c:v>
                </c:pt>
                <c:pt idx="2">
                  <c:v>7.87</c:v>
                </c:pt>
                <c:pt idx="3">
                  <c:v>6.6899999999999995</c:v>
                </c:pt>
                <c:pt idx="4">
                  <c:v>9.39</c:v>
                </c:pt>
                <c:pt idx="5">
                  <c:v>9.0400000000000009</c:v>
                </c:pt>
                <c:pt idx="6">
                  <c:v>9.6300000000000008</c:v>
                </c:pt>
                <c:pt idx="7">
                  <c:v>9.620000000000001</c:v>
                </c:pt>
                <c:pt idx="8">
                  <c:v>9.06</c:v>
                </c:pt>
                <c:pt idx="9">
                  <c:v>9.61</c:v>
                </c:pt>
                <c:pt idx="10">
                  <c:v>9.11</c:v>
                </c:pt>
                <c:pt idx="11">
                  <c:v>9.48</c:v>
                </c:pt>
              </c:numCache>
            </c:numRef>
          </c:val>
          <c:extLst xmlns:c16r2="http://schemas.microsoft.com/office/drawing/2015/06/chart">
            <c:ext xmlns:c16="http://schemas.microsoft.com/office/drawing/2014/chart" uri="{C3380CC4-5D6E-409C-BE32-E72D297353CC}">
              <c16:uniqueId val="{00000000-EDBD-4685-811B-1F0488B98175}"/>
            </c:ext>
          </c:extLst>
        </c:ser>
        <c:dLbls>
          <c:showVal val="1"/>
        </c:dLbls>
        <c:gapWidth val="60"/>
        <c:axId val="260182784"/>
        <c:axId val="260184320"/>
      </c:barChart>
      <c:lineChart>
        <c:grouping val="standard"/>
        <c:ser>
          <c:idx val="0"/>
          <c:order val="1"/>
          <c:tx>
            <c:strRef>
              <c:f>'05-移动端十大类APP网络使用黏性'!$A$178</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BD-4685-811B-1F0488B98175}"/>
                </c:ext>
              </c:extLst>
            </c:dLbl>
            <c:dLbl>
              <c:idx val="1"/>
              <c:layout>
                <c:manualLayout>
                  <c:x val="-5.8181345642049215E-2"/>
                  <c:y val="-5.18194444444444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BD-4685-811B-1F0488B98175}"/>
                </c:ext>
              </c:extLst>
            </c:dLbl>
            <c:dLbl>
              <c:idx val="2"/>
              <c:layout>
                <c:manualLayout>
                  <c:x val="-4.6576222554890231E-2"/>
                  <c:y val="-6.03715277777777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BD-4685-811B-1F0488B98175}"/>
                </c:ext>
              </c:extLst>
            </c:dLbl>
            <c:dLbl>
              <c:idx val="3"/>
              <c:layout>
                <c:manualLayout>
                  <c:x val="-5.6418621091151082E-2"/>
                  <c:y val="-5.996180555555555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DBD-4685-811B-1F0488B98175}"/>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'05-移动端十大类APP网络使用黏性'!$B$176:$M$176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'05-移动端十大类APP网络使用黏性'!$B$178:$M$178</c:f>
              <c:numCache>
                <c:formatCode>0.0%</c:formatCode>
                <c:ptCount val="12"/>
                <c:pt idx="1">
                  <c:v>-0.17467760844079716</c:v>
                </c:pt>
                <c:pt idx="2">
                  <c:v>0.11789772727272728</c:v>
                </c:pt>
                <c:pt idx="3">
                  <c:v>-0.14993646759847545</c:v>
                </c:pt>
                <c:pt idx="4">
                  <c:v>0.4035874439461884</c:v>
                </c:pt>
                <c:pt idx="5">
                  <c:v>-3.7273695420660446E-2</c:v>
                </c:pt>
                <c:pt idx="6">
                  <c:v>6.5265486725663902E-2</c:v>
                </c:pt>
                <c:pt idx="7">
                  <c:v>-1.0384215991694479E-3</c:v>
                </c:pt>
                <c:pt idx="8">
                  <c:v>-5.8212058212058097E-2</c:v>
                </c:pt>
                <c:pt idx="9">
                  <c:v>6.0706401766004427E-2</c:v>
                </c:pt>
                <c:pt idx="10">
                  <c:v>-5.2029136316337099E-2</c:v>
                </c:pt>
                <c:pt idx="11">
                  <c:v>4.0614709110867293E-2</c:v>
                </c:pt>
              </c:numCache>
            </c:numRef>
          </c:val>
          <c:extLst xmlns:c16r2="http://schemas.microsoft.com/office/drawing/2015/06/chart">
            <c:ext xmlns:c16="http://schemas.microsoft.com/office/drawing/2014/chart" uri="{C3380CC4-5D6E-409C-BE32-E72D297353CC}">
              <c16:uniqueId val="{00000005-EDBD-4685-811B-1F0488B98175}"/>
            </c:ext>
          </c:extLst>
        </c:ser>
        <c:dLbls>
          <c:showVal val="1"/>
        </c:dLbls>
        <c:marker val="1"/>
        <c:axId val="260194304"/>
        <c:axId val="260195840"/>
      </c:lineChart>
      <c:catAx>
        <c:axId val="26018278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0184320"/>
        <c:crosses val="autoZero"/>
        <c:lblAlgn val="ctr"/>
        <c:lblOffset val="100"/>
        <c:tickLblSkip val="1"/>
        <c:tickMarkSkip val="1"/>
      </c:catAx>
      <c:valAx>
        <c:axId val="260184320"/>
        <c:scaling>
          <c:orientation val="minMax"/>
          <c:max val="2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60182784"/>
        <c:crosses val="autoZero"/>
        <c:crossBetween val="between"/>
        <c:majorUnit val="5"/>
        <c:minorUnit val="1"/>
      </c:valAx>
      <c:catAx>
        <c:axId val="260194304"/>
        <c:scaling>
          <c:orientation val="minMax"/>
        </c:scaling>
        <c:delete val="1"/>
        <c:axPos val="b"/>
        <c:numFmt formatCode="General" sourceLinked="1"/>
        <c:tickLblPos val="none"/>
        <c:crossAx val="260195840"/>
        <c:crosses val="autoZero"/>
        <c:lblAlgn val="ctr"/>
        <c:lblOffset val="100"/>
      </c:catAx>
      <c:valAx>
        <c:axId val="260195840"/>
        <c:scaling>
          <c:orientation val="minMax"/>
          <c:max val="1"/>
          <c:min val="-3"/>
        </c:scaling>
        <c:axPos val="r"/>
        <c:numFmt formatCode="General" sourceLinked="1"/>
        <c:majorTickMark val="none"/>
        <c:tickLblPos val="none"/>
        <c:spPr>
          <a:ln w="3175">
            <a:noFill/>
            <a:prstDash val="solid"/>
          </a:ln>
        </c:spPr>
        <c:crossAx val="260194304"/>
        <c:crosses val="max"/>
        <c:crossBetween val="between"/>
        <c:majorUnit val="0.29000000000000031"/>
        <c:minorUnit val="0.29000000000000031"/>
      </c:valAx>
      <c:spPr>
        <a:noFill/>
        <a:ln w="12700">
          <a:noFill/>
          <a:prstDash val="solid"/>
        </a:ln>
      </c:spPr>
    </c:plotArea>
    <c:legend>
      <c:legendPos val="r"/>
      <c:layout>
        <c:manualLayout>
          <c:xMode val="edge"/>
          <c:yMode val="edge"/>
          <c:x val="0.12016986859614105"/>
          <c:y val="0.73998229166666651"/>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09.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en-US" sz="1200" b="1" i="0" u="none" strike="noStrike" baseline="0">
                <a:effectLst/>
              </a:rPr>
              <a:t>应用分发</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7.4232784431137788E-2"/>
          <c:y val="0.17994097222222244"/>
          <c:w val="0.87915128077178972"/>
          <c:h val="0.45362743055555554"/>
        </c:manualLayout>
      </c:layout>
      <c:barChart>
        <c:barDir val="col"/>
        <c:grouping val="clustered"/>
        <c:ser>
          <c:idx val="1"/>
          <c:order val="0"/>
          <c:tx>
            <c:strRef>
              <c:f>'05-移动端十大类APP网络使用黏性'!$A$182</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'05-移动端十大类APP网络使用黏性'!$B$181:$M$181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'05-移动端十大类APP网络使用黏性'!$B$182:$M$182</c:f>
              <c:numCache>
                <c:formatCode>General</c:formatCode>
                <c:ptCount val="12"/>
                <c:pt idx="0">
                  <c:v>3.32</c:v>
                </c:pt>
                <c:pt idx="1">
                  <c:v>4.0599999999999996</c:v>
                </c:pt>
                <c:pt idx="2">
                  <c:v>3.9699999999999998</c:v>
                </c:pt>
                <c:pt idx="3">
                  <c:v>3.02</c:v>
                </c:pt>
                <c:pt idx="4">
                  <c:v>1.6</c:v>
                </c:pt>
                <c:pt idx="5">
                  <c:v>1.6600000000000001</c:v>
                </c:pt>
                <c:pt idx="6">
                  <c:v>1.86</c:v>
                </c:pt>
                <c:pt idx="7">
                  <c:v>2</c:v>
                </c:pt>
                <c:pt idx="8">
                  <c:v>1.8</c:v>
                </c:pt>
                <c:pt idx="9">
                  <c:v>1.9600000000000009</c:v>
                </c:pt>
                <c:pt idx="10">
                  <c:v>1.9800000000000009</c:v>
                </c:pt>
                <c:pt idx="11">
                  <c:v>2</c:v>
                </c:pt>
              </c:numCache>
            </c:numRef>
          </c:val>
          <c:extLst xmlns:c16r2="http://schemas.microsoft.com/office/drawing/2015/06/chart">
            <c:ext xmlns:c16="http://schemas.microsoft.com/office/drawing/2014/chart" uri="{C3380CC4-5D6E-409C-BE32-E72D297353CC}">
              <c16:uniqueId val="{00000000-6DC1-4EBB-843F-A22211216F99}"/>
            </c:ext>
          </c:extLst>
        </c:ser>
        <c:dLbls>
          <c:showVal val="1"/>
        </c:dLbls>
        <c:gapWidth val="60"/>
        <c:axId val="260012288"/>
        <c:axId val="260022272"/>
      </c:barChart>
      <c:lineChart>
        <c:grouping val="standard"/>
        <c:ser>
          <c:idx val="0"/>
          <c:order val="1"/>
          <c:tx>
            <c:strRef>
              <c:f>'05-移动端十大类APP网络使用黏性'!$A$183</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C1-4EBB-843F-A22211216F99}"/>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C1-4EBB-843F-A22211216F99}"/>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C1-4EBB-843F-A22211216F99}"/>
                </c:ext>
              </c:extLst>
            </c:dLbl>
            <c:dLbl>
              <c:idx val="3"/>
              <c:layout>
                <c:manualLayout>
                  <c:x val="-4.3215859946773107E-2"/>
                  <c:y val="-5.99618055555555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C1-4EBB-843F-A22211216F99}"/>
                </c:ext>
              </c:extLst>
            </c:dLbl>
            <c:dLbl>
              <c:idx val="4"/>
              <c:layout>
                <c:manualLayout>
                  <c:x val="-5.7524534264803723E-2"/>
                  <c:y val="-5.2321180555555562E-2"/>
                </c:manualLayout>
              </c:layout>
              <c:dLblPos val="r"/>
              <c:showVal val="1"/>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'05-移动端十大类APP网络使用黏性'!$B$181:$M$181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'05-移动端十大类APP网络使用黏性'!$B$183:$M$183</c:f>
              <c:numCache>
                <c:formatCode>0.0%</c:formatCode>
                <c:ptCount val="12"/>
                <c:pt idx="1">
                  <c:v>0.22289156626506013</c:v>
                </c:pt>
                <c:pt idx="2">
                  <c:v>-2.2167487684728881E-2</c:v>
                </c:pt>
                <c:pt idx="3">
                  <c:v>-0.23929471032745608</c:v>
                </c:pt>
                <c:pt idx="4">
                  <c:v>-0.47019867549668881</c:v>
                </c:pt>
                <c:pt idx="5">
                  <c:v>3.7499999999999895E-2</c:v>
                </c:pt>
                <c:pt idx="6">
                  <c:v>0.12048192771084354</c:v>
                </c:pt>
                <c:pt idx="7">
                  <c:v>7.5268817204301022E-2</c:v>
                </c:pt>
                <c:pt idx="8">
                  <c:v>-0.1</c:v>
                </c:pt>
                <c:pt idx="9">
                  <c:v>8.8888888888888795E-2</c:v>
                </c:pt>
                <c:pt idx="10">
                  <c:v>1.0204081632652972E-2</c:v>
                </c:pt>
                <c:pt idx="11">
                  <c:v>1.0101010101010171E-2</c:v>
                </c:pt>
              </c:numCache>
            </c:numRef>
          </c:val>
          <c:extLst xmlns:c16r2="http://schemas.microsoft.com/office/drawing/2015/06/chart">
            <c:ext xmlns:c16="http://schemas.microsoft.com/office/drawing/2014/chart" uri="{C3380CC4-5D6E-409C-BE32-E72D297353CC}">
              <c16:uniqueId val="{00000005-6DC1-4EBB-843F-A22211216F99}"/>
            </c:ext>
          </c:extLst>
        </c:ser>
        <c:dLbls>
          <c:showVal val="1"/>
        </c:dLbls>
        <c:marker val="1"/>
        <c:axId val="260023808"/>
        <c:axId val="260025344"/>
      </c:lineChart>
      <c:catAx>
        <c:axId val="26001228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0022272"/>
        <c:crosses val="autoZero"/>
        <c:lblAlgn val="ctr"/>
        <c:lblOffset val="100"/>
        <c:tickLblSkip val="1"/>
        <c:tickMarkSkip val="1"/>
      </c:catAx>
      <c:valAx>
        <c:axId val="260022272"/>
        <c:scaling>
          <c:orientation val="minMax"/>
          <c:max val="7"/>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60012288"/>
        <c:crosses val="autoZero"/>
        <c:crossBetween val="between"/>
        <c:majorUnit val="2"/>
        <c:minorUnit val="1"/>
      </c:valAx>
      <c:catAx>
        <c:axId val="260023808"/>
        <c:scaling>
          <c:orientation val="minMax"/>
        </c:scaling>
        <c:delete val="1"/>
        <c:axPos val="b"/>
        <c:numFmt formatCode="General" sourceLinked="1"/>
        <c:tickLblPos val="none"/>
        <c:crossAx val="260025344"/>
        <c:crosses val="autoZero"/>
        <c:lblAlgn val="ctr"/>
        <c:lblOffset val="100"/>
      </c:catAx>
      <c:valAx>
        <c:axId val="260025344"/>
        <c:scaling>
          <c:orientation val="minMax"/>
          <c:max val="0.5"/>
          <c:min val="-3"/>
        </c:scaling>
        <c:axPos val="r"/>
        <c:numFmt formatCode="General" sourceLinked="1"/>
        <c:majorTickMark val="none"/>
        <c:tickLblPos val="none"/>
        <c:spPr>
          <a:ln w="3175">
            <a:noFill/>
            <a:prstDash val="solid"/>
          </a:ln>
        </c:spPr>
        <c:crossAx val="260023808"/>
        <c:crosses val="max"/>
        <c:crossBetween val="between"/>
        <c:majorUnit val="0.29000000000000031"/>
        <c:minorUnit val="0.29000000000000031"/>
      </c:valAx>
      <c:spPr>
        <a:noFill/>
        <a:ln w="12700">
          <a:noFill/>
          <a:prstDash val="solid"/>
        </a:ln>
      </c:spPr>
    </c:plotArea>
    <c:legend>
      <c:legendPos val="r"/>
      <c:layout>
        <c:manualLayout>
          <c:xMode val="edge"/>
          <c:yMode val="edge"/>
          <c:x val="0.12281042082501663"/>
          <c:y val="0.72769687500000046"/>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lgn="ctr" rtl="0">
              <a:defRPr sz="1200" b="1"/>
            </a:pPr>
            <a:r>
              <a:rPr lang="en-US" sz="1200" b="1"/>
              <a:t>2015</a:t>
            </a:r>
            <a:r>
              <a:rPr lang="en-US" altLang="zh-CN" sz="1200" b="1"/>
              <a:t>-</a:t>
            </a:r>
            <a:r>
              <a:rPr lang="en-US" sz="1200" b="1"/>
              <a:t>2017</a:t>
            </a:r>
            <a:r>
              <a:rPr lang="zh-CN" sz="1200" b="1"/>
              <a:t>年陕西省</a:t>
            </a:r>
            <a:r>
              <a:rPr lang="zh-CN" altLang="en-US" sz="1200" b="1"/>
              <a:t>移动端</a:t>
            </a:r>
            <a:r>
              <a:rPr lang="zh-CN" sz="1200" b="1"/>
              <a:t>网民年龄分布</a:t>
            </a:r>
          </a:p>
        </c:rich>
      </c:tx>
    </c:title>
    <c:plotArea>
      <c:layout>
        <c:manualLayout>
          <c:layoutTarget val="inner"/>
          <c:xMode val="edge"/>
          <c:yMode val="edge"/>
          <c:x val="0.20327872601876695"/>
          <c:y val="0.16666174721544588"/>
          <c:w val="0.73070595842802544"/>
          <c:h val="0.55349322318316763"/>
        </c:manualLayout>
      </c:layout>
      <c:barChart>
        <c:barDir val="bar"/>
        <c:grouping val="clustered"/>
        <c:ser>
          <c:idx val="1"/>
          <c:order val="0"/>
          <c:tx>
            <c:strRef>
              <c:f>'对比分析-2017'!$B$155</c:f>
              <c:strCache>
                <c:ptCount val="1"/>
                <c:pt idx="0">
                  <c:v>2015年</c:v>
                </c:pt>
              </c:strCache>
            </c:strRef>
          </c:tx>
          <c:spPr>
            <a:solidFill>
              <a:srgbClr val="B2D234"/>
            </a:solidFill>
            <a:ln w="12700">
              <a:noFill/>
            </a:ln>
          </c:spPr>
          <c:cat>
            <c:strRef>
              <c:f>'对比分析-2017'!$A$156:$A$160</c:f>
              <c:strCache>
                <c:ptCount val="5"/>
                <c:pt idx="0">
                  <c:v>24岁以下</c:v>
                </c:pt>
                <c:pt idx="1">
                  <c:v>25-30岁</c:v>
                </c:pt>
                <c:pt idx="2">
                  <c:v>31-35岁</c:v>
                </c:pt>
                <c:pt idx="3">
                  <c:v>36-40岁</c:v>
                </c:pt>
                <c:pt idx="4">
                  <c:v>40岁以上</c:v>
                </c:pt>
              </c:strCache>
            </c:strRef>
          </c:cat>
          <c:val>
            <c:numRef>
              <c:f>'对比分析-2017'!$B$156:$B$160</c:f>
              <c:numCache>
                <c:formatCode>0.00%</c:formatCode>
                <c:ptCount val="5"/>
                <c:pt idx="0">
                  <c:v>0.2880000000000002</c:v>
                </c:pt>
                <c:pt idx="1">
                  <c:v>0.28200000000000008</c:v>
                </c:pt>
                <c:pt idx="2">
                  <c:v>0.191</c:v>
                </c:pt>
                <c:pt idx="3">
                  <c:v>0.11799999999999998</c:v>
                </c:pt>
                <c:pt idx="4">
                  <c:v>0.12100000000000002</c:v>
                </c:pt>
              </c:numCache>
            </c:numRef>
          </c:val>
          <c:extLst xmlns:c16r2="http://schemas.microsoft.com/office/drawing/2015/06/chart">
            <c:ext xmlns:c16="http://schemas.microsoft.com/office/drawing/2014/chart" uri="{C3380CC4-5D6E-409C-BE32-E72D297353CC}">
              <c16:uniqueId val="{00000000-4505-42C4-B067-5D59BB516BB0}"/>
            </c:ext>
          </c:extLst>
        </c:ser>
        <c:ser>
          <c:idx val="0"/>
          <c:order val="1"/>
          <c:tx>
            <c:strRef>
              <c:f>'对比分析-2017'!$C$155</c:f>
              <c:strCache>
                <c:ptCount val="1"/>
                <c:pt idx="0">
                  <c:v>2016年</c:v>
                </c:pt>
              </c:strCache>
            </c:strRef>
          </c:tx>
          <c:spPr>
            <a:solidFill>
              <a:srgbClr val="1EC8F3"/>
            </a:solidFill>
            <a:ln>
              <a:solidFill>
                <a:srgbClr val="1EC8F3"/>
              </a:solidFill>
            </a:ln>
          </c:spPr>
          <c:cat>
            <c:strRef>
              <c:f>'对比分析-2017'!$A$156:$A$160</c:f>
              <c:strCache>
                <c:ptCount val="5"/>
                <c:pt idx="0">
                  <c:v>24岁以下</c:v>
                </c:pt>
                <c:pt idx="1">
                  <c:v>25-30岁</c:v>
                </c:pt>
                <c:pt idx="2">
                  <c:v>31-35岁</c:v>
                </c:pt>
                <c:pt idx="3">
                  <c:v>36-40岁</c:v>
                </c:pt>
                <c:pt idx="4">
                  <c:v>40岁以上</c:v>
                </c:pt>
              </c:strCache>
            </c:strRef>
          </c:cat>
          <c:val>
            <c:numRef>
              <c:f>'对比分析-2017'!$C$156:$C$160</c:f>
              <c:numCache>
                <c:formatCode>0.00%</c:formatCode>
                <c:ptCount val="5"/>
                <c:pt idx="0">
                  <c:v>0.24600000000000011</c:v>
                </c:pt>
                <c:pt idx="1">
                  <c:v>0.30100000000000027</c:v>
                </c:pt>
                <c:pt idx="2">
                  <c:v>0.21600000000000011</c:v>
                </c:pt>
                <c:pt idx="3">
                  <c:v>0.13600000000000001</c:v>
                </c:pt>
                <c:pt idx="4">
                  <c:v>0.10100000000000002</c:v>
                </c:pt>
              </c:numCache>
            </c:numRef>
          </c:val>
        </c:ser>
        <c:ser>
          <c:idx val="2"/>
          <c:order val="2"/>
          <c:tx>
            <c:strRef>
              <c:f>'对比分析-2017'!$D$155</c:f>
              <c:strCache>
                <c:ptCount val="1"/>
                <c:pt idx="0">
                  <c:v>2017年</c:v>
                </c:pt>
              </c:strCache>
            </c:strRef>
          </c:tx>
          <c:spPr>
            <a:solidFill>
              <a:srgbClr val="FFFF00"/>
            </a:solidFill>
            <a:ln>
              <a:solidFill>
                <a:srgbClr val="FFFF00"/>
              </a:solidFill>
            </a:ln>
          </c:spPr>
          <c:dLbls>
            <c:dLbl>
              <c:idx val="4"/>
              <c:layout>
                <c:manualLayout>
                  <c:x val="0"/>
                  <c:y val="-2.6229508196721311E-2"/>
                </c:manualLayout>
              </c:layout>
              <c:showVal val="1"/>
            </c:dLbl>
            <c:numFmt formatCode="0.0%" sourceLinked="0"/>
            <c:showVal val="1"/>
          </c:dLbls>
          <c:cat>
            <c:strRef>
              <c:f>'对比分析-2017'!$A$156:$A$160</c:f>
              <c:strCache>
                <c:ptCount val="5"/>
                <c:pt idx="0">
                  <c:v>24岁以下</c:v>
                </c:pt>
                <c:pt idx="1">
                  <c:v>25-30岁</c:v>
                </c:pt>
                <c:pt idx="2">
                  <c:v>31-35岁</c:v>
                </c:pt>
                <c:pt idx="3">
                  <c:v>36-40岁</c:v>
                </c:pt>
                <c:pt idx="4">
                  <c:v>40岁以上</c:v>
                </c:pt>
              </c:strCache>
            </c:strRef>
          </c:cat>
          <c:val>
            <c:numRef>
              <c:f>'对比分析-2017'!$D$156:$D$160</c:f>
              <c:numCache>
                <c:formatCode>0.00%</c:formatCode>
                <c:ptCount val="5"/>
                <c:pt idx="0" formatCode="0%">
                  <c:v>0.26</c:v>
                </c:pt>
                <c:pt idx="1">
                  <c:v>0.26700000000000002</c:v>
                </c:pt>
                <c:pt idx="2">
                  <c:v>0.26600000000000001</c:v>
                </c:pt>
                <c:pt idx="3" formatCode="0%">
                  <c:v>0.15000000000000011</c:v>
                </c:pt>
                <c:pt idx="4">
                  <c:v>5.7000000000000023E-2</c:v>
                </c:pt>
              </c:numCache>
            </c:numRef>
          </c:val>
        </c:ser>
        <c:gapWidth val="60"/>
        <c:axId val="208898688"/>
        <c:axId val="208904576"/>
      </c:barChart>
      <c:catAx>
        <c:axId val="208898688"/>
        <c:scaling>
          <c:orientation val="minMax"/>
        </c:scaling>
        <c:axPos val="l"/>
        <c:numFmt formatCode="General" sourceLinked="0"/>
        <c:majorTickMark val="none"/>
        <c:tickLblPos val="nextTo"/>
        <c:spPr>
          <a:ln w="12700">
            <a:solidFill>
              <a:schemeClr val="tx1">
                <a:lumMod val="50000"/>
                <a:lumOff val="50000"/>
              </a:schemeClr>
            </a:solidFill>
          </a:ln>
        </c:spPr>
        <c:crossAx val="208904576"/>
        <c:crosses val="autoZero"/>
        <c:auto val="1"/>
        <c:lblAlgn val="ctr"/>
        <c:lblOffset val="100"/>
      </c:catAx>
      <c:valAx>
        <c:axId val="208904576"/>
        <c:scaling>
          <c:orientation val="minMax"/>
        </c:scaling>
        <c:axPos val="b"/>
        <c:majorGridlines>
          <c:spPr>
            <a:ln>
              <a:noFill/>
            </a:ln>
          </c:spPr>
        </c:majorGridlines>
        <c:numFmt formatCode="0%" sourceLinked="0"/>
        <c:majorTickMark val="none"/>
        <c:tickLblPos val="none"/>
        <c:spPr>
          <a:ln w="9525">
            <a:noFill/>
          </a:ln>
        </c:spPr>
        <c:crossAx val="208898688"/>
        <c:crosses val="autoZero"/>
        <c:crossBetween val="between"/>
      </c:valAx>
      <c:spPr>
        <a:ln>
          <a:noFill/>
        </a:ln>
      </c:spPr>
    </c:plotArea>
    <c:legend>
      <c:legendPos val="b"/>
      <c:layout>
        <c:manualLayout>
          <c:xMode val="edge"/>
          <c:yMode val="edge"/>
          <c:x val="0.19496474678188341"/>
          <c:y val="0.74744374999999996"/>
          <c:w val="0.65896591946339511"/>
          <c:h val="7.2559374999999995E-2"/>
        </c:manualLayout>
      </c:layout>
    </c:legend>
    <c:plotVisOnly val="1"/>
    <c:dispBlanksAs val="gap"/>
  </c:chart>
  <c:spPr>
    <a:ln w="12700">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1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年陕西省网民使用应用分发</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8.2154441117764557E-2"/>
          <c:y val="0.15157454328109976"/>
          <c:w val="0.87122962408516358"/>
          <c:h val="0.45843784722222231"/>
        </c:manualLayout>
      </c:layout>
      <c:barChart>
        <c:barDir val="col"/>
        <c:grouping val="clustered"/>
        <c:ser>
          <c:idx val="1"/>
          <c:order val="0"/>
          <c:tx>
            <c:strRef>
              <c:f>'05-移动端十大类APP网络使用黏性'!$A$187</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'05-移动端十大类APP网络使用黏性'!$B$186:$M$186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'05-移动端十大类APP网络使用黏性'!$B$187:$M$187</c:f>
              <c:numCache>
                <c:formatCode>General</c:formatCode>
                <c:ptCount val="12"/>
                <c:pt idx="0">
                  <c:v>1.77</c:v>
                </c:pt>
                <c:pt idx="1">
                  <c:v>1.75</c:v>
                </c:pt>
                <c:pt idx="2">
                  <c:v>1.81</c:v>
                </c:pt>
                <c:pt idx="3">
                  <c:v>1.72</c:v>
                </c:pt>
                <c:pt idx="4">
                  <c:v>1.76</c:v>
                </c:pt>
                <c:pt idx="5">
                  <c:v>1.6400000000000001</c:v>
                </c:pt>
                <c:pt idx="6">
                  <c:v>1.56</c:v>
                </c:pt>
                <c:pt idx="7">
                  <c:v>1.46</c:v>
                </c:pt>
                <c:pt idx="8">
                  <c:v>1.46</c:v>
                </c:pt>
                <c:pt idx="9">
                  <c:v>1.33</c:v>
                </c:pt>
                <c:pt idx="10">
                  <c:v>1.4</c:v>
                </c:pt>
                <c:pt idx="11">
                  <c:v>1.42</c:v>
                </c:pt>
              </c:numCache>
            </c:numRef>
          </c:val>
          <c:extLst xmlns:c16r2="http://schemas.microsoft.com/office/drawing/2015/06/chart">
            <c:ext xmlns:c16="http://schemas.microsoft.com/office/drawing/2014/chart" uri="{C3380CC4-5D6E-409C-BE32-E72D297353CC}">
              <c16:uniqueId val="{00000000-78DB-46B0-A80B-433380EA6BB0}"/>
            </c:ext>
          </c:extLst>
        </c:ser>
        <c:dLbls>
          <c:showVal val="1"/>
        </c:dLbls>
        <c:gapWidth val="60"/>
        <c:axId val="260149248"/>
        <c:axId val="260150784"/>
      </c:barChart>
      <c:lineChart>
        <c:grouping val="standard"/>
        <c:ser>
          <c:idx val="0"/>
          <c:order val="1"/>
          <c:tx>
            <c:strRef>
              <c:f>'05-移动端十大类APP网络使用黏性'!$A$188</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DB-46B0-A80B-433380EA6BB0}"/>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DB-46B0-A80B-433380EA6BB0}"/>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DB-46B0-A80B-433380EA6BB0}"/>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DB-46B0-A80B-433380EA6BB0}"/>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'05-移动端十大类APP网络使用黏性'!$B$186:$M$186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'05-移动端十大类APP网络使用黏性'!$B$188:$M$188</c:f>
              <c:numCache>
                <c:formatCode>0.0%</c:formatCode>
                <c:ptCount val="12"/>
                <c:pt idx="1">
                  <c:v>-1.12994350282486E-2</c:v>
                </c:pt>
                <c:pt idx="2">
                  <c:v>3.4285714285714287E-2</c:v>
                </c:pt>
                <c:pt idx="3">
                  <c:v>-4.9723756906077478E-2</c:v>
                </c:pt>
                <c:pt idx="4">
                  <c:v>2.3255813953488403E-2</c:v>
                </c:pt>
                <c:pt idx="5">
                  <c:v>-6.8181818181818232E-2</c:v>
                </c:pt>
                <c:pt idx="6">
                  <c:v>-4.8780487804878037E-2</c:v>
                </c:pt>
                <c:pt idx="7">
                  <c:v>-6.4102564102564222E-2</c:v>
                </c:pt>
                <c:pt idx="8">
                  <c:v>0</c:v>
                </c:pt>
                <c:pt idx="9">
                  <c:v>-8.9041095890410954E-2</c:v>
                </c:pt>
                <c:pt idx="10">
                  <c:v>5.2631578947368383E-2</c:v>
                </c:pt>
                <c:pt idx="11">
                  <c:v>1.428571428571424E-2</c:v>
                </c:pt>
              </c:numCache>
            </c:numRef>
          </c:val>
          <c:extLst xmlns:c16r2="http://schemas.microsoft.com/office/drawing/2015/06/chart">
            <c:ext xmlns:c16="http://schemas.microsoft.com/office/drawing/2014/chart" uri="{C3380CC4-5D6E-409C-BE32-E72D297353CC}">
              <c16:uniqueId val="{00000005-78DB-46B0-A80B-433380EA6BB0}"/>
            </c:ext>
          </c:extLst>
        </c:ser>
        <c:dLbls>
          <c:showVal val="1"/>
        </c:dLbls>
        <c:marker val="1"/>
        <c:axId val="260152320"/>
        <c:axId val="260158208"/>
      </c:lineChart>
      <c:catAx>
        <c:axId val="26014924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0150784"/>
        <c:crosses val="autoZero"/>
        <c:lblAlgn val="ctr"/>
        <c:lblOffset val="100"/>
        <c:tickLblSkip val="1"/>
        <c:tickMarkSkip val="1"/>
      </c:catAx>
      <c:valAx>
        <c:axId val="260150784"/>
        <c:scaling>
          <c:orientation val="minMax"/>
          <c:max val="3"/>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60149248"/>
        <c:crosses val="autoZero"/>
        <c:crossBetween val="between"/>
        <c:majorUnit val="1"/>
        <c:minorUnit val="1"/>
      </c:valAx>
      <c:catAx>
        <c:axId val="260152320"/>
        <c:scaling>
          <c:orientation val="minMax"/>
        </c:scaling>
        <c:delete val="1"/>
        <c:axPos val="b"/>
        <c:numFmt formatCode="General" sourceLinked="1"/>
        <c:tickLblPos val="none"/>
        <c:crossAx val="260158208"/>
        <c:crosses val="autoZero"/>
        <c:lblAlgn val="ctr"/>
        <c:lblOffset val="100"/>
      </c:catAx>
      <c:valAx>
        <c:axId val="260158208"/>
        <c:scaling>
          <c:orientation val="minMax"/>
          <c:max val="0.30000000000000027"/>
          <c:min val="-1.7"/>
        </c:scaling>
        <c:axPos val="r"/>
        <c:numFmt formatCode="General" sourceLinked="1"/>
        <c:majorTickMark val="none"/>
        <c:tickLblPos val="none"/>
        <c:spPr>
          <a:ln w="3175">
            <a:noFill/>
            <a:prstDash val="solid"/>
          </a:ln>
        </c:spPr>
        <c:crossAx val="260152320"/>
        <c:crosses val="max"/>
        <c:crossBetween val="between"/>
        <c:majorUnit val="0.29000000000000031"/>
        <c:minorUnit val="0.29000000000000031"/>
      </c:valAx>
      <c:spPr>
        <a:noFill/>
        <a:ln w="12700">
          <a:noFill/>
          <a:prstDash val="solid"/>
        </a:ln>
      </c:spPr>
    </c:plotArea>
    <c:legend>
      <c:legendPos val="r"/>
      <c:layout>
        <c:manualLayout>
          <c:xMode val="edge"/>
          <c:yMode val="edge"/>
          <c:x val="0.1043265552228876"/>
          <c:y val="0.71197291666666662"/>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11.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网民常用应用分发类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19483075515635392"/>
          <c:y val="2.9817901234567901E-2"/>
        </c:manualLayout>
      </c:layout>
    </c:title>
    <c:plotArea>
      <c:layout>
        <c:manualLayout>
          <c:layoutTarget val="inner"/>
          <c:xMode val="edge"/>
          <c:yMode val="edge"/>
          <c:x val="0.20327686088188721"/>
          <c:y val="0.13327067901234568"/>
          <c:w val="0.72105005418021173"/>
          <c:h val="0.56830648148148144"/>
        </c:manualLayout>
      </c:layout>
      <c:barChart>
        <c:barDir val="bar"/>
        <c:grouping val="clustered"/>
        <c:ser>
          <c:idx val="1"/>
          <c:order val="0"/>
          <c:tx>
            <c:strRef>
              <c:f>'06-移动端十大类APP-Top10'!$D$199</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'06-移动端十大类APP-Top10'!$C$200:$C$209</c:f>
              <c:strCache>
                <c:ptCount val="10"/>
                <c:pt idx="0">
                  <c:v>OPPO游戏中心</c:v>
                </c:pt>
                <c:pt idx="1">
                  <c:v>OPPO软件商店</c:v>
                </c:pt>
                <c:pt idx="2">
                  <c:v>小米应用商店</c:v>
                </c:pt>
                <c:pt idx="3">
                  <c:v>VIVO应用商店</c:v>
                </c:pt>
                <c:pt idx="4">
                  <c:v>VIVO游戏中心</c:v>
                </c:pt>
                <c:pt idx="5">
                  <c:v>华为应用市场</c:v>
                </c:pt>
                <c:pt idx="6">
                  <c:v>百度手机助手</c:v>
                </c:pt>
                <c:pt idx="7">
                  <c:v>360手机助手</c:v>
                </c:pt>
                <c:pt idx="8">
                  <c:v>苹果应用商店</c:v>
                </c:pt>
                <c:pt idx="9">
                  <c:v>应用宝</c:v>
                </c:pt>
              </c:strCache>
            </c:strRef>
          </c:cat>
          <c:val>
            <c:numRef>
              <c:f>'06-移动端十大类APP-Top10'!$D$200:$D$209</c:f>
              <c:numCache>
                <c:formatCode>0.00%</c:formatCode>
                <c:ptCount val="10"/>
                <c:pt idx="0">
                  <c:v>9.6700000000000022E-2</c:v>
                </c:pt>
                <c:pt idx="1">
                  <c:v>0.1028</c:v>
                </c:pt>
                <c:pt idx="2">
                  <c:v>0.12189999999999998</c:v>
                </c:pt>
                <c:pt idx="3">
                  <c:v>0.12250000000000005</c:v>
                </c:pt>
                <c:pt idx="4">
                  <c:v>0.125</c:v>
                </c:pt>
                <c:pt idx="5">
                  <c:v>0.1273</c:v>
                </c:pt>
                <c:pt idx="6">
                  <c:v>0.13020000000000001</c:v>
                </c:pt>
                <c:pt idx="7">
                  <c:v>0.16940000000000011</c:v>
                </c:pt>
                <c:pt idx="8">
                  <c:v>0.19070000000000001</c:v>
                </c:pt>
                <c:pt idx="9">
                  <c:v>0.27880000000000021</c:v>
                </c:pt>
              </c:numCache>
            </c:numRef>
          </c:val>
          <c:extLst xmlns:c16r2="http://schemas.microsoft.com/office/drawing/2015/06/chart">
            <c:ext xmlns:c16="http://schemas.microsoft.com/office/drawing/2014/chart" uri="{C3380CC4-5D6E-409C-BE32-E72D297353CC}">
              <c16:uniqueId val="{00000000-8156-432D-AD4F-DE8EAEF75AFE}"/>
            </c:ext>
          </c:extLst>
        </c:ser>
        <c:dLbls>
          <c:showVal val="1"/>
        </c:dLbls>
        <c:gapWidth val="60"/>
        <c:axId val="260117632"/>
        <c:axId val="260119168"/>
      </c:barChart>
      <c:catAx>
        <c:axId val="260117632"/>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60119168"/>
        <c:crosses val="autoZero"/>
        <c:auto val="1"/>
        <c:lblAlgn val="ctr"/>
        <c:lblOffset val="100"/>
      </c:catAx>
      <c:valAx>
        <c:axId val="260119168"/>
        <c:scaling>
          <c:orientation val="minMax"/>
          <c:max val="0.30000000000000027"/>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60117632"/>
        <c:crosses val="autoZero"/>
        <c:crossBetween val="between"/>
        <c:minorUnit val="0.1"/>
      </c:valAx>
      <c:spPr>
        <a:ln>
          <a:noFill/>
        </a:ln>
      </c:spPr>
    </c:plotArea>
    <c:legend>
      <c:legendPos val="b"/>
      <c:layout>
        <c:manualLayout>
          <c:xMode val="edge"/>
          <c:yMode val="edge"/>
          <c:x val="0.32947105788423192"/>
          <c:y val="0.78570277777777753"/>
          <c:w val="0.39379407351837958"/>
          <c:h val="5.4442133412568733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11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年陕西省网民使用综合资讯</a:t>
            </a:r>
            <a:r>
              <a:rPr lang="en-US" sz="1200" b="1"/>
              <a:t>APP</a:t>
            </a:r>
            <a:r>
              <a:rPr lang="zh-CN" altLang="en-US" sz="1200" b="1"/>
              <a:t>月独立设备数比例</a:t>
            </a:r>
          </a:p>
        </c:rich>
      </c:tx>
      <c:layout>
        <c:manualLayout>
          <c:xMode val="edge"/>
          <c:yMode val="edge"/>
          <c:x val="0.11965319361277445"/>
          <c:y val="2.8065858575371402E-2"/>
        </c:manualLayout>
      </c:layout>
      <c:spPr>
        <a:noFill/>
        <a:ln w="25400">
          <a:noFill/>
        </a:ln>
      </c:spPr>
    </c:title>
    <c:plotArea>
      <c:layout>
        <c:manualLayout>
          <c:layoutTarget val="inner"/>
          <c:xMode val="edge"/>
          <c:yMode val="edge"/>
          <c:x val="0.10063834099945428"/>
          <c:y val="0.18879383320328214"/>
          <c:w val="0.83426189288090491"/>
          <c:h val="0.4704642361111111"/>
        </c:manualLayout>
      </c:layout>
      <c:areaChart>
        <c:grouping val="standard"/>
        <c:ser>
          <c:idx val="1"/>
          <c:order val="0"/>
          <c:tx>
            <c:strRef>
              <c:f>'05-移动端十大类APP网络使用黏性'!$A$241</c:f>
              <c:strCache>
                <c:ptCount val="1"/>
                <c:pt idx="0">
                  <c:v>月独立设备数比例</c:v>
                </c:pt>
              </c:strCache>
            </c:strRef>
          </c:tx>
          <c:spPr>
            <a:solidFill>
              <a:srgbClr val="B2D234"/>
            </a:solidFill>
            <a:ln w="12700">
              <a:noFill/>
              <a:prstDash val="solid"/>
            </a:ln>
          </c:spPr>
          <c:dLbls>
            <c:dLbl>
              <c:idx val="0"/>
              <c:delete val="1"/>
            </c:dLbl>
            <c:dLbl>
              <c:idx val="1"/>
              <c:layout>
                <c:manualLayout>
                  <c:x val="0"/>
                  <c:y val="-0.16315972222222219"/>
                </c:manualLayout>
              </c:layout>
              <c:showVal val="1"/>
            </c:dLbl>
            <c:dLbl>
              <c:idx val="2"/>
              <c:delete val="1"/>
            </c:dLbl>
            <c:dLbl>
              <c:idx val="3"/>
              <c:layout>
                <c:manualLayout>
                  <c:x val="0"/>
                  <c:y val="-0.19402777777777772"/>
                </c:manualLayout>
              </c:layout>
              <c:showVal val="1"/>
            </c:dLbl>
            <c:dLbl>
              <c:idx val="4"/>
              <c:delete val="1"/>
            </c:dLbl>
            <c:dLbl>
              <c:idx val="5"/>
              <c:layout>
                <c:manualLayout>
                  <c:x val="0"/>
                  <c:y val="-0.19843750000000004"/>
                </c:manualLayout>
              </c:layout>
              <c:showVal val="1"/>
            </c:dLbl>
            <c:dLbl>
              <c:idx val="6"/>
              <c:delete val="1"/>
            </c:dLbl>
            <c:dLbl>
              <c:idx val="7"/>
              <c:layout>
                <c:manualLayout>
                  <c:x val="7.9216566866267494E-3"/>
                  <c:y val="-0.19843750000000004"/>
                </c:manualLayout>
              </c:layout>
              <c:showVal val="1"/>
            </c:dLbl>
            <c:dLbl>
              <c:idx val="8"/>
              <c:delete val="1"/>
            </c:dLbl>
            <c:dLbl>
              <c:idx val="9"/>
              <c:layout>
                <c:manualLayout>
                  <c:x val="7.9216566866267494E-3"/>
                  <c:y val="-0.2116666666666667"/>
                </c:manualLayout>
              </c:layout>
              <c:showVal val="1"/>
            </c:dLbl>
            <c:dLbl>
              <c:idx val="10"/>
              <c:delete val="1"/>
            </c:dLbl>
            <c:dLbl>
              <c:idx val="11"/>
              <c:layout>
                <c:manualLayout>
                  <c:x val="-2.6405522288755856E-3"/>
                  <c:y val="-0.2116666666666667"/>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'05-移动端十大类APP网络使用黏性'!$B$240:$M$240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'05-移动端十大类APP网络使用黏性'!$B$241:$M$241</c:f>
              <c:numCache>
                <c:formatCode>0.00%</c:formatCode>
                <c:ptCount val="12"/>
                <c:pt idx="0">
                  <c:v>0.5102821398516838</c:v>
                </c:pt>
                <c:pt idx="1">
                  <c:v>0.51798788261434414</c:v>
                </c:pt>
                <c:pt idx="2">
                  <c:v>0.52921966107330742</c:v>
                </c:pt>
                <c:pt idx="3">
                  <c:v>0.54633706669818904</c:v>
                </c:pt>
                <c:pt idx="4">
                  <c:v>0.5591637036478484</c:v>
                </c:pt>
                <c:pt idx="5">
                  <c:v>0.5668602308958437</c:v>
                </c:pt>
                <c:pt idx="6">
                  <c:v>0.56082280404302065</c:v>
                </c:pt>
                <c:pt idx="7">
                  <c:v>0.57074862881572841</c:v>
                </c:pt>
                <c:pt idx="8">
                  <c:v>0.57474789320180575</c:v>
                </c:pt>
                <c:pt idx="9">
                  <c:v>0.55941477373165915</c:v>
                </c:pt>
                <c:pt idx="10">
                  <c:v>0.58422042530992158</c:v>
                </c:pt>
                <c:pt idx="11">
                  <c:v>0.58725701420997845</c:v>
                </c:pt>
              </c:numCache>
            </c:numRef>
          </c:val>
          <c:extLst xmlns:c16r2="http://schemas.microsoft.com/office/drawing/2015/06/chart">
            <c:ext xmlns:c16="http://schemas.microsoft.com/office/drawing/2014/chart" uri="{C3380CC4-5D6E-409C-BE32-E72D297353CC}">
              <c16:uniqueId val="{00000000-29DC-4BBA-B2AC-C17D276C68EE}"/>
            </c:ext>
          </c:extLst>
        </c:ser>
        <c:dLbls>
          <c:showVal val="1"/>
        </c:dLbls>
        <c:axId val="260290048"/>
        <c:axId val="260306048"/>
      </c:areaChart>
      <c:catAx>
        <c:axId val="26029004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0306048"/>
        <c:crosses val="autoZero"/>
        <c:lblAlgn val="ctr"/>
        <c:lblOffset val="100"/>
      </c:catAx>
      <c:valAx>
        <c:axId val="260306048"/>
        <c:scaling>
          <c:orientation val="minMax"/>
          <c:max val="0.70000000000000051"/>
          <c:min val="0.30000000000000027"/>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60290048"/>
        <c:crosses val="autoZero"/>
        <c:crossBetween val="midCat"/>
        <c:majorUnit val="0.1"/>
        <c:minorUnit val="0.1"/>
      </c:valAx>
      <c:spPr>
        <a:noFill/>
        <a:ln w="12700">
          <a:noFill/>
          <a:prstDash val="solid"/>
        </a:ln>
      </c:spPr>
    </c:plotArea>
    <c:legend>
      <c:legendPos val="r"/>
      <c:layout>
        <c:manualLayout>
          <c:xMode val="edge"/>
          <c:yMode val="edge"/>
          <c:x val="0.11752910844976711"/>
          <c:y val="0.75244166666666712"/>
          <c:w val="0.78985335166437565"/>
          <c:h val="6.9777083333333406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1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综合资讯</a:t>
            </a:r>
            <a:r>
              <a:rPr lang="en-US" sz="1200" b="1"/>
              <a:t>APP</a:t>
            </a:r>
            <a:r>
              <a:rPr lang="zh-CN" altLang="en-US" sz="1200" b="1"/>
              <a:t>单机使用天数</a:t>
            </a:r>
            <a:endParaRPr lang="zh-CN" sz="1200" b="1"/>
          </a:p>
        </c:rich>
      </c:tx>
      <c:spPr>
        <a:noFill/>
        <a:ln w="25400">
          <a:noFill/>
        </a:ln>
      </c:spPr>
    </c:title>
    <c:plotArea>
      <c:layout>
        <c:manualLayout>
          <c:layoutTarget val="inner"/>
          <c:xMode val="edge"/>
          <c:yMode val="edge"/>
          <c:x val="9.0076097804391214E-2"/>
          <c:y val="0.19117848956663233"/>
          <c:w val="0.86330796739853666"/>
          <c:h val="0.45042013888888888"/>
        </c:manualLayout>
      </c:layout>
      <c:barChart>
        <c:barDir val="col"/>
        <c:grouping val="clustered"/>
        <c:ser>
          <c:idx val="1"/>
          <c:order val="0"/>
          <c:tx>
            <c:strRef>
              <c:f>'05-移动端十大类APP网络使用黏性'!$A$246</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'05-移动端十大类APP网络使用黏性'!$B$245:$M$245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'05-移动端十大类APP网络使用黏性'!$B$246:$M$246</c:f>
              <c:numCache>
                <c:formatCode>General</c:formatCode>
                <c:ptCount val="12"/>
                <c:pt idx="0">
                  <c:v>12.47</c:v>
                </c:pt>
                <c:pt idx="1">
                  <c:v>11.38</c:v>
                </c:pt>
                <c:pt idx="2">
                  <c:v>12.71</c:v>
                </c:pt>
                <c:pt idx="3">
                  <c:v>12.1</c:v>
                </c:pt>
                <c:pt idx="4">
                  <c:v>12.370000000000006</c:v>
                </c:pt>
                <c:pt idx="5">
                  <c:v>11.61</c:v>
                </c:pt>
                <c:pt idx="6">
                  <c:v>12.9</c:v>
                </c:pt>
                <c:pt idx="7">
                  <c:v>12.48</c:v>
                </c:pt>
                <c:pt idx="8">
                  <c:v>12.13</c:v>
                </c:pt>
                <c:pt idx="9">
                  <c:v>12.96</c:v>
                </c:pt>
                <c:pt idx="10">
                  <c:v>12.27</c:v>
                </c:pt>
                <c:pt idx="11">
                  <c:v>12.82</c:v>
                </c:pt>
              </c:numCache>
            </c:numRef>
          </c:val>
          <c:extLst xmlns:c16r2="http://schemas.microsoft.com/office/drawing/2015/06/chart">
            <c:ext xmlns:c16="http://schemas.microsoft.com/office/drawing/2014/chart" uri="{C3380CC4-5D6E-409C-BE32-E72D297353CC}">
              <c16:uniqueId val="{00000000-9A45-44DB-B74C-1573E6F57941}"/>
            </c:ext>
          </c:extLst>
        </c:ser>
        <c:dLbls>
          <c:showVal val="1"/>
        </c:dLbls>
        <c:gapWidth val="60"/>
        <c:axId val="261855872"/>
        <c:axId val="261865856"/>
      </c:barChart>
      <c:lineChart>
        <c:grouping val="standard"/>
        <c:ser>
          <c:idx val="0"/>
          <c:order val="1"/>
          <c:tx>
            <c:strRef>
              <c:f>'05-移动端十大类APP网络使用黏性'!$A$247</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45-44DB-B74C-1573E6F57941}"/>
                </c:ext>
              </c:extLst>
            </c:dLbl>
            <c:dLbl>
              <c:idx val="1"/>
              <c:layout>
                <c:manualLayout>
                  <c:x val="-7.9297349105680981E-2"/>
                  <c:y val="-5.931017937740352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A45-44DB-B74C-1573E6F57941}"/>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A45-44DB-B74C-1573E6F57941}"/>
                </c:ext>
              </c:extLst>
            </c:dLbl>
            <c:dLbl>
              <c:idx val="3"/>
              <c:layout>
                <c:manualLayout>
                  <c:x val="-4.8493338103090422E-2"/>
                  <c:y val="-5.88141919694733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A45-44DB-B74C-1573E6F57941}"/>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'05-移动端十大类APP网络使用黏性'!$B$245:$M$245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'05-移动端十大类APP网络使用黏性'!$B$247:$M$247</c:f>
              <c:numCache>
                <c:formatCode>0.0%</c:formatCode>
                <c:ptCount val="12"/>
                <c:pt idx="1">
                  <c:v>-8.7409783480352679E-2</c:v>
                </c:pt>
                <c:pt idx="2">
                  <c:v>0.26107226107226156</c:v>
                </c:pt>
                <c:pt idx="3">
                  <c:v>-1.8484288354897469E-3</c:v>
                </c:pt>
                <c:pt idx="4">
                  <c:v>2.2314049586776869E-2</c:v>
                </c:pt>
                <c:pt idx="5">
                  <c:v>-6.1438965238480137E-2</c:v>
                </c:pt>
                <c:pt idx="6">
                  <c:v>0.11111111111111116</c:v>
                </c:pt>
                <c:pt idx="7">
                  <c:v>-3.2558139534883741E-2</c:v>
                </c:pt>
                <c:pt idx="8">
                  <c:v>-2.8044871794871806E-2</c:v>
                </c:pt>
                <c:pt idx="9">
                  <c:v>6.842539159109641E-2</c:v>
                </c:pt>
                <c:pt idx="10">
                  <c:v>-5.3240740740740797E-2</c:v>
                </c:pt>
                <c:pt idx="11">
                  <c:v>4.4824775876120701E-2</c:v>
                </c:pt>
              </c:numCache>
            </c:numRef>
          </c:val>
          <c:extLst xmlns:c16r2="http://schemas.microsoft.com/office/drawing/2015/06/chart">
            <c:ext xmlns:c16="http://schemas.microsoft.com/office/drawing/2014/chart" uri="{C3380CC4-5D6E-409C-BE32-E72D297353CC}">
              <c16:uniqueId val="{00000005-9A45-44DB-B74C-1573E6F57941}"/>
            </c:ext>
          </c:extLst>
        </c:ser>
        <c:dLbls>
          <c:showVal val="1"/>
        </c:dLbls>
        <c:marker val="1"/>
        <c:axId val="261867392"/>
        <c:axId val="261868928"/>
      </c:lineChart>
      <c:catAx>
        <c:axId val="26185587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1865856"/>
        <c:crosses val="autoZero"/>
        <c:lblAlgn val="ctr"/>
        <c:lblOffset val="100"/>
        <c:tickLblSkip val="1"/>
        <c:tickMarkSkip val="1"/>
      </c:catAx>
      <c:valAx>
        <c:axId val="261865856"/>
        <c:scaling>
          <c:orientation val="minMax"/>
          <c:max val="22"/>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61855872"/>
        <c:crosses val="autoZero"/>
        <c:crossBetween val="between"/>
        <c:majorUnit val="5"/>
        <c:minorUnit val="1"/>
      </c:valAx>
      <c:catAx>
        <c:axId val="261867392"/>
        <c:scaling>
          <c:orientation val="minMax"/>
        </c:scaling>
        <c:delete val="1"/>
        <c:axPos val="b"/>
        <c:numFmt formatCode="General" sourceLinked="1"/>
        <c:tickLblPos val="none"/>
        <c:crossAx val="261868928"/>
        <c:crosses val="autoZero"/>
        <c:lblAlgn val="ctr"/>
        <c:lblOffset val="100"/>
      </c:catAx>
      <c:valAx>
        <c:axId val="261868928"/>
        <c:scaling>
          <c:orientation val="minMax"/>
          <c:max val="0.5"/>
          <c:min val="-3"/>
        </c:scaling>
        <c:axPos val="r"/>
        <c:numFmt formatCode="General" sourceLinked="1"/>
        <c:majorTickMark val="none"/>
        <c:tickLblPos val="none"/>
        <c:spPr>
          <a:ln w="3175">
            <a:noFill/>
            <a:prstDash val="solid"/>
          </a:ln>
        </c:spPr>
        <c:crossAx val="261867392"/>
        <c:crosses val="max"/>
        <c:crossBetween val="between"/>
        <c:majorUnit val="0.29000000000000031"/>
        <c:minorUnit val="0.29000000000000031"/>
      </c:valAx>
      <c:spPr>
        <a:noFill/>
        <a:ln w="12700">
          <a:noFill/>
          <a:prstDash val="solid"/>
        </a:ln>
      </c:spPr>
    </c:plotArea>
    <c:legend>
      <c:legendPos val="r"/>
      <c:layout>
        <c:manualLayout>
          <c:xMode val="edge"/>
          <c:yMode val="edge"/>
          <c:x val="0.11752931636726545"/>
          <c:y val="0.7410743055555556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综合资讯</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7.9513680971390666E-2"/>
          <c:y val="0.18738072228589481"/>
          <c:w val="0.87651072854291368"/>
          <c:h val="0.45442916666666688"/>
        </c:manualLayout>
      </c:layout>
      <c:barChart>
        <c:barDir val="col"/>
        <c:grouping val="clustered"/>
        <c:ser>
          <c:idx val="1"/>
          <c:order val="0"/>
          <c:tx>
            <c:strRef>
              <c:f>'05-移动端十大类APP网络使用黏性'!$A$251</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'05-移动端十大类APP网络使用黏性'!$B$250:$M$250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'05-移动端十大类APP网络使用黏性'!$B$251:$M$251</c:f>
              <c:numCache>
                <c:formatCode>General</c:formatCode>
                <c:ptCount val="12"/>
                <c:pt idx="0">
                  <c:v>2.6</c:v>
                </c:pt>
                <c:pt idx="1">
                  <c:v>2.67</c:v>
                </c:pt>
                <c:pt idx="2">
                  <c:v>2.67</c:v>
                </c:pt>
                <c:pt idx="3">
                  <c:v>2.72</c:v>
                </c:pt>
                <c:pt idx="4">
                  <c:v>2.73</c:v>
                </c:pt>
                <c:pt idx="5">
                  <c:v>2.7800000000000002</c:v>
                </c:pt>
                <c:pt idx="6">
                  <c:v>2.94</c:v>
                </c:pt>
                <c:pt idx="7">
                  <c:v>3.22</c:v>
                </c:pt>
                <c:pt idx="8">
                  <c:v>3.04</c:v>
                </c:pt>
                <c:pt idx="9">
                  <c:v>3.42</c:v>
                </c:pt>
                <c:pt idx="10">
                  <c:v>3.25</c:v>
                </c:pt>
                <c:pt idx="11">
                  <c:v>3.3099999999999987</c:v>
                </c:pt>
              </c:numCache>
            </c:numRef>
          </c:val>
          <c:extLst xmlns:c16r2="http://schemas.microsoft.com/office/drawing/2015/06/chart">
            <c:ext xmlns:c16="http://schemas.microsoft.com/office/drawing/2014/chart" uri="{C3380CC4-5D6E-409C-BE32-E72D297353CC}">
              <c16:uniqueId val="{00000000-7C17-4BE0-B072-E6B47D17976A}"/>
            </c:ext>
          </c:extLst>
        </c:ser>
        <c:dLbls>
          <c:showVal val="1"/>
        </c:dLbls>
        <c:gapWidth val="60"/>
        <c:axId val="260318336"/>
        <c:axId val="260319872"/>
      </c:barChart>
      <c:lineChart>
        <c:grouping val="standard"/>
        <c:ser>
          <c:idx val="0"/>
          <c:order val="1"/>
          <c:tx>
            <c:strRef>
              <c:f>'05-移动端十大类APP网络使用黏性'!$A$252</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17-4BE0-B072-E6B47D17976A}"/>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C17-4BE0-B072-E6B47D17976A}"/>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C17-4BE0-B072-E6B47D17976A}"/>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C17-4BE0-B072-E6B47D17976A}"/>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'05-移动端十大类APP网络使用黏性'!$B$250:$M$250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'05-移动端十大类APP网络使用黏性'!$B$252:$M$252</c:f>
              <c:numCache>
                <c:formatCode>0.0%</c:formatCode>
                <c:ptCount val="12"/>
                <c:pt idx="1">
                  <c:v>2.6923076923076848E-2</c:v>
                </c:pt>
                <c:pt idx="2">
                  <c:v>0</c:v>
                </c:pt>
                <c:pt idx="3">
                  <c:v>1.8726591760299685E-2</c:v>
                </c:pt>
                <c:pt idx="4">
                  <c:v>3.6764705882352811E-3</c:v>
                </c:pt>
                <c:pt idx="5">
                  <c:v>1.8315018315018264E-2</c:v>
                </c:pt>
                <c:pt idx="6">
                  <c:v>5.7553956834532509E-2</c:v>
                </c:pt>
                <c:pt idx="7">
                  <c:v>9.5238095238095413E-2</c:v>
                </c:pt>
                <c:pt idx="8">
                  <c:v>-5.5900621118012465E-2</c:v>
                </c:pt>
                <c:pt idx="9">
                  <c:v>0.125</c:v>
                </c:pt>
                <c:pt idx="10">
                  <c:v>-4.9707602339181346E-2</c:v>
                </c:pt>
                <c:pt idx="11">
                  <c:v>1.8461538461538547E-2</c:v>
                </c:pt>
              </c:numCache>
            </c:numRef>
          </c:val>
          <c:extLst xmlns:c16r2="http://schemas.microsoft.com/office/drawing/2015/06/chart">
            <c:ext xmlns:c16="http://schemas.microsoft.com/office/drawing/2014/chart" uri="{C3380CC4-5D6E-409C-BE32-E72D297353CC}">
              <c16:uniqueId val="{00000005-7C17-4BE0-B072-E6B47D17976A}"/>
            </c:ext>
          </c:extLst>
        </c:ser>
        <c:dLbls>
          <c:showVal val="1"/>
        </c:dLbls>
        <c:marker val="1"/>
        <c:axId val="260370816"/>
        <c:axId val="260372352"/>
      </c:lineChart>
      <c:catAx>
        <c:axId val="2603183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0319872"/>
        <c:crosses val="autoZero"/>
        <c:lblAlgn val="ctr"/>
        <c:lblOffset val="100"/>
        <c:tickLblSkip val="1"/>
        <c:tickMarkSkip val="1"/>
      </c:catAx>
      <c:valAx>
        <c:axId val="260319872"/>
        <c:scaling>
          <c:orientation val="minMax"/>
          <c:max val="6"/>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60318336"/>
        <c:crosses val="autoZero"/>
        <c:crossBetween val="between"/>
        <c:majorUnit val="2"/>
        <c:minorUnit val="1"/>
      </c:valAx>
      <c:catAx>
        <c:axId val="260370816"/>
        <c:scaling>
          <c:orientation val="minMax"/>
        </c:scaling>
        <c:delete val="1"/>
        <c:axPos val="b"/>
        <c:numFmt formatCode="General" sourceLinked="1"/>
        <c:tickLblPos val="none"/>
        <c:crossAx val="260372352"/>
        <c:crosses val="autoZero"/>
        <c:lblAlgn val="ctr"/>
        <c:lblOffset val="100"/>
      </c:catAx>
      <c:valAx>
        <c:axId val="260372352"/>
        <c:scaling>
          <c:orientation val="minMax"/>
          <c:max val="0.2"/>
          <c:min val="-1"/>
        </c:scaling>
        <c:axPos val="r"/>
        <c:numFmt formatCode="General" sourceLinked="1"/>
        <c:majorTickMark val="none"/>
        <c:tickLblPos val="none"/>
        <c:spPr>
          <a:ln w="3175">
            <a:noFill/>
            <a:prstDash val="solid"/>
          </a:ln>
        </c:spPr>
        <c:crossAx val="260370816"/>
        <c:crosses val="max"/>
        <c:crossBetween val="between"/>
        <c:majorUnit val="0.29000000000000031"/>
        <c:minorUnit val="0.29000000000000031"/>
      </c:valAx>
      <c:spPr>
        <a:noFill/>
        <a:ln w="12700">
          <a:noFill/>
          <a:prstDash val="solid"/>
        </a:ln>
      </c:spPr>
    </c:plotArea>
    <c:legend>
      <c:legendPos val="r"/>
      <c:layout>
        <c:manualLayout>
          <c:xMode val="edge"/>
          <c:yMode val="edge"/>
          <c:x val="0.12809152528276777"/>
          <c:y val="0.73828229166666659"/>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1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综合资讯</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7.9513888888888939E-2"/>
          <c:y val="0.19642357346415218"/>
          <c:w val="0.87387017631403918"/>
          <c:h val="0.43518645833333336"/>
        </c:manualLayout>
      </c:layout>
      <c:barChart>
        <c:barDir val="col"/>
        <c:grouping val="clustered"/>
        <c:ser>
          <c:idx val="1"/>
          <c:order val="0"/>
          <c:tx>
            <c:strRef>
              <c:f>'05-移动端十大类APP网络使用黏性'!$A$256</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'05-移动端十大类APP网络使用黏性'!$B$255:$M$255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'05-移动端十大类APP网络使用黏性'!$B$256:$M$256</c:f>
              <c:numCache>
                <c:formatCode>General</c:formatCode>
                <c:ptCount val="12"/>
                <c:pt idx="0">
                  <c:v>11.76</c:v>
                </c:pt>
                <c:pt idx="1">
                  <c:v>11.91</c:v>
                </c:pt>
                <c:pt idx="2">
                  <c:v>11.74</c:v>
                </c:pt>
                <c:pt idx="3">
                  <c:v>11.75</c:v>
                </c:pt>
                <c:pt idx="4">
                  <c:v>11.08</c:v>
                </c:pt>
                <c:pt idx="5">
                  <c:v>11.450000000000006</c:v>
                </c:pt>
                <c:pt idx="6">
                  <c:v>11.28</c:v>
                </c:pt>
                <c:pt idx="7">
                  <c:v>11.44</c:v>
                </c:pt>
                <c:pt idx="8">
                  <c:v>11.05</c:v>
                </c:pt>
                <c:pt idx="9">
                  <c:v>10.89</c:v>
                </c:pt>
                <c:pt idx="10">
                  <c:v>11.12</c:v>
                </c:pt>
                <c:pt idx="11">
                  <c:v>11.73</c:v>
                </c:pt>
              </c:numCache>
            </c:numRef>
          </c:val>
          <c:extLst xmlns:c16r2="http://schemas.microsoft.com/office/drawing/2015/06/chart">
            <c:ext xmlns:c16="http://schemas.microsoft.com/office/drawing/2014/chart" uri="{C3380CC4-5D6E-409C-BE32-E72D297353CC}">
              <c16:uniqueId val="{00000000-2557-4EBD-B402-2D891AF2A00F}"/>
            </c:ext>
          </c:extLst>
        </c:ser>
        <c:dLbls>
          <c:showVal val="1"/>
        </c:dLbls>
        <c:gapWidth val="60"/>
        <c:axId val="261925504"/>
        <c:axId val="261935488"/>
      </c:barChart>
      <c:lineChart>
        <c:grouping val="standard"/>
        <c:ser>
          <c:idx val="0"/>
          <c:order val="1"/>
          <c:tx>
            <c:strRef>
              <c:f>'05-移动端十大类APP网络使用黏性'!$A$257</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57-4EBD-B402-2D891AF2A00F}"/>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57-4EBD-B402-2D891AF2A00F}"/>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57-4EBD-B402-2D891AF2A00F}"/>
                </c:ext>
              </c:extLst>
            </c:dLbl>
            <c:dLbl>
              <c:idx val="3"/>
              <c:layout>
                <c:manualLayout>
                  <c:x val="-5.3775941373664871E-2"/>
                  <c:y val="-2.84640040762399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557-4EBD-B402-2D891AF2A00F}"/>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'05-移动端十大类APP网络使用黏性'!$B$255:$M$255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'05-移动端十大类APP网络使用黏性'!$B$257:$M$257</c:f>
              <c:numCache>
                <c:formatCode>0.0%</c:formatCode>
                <c:ptCount val="12"/>
                <c:pt idx="1">
                  <c:v>1.2755102040816322E-2</c:v>
                </c:pt>
                <c:pt idx="2">
                  <c:v>-1.4273719563392073E-2</c:v>
                </c:pt>
                <c:pt idx="3">
                  <c:v>8.5178875638836223E-4</c:v>
                </c:pt>
                <c:pt idx="4">
                  <c:v>-5.702127659574463E-2</c:v>
                </c:pt>
                <c:pt idx="5">
                  <c:v>3.3393501805054182E-2</c:v>
                </c:pt>
                <c:pt idx="6">
                  <c:v>-1.4847161572052349E-2</c:v>
                </c:pt>
                <c:pt idx="7">
                  <c:v>1.4184397163120588E-2</c:v>
                </c:pt>
                <c:pt idx="8">
                  <c:v>-3.409090909090895E-2</c:v>
                </c:pt>
                <c:pt idx="9">
                  <c:v>-1.4479638009049825E-2</c:v>
                </c:pt>
                <c:pt idx="10">
                  <c:v>2.1120293847566536E-2</c:v>
                </c:pt>
                <c:pt idx="11">
                  <c:v>5.4856115107913904E-2</c:v>
                </c:pt>
              </c:numCache>
            </c:numRef>
          </c:val>
          <c:extLst xmlns:c16r2="http://schemas.microsoft.com/office/drawing/2015/06/chart">
            <c:ext xmlns:c16="http://schemas.microsoft.com/office/drawing/2014/chart" uri="{C3380CC4-5D6E-409C-BE32-E72D297353CC}">
              <c16:uniqueId val="{00000005-2557-4EBD-B402-2D891AF2A00F}"/>
            </c:ext>
          </c:extLst>
        </c:ser>
        <c:dLbls>
          <c:showVal val="1"/>
        </c:dLbls>
        <c:marker val="1"/>
        <c:axId val="261937024"/>
        <c:axId val="261938560"/>
      </c:lineChart>
      <c:catAx>
        <c:axId val="26192550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61935488"/>
        <c:crosses val="autoZero"/>
        <c:lblAlgn val="ctr"/>
        <c:lblOffset val="100"/>
        <c:tickLblSkip val="1"/>
        <c:tickMarkSkip val="1"/>
      </c:catAx>
      <c:valAx>
        <c:axId val="261935488"/>
        <c:scaling>
          <c:orientation val="minMax"/>
          <c:max val="2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61925504"/>
        <c:crosses val="autoZero"/>
        <c:crossBetween val="between"/>
        <c:majorUnit val="5"/>
      </c:valAx>
      <c:catAx>
        <c:axId val="261937024"/>
        <c:scaling>
          <c:orientation val="minMax"/>
        </c:scaling>
        <c:delete val="1"/>
        <c:axPos val="b"/>
        <c:numFmt formatCode="General" sourceLinked="1"/>
        <c:tickLblPos val="none"/>
        <c:crossAx val="261938560"/>
        <c:crosses val="autoZero"/>
        <c:lblAlgn val="ctr"/>
        <c:lblOffset val="100"/>
      </c:catAx>
      <c:valAx>
        <c:axId val="261938560"/>
        <c:scaling>
          <c:orientation val="minMax"/>
          <c:max val="0.2"/>
          <c:min val="-1"/>
        </c:scaling>
        <c:axPos val="r"/>
        <c:numFmt formatCode="General" sourceLinked="1"/>
        <c:majorTickMark val="none"/>
        <c:tickLblPos val="none"/>
        <c:spPr>
          <a:ln w="3175">
            <a:noFill/>
            <a:prstDash val="solid"/>
          </a:ln>
        </c:spPr>
        <c:crossAx val="261937024"/>
        <c:crosses val="max"/>
        <c:crossBetween val="between"/>
        <c:majorUnit val="0.29000000000000031"/>
        <c:minorUnit val="0.29000000000000031"/>
      </c:valAx>
      <c:spPr>
        <a:noFill/>
        <a:ln w="25400">
          <a:noFill/>
        </a:ln>
      </c:spPr>
    </c:plotArea>
    <c:legend>
      <c:legendPos val="r"/>
      <c:layout>
        <c:manualLayout>
          <c:xMode val="edge"/>
          <c:yMode val="edge"/>
          <c:x val="0.12016986859614105"/>
          <c:y val="0.73868333333333402"/>
          <c:w val="0.78985335166437565"/>
          <c:h val="6.095763888888892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16.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网民常用综合资讯类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18162799401197613"/>
          <c:y val="2.9817901234567901E-2"/>
        </c:manualLayout>
      </c:layout>
    </c:title>
    <c:plotArea>
      <c:layout>
        <c:manualLayout>
          <c:layoutTarget val="inner"/>
          <c:xMode val="edge"/>
          <c:yMode val="edge"/>
          <c:x val="0.14770046678336268"/>
          <c:y val="0.13719043209876544"/>
          <c:w val="0.77662644827873695"/>
          <c:h val="0.55107746913580269"/>
        </c:manualLayout>
      </c:layout>
      <c:barChart>
        <c:barDir val="bar"/>
        <c:grouping val="clustered"/>
        <c:ser>
          <c:idx val="1"/>
          <c:order val="0"/>
          <c:tx>
            <c:strRef>
              <c:f>'06-移动端十大类APP-Top10'!$D$219</c:f>
              <c:strCache>
                <c:ptCount val="1"/>
                <c:pt idx="0">
                  <c:v>月独立设备数比例</c:v>
                </c:pt>
              </c:strCache>
            </c:strRef>
          </c:tx>
          <c:spPr>
            <a:solidFill>
              <a:srgbClr val="B2D234"/>
            </a:solidFill>
            <a:ln w="12700">
              <a:noFill/>
            </a:ln>
          </c:spPr>
          <c:dLbls>
            <c:numFmt formatCode="0.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'06-移动端十大类APP-Top10'!$C$220:$C$229</c:f>
              <c:strCache>
                <c:ptCount val="10"/>
                <c:pt idx="0">
                  <c:v>腾讯体育</c:v>
                </c:pt>
                <c:pt idx="1">
                  <c:v>趣头条</c:v>
                </c:pt>
                <c:pt idx="2">
                  <c:v>一点资讯</c:v>
                </c:pt>
                <c:pt idx="3">
                  <c:v>凤凰新闻</c:v>
                </c:pt>
                <c:pt idx="4">
                  <c:v>搜狐新闻</c:v>
                </c:pt>
                <c:pt idx="5">
                  <c:v>天天快报</c:v>
                </c:pt>
                <c:pt idx="6">
                  <c:v>网易新闻</c:v>
                </c:pt>
                <c:pt idx="7">
                  <c:v>新浪新闻</c:v>
                </c:pt>
                <c:pt idx="8">
                  <c:v>今日头条</c:v>
                </c:pt>
                <c:pt idx="9">
                  <c:v>腾讯新闻</c:v>
                </c:pt>
              </c:strCache>
            </c:strRef>
          </c:cat>
          <c:val>
            <c:numRef>
              <c:f>'06-移动端十大类APP-Top10'!$D$220:$D$229</c:f>
              <c:numCache>
                <c:formatCode>0.00%</c:formatCode>
                <c:ptCount val="10"/>
                <c:pt idx="0">
                  <c:v>1.4800000000000001E-2</c:v>
                </c:pt>
                <c:pt idx="1">
                  <c:v>4.4800000000000034E-2</c:v>
                </c:pt>
                <c:pt idx="2">
                  <c:v>6.8300000000000013E-2</c:v>
                </c:pt>
                <c:pt idx="3">
                  <c:v>7.9800000000000051E-2</c:v>
                </c:pt>
                <c:pt idx="4">
                  <c:v>0.10299999999999998</c:v>
                </c:pt>
                <c:pt idx="5">
                  <c:v>0.1275</c:v>
                </c:pt>
                <c:pt idx="6">
                  <c:v>0.13400000000000001</c:v>
                </c:pt>
                <c:pt idx="7">
                  <c:v>0.1553000000000001</c:v>
                </c:pt>
                <c:pt idx="8">
                  <c:v>0.3152000000000002</c:v>
                </c:pt>
                <c:pt idx="9">
                  <c:v>0.33200000000000035</c:v>
                </c:pt>
              </c:numCache>
            </c:numRef>
          </c:val>
          <c:extLst xmlns:c16r2="http://schemas.microsoft.com/office/drawing/2015/06/chart">
            <c:ext xmlns:c16="http://schemas.microsoft.com/office/drawing/2014/chart" uri="{C3380CC4-5D6E-409C-BE32-E72D297353CC}">
              <c16:uniqueId val="{00000000-AFB4-4DCF-95DF-3C05560FBC4B}"/>
            </c:ext>
          </c:extLst>
        </c:ser>
        <c:dLbls>
          <c:showVal val="1"/>
        </c:dLbls>
        <c:gapWidth val="60"/>
        <c:axId val="280504960"/>
        <c:axId val="280536576"/>
      </c:barChart>
      <c:catAx>
        <c:axId val="280504960"/>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80536576"/>
        <c:crosses val="autoZero"/>
        <c:auto val="1"/>
        <c:lblAlgn val="ctr"/>
        <c:lblOffset val="100"/>
      </c:catAx>
      <c:valAx>
        <c:axId val="280536576"/>
        <c:scaling>
          <c:orientation val="minMax"/>
          <c:max val="0.4"/>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80504960"/>
        <c:crosses val="autoZero"/>
        <c:crossBetween val="between"/>
        <c:majorUnit val="0.1"/>
        <c:minorUnit val="0.1"/>
      </c:valAx>
      <c:spPr>
        <a:ln>
          <a:noFill/>
        </a:ln>
      </c:spPr>
    </c:plotArea>
    <c:legend>
      <c:legendPos val="b"/>
      <c:layout>
        <c:manualLayout>
          <c:xMode val="edge"/>
          <c:yMode val="edge"/>
          <c:x val="0.26620488190286146"/>
          <c:y val="0.77553796296296229"/>
          <c:w val="0.47172550731869617"/>
          <c:h val="5.1743425939682106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11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2014-2017</a:t>
            </a:r>
            <a:r>
              <a:rPr lang="zh-CN" altLang="en-US" sz="1200" b="1"/>
              <a:t>年陕西省光缆线路长度</a:t>
            </a:r>
            <a:endParaRPr lang="zh-CN" sz="1200" b="1"/>
          </a:p>
        </c:rich>
      </c:tx>
      <c:spPr>
        <a:noFill/>
        <a:ln w="25400">
          <a:noFill/>
        </a:ln>
      </c:spPr>
    </c:title>
    <c:plotArea>
      <c:layout>
        <c:manualLayout>
          <c:layoutTarget val="inner"/>
          <c:xMode val="edge"/>
          <c:yMode val="edge"/>
          <c:x val="0.10327860502585692"/>
          <c:y val="0.16417422505731089"/>
          <c:w val="0.85539427705793092"/>
          <c:h val="0.45162291666666682"/>
        </c:manualLayout>
      </c:layout>
      <c:barChart>
        <c:barDir val="col"/>
        <c:grouping val="clustered"/>
        <c:ser>
          <c:idx val="1"/>
          <c:order val="0"/>
          <c:tx>
            <c:strRef>
              <c:f>'07-互联网资源'!$A$19</c:f>
              <c:strCache>
                <c:ptCount val="1"/>
                <c:pt idx="0">
                  <c:v>光缆线路长度（万公里）</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'07-互联网资源'!$B$18:$E$18</c:f>
              <c:strCache>
                <c:ptCount val="4"/>
                <c:pt idx="0">
                  <c:v>2014年</c:v>
                </c:pt>
                <c:pt idx="1">
                  <c:v>2015年</c:v>
                </c:pt>
                <c:pt idx="2">
                  <c:v>2016年</c:v>
                </c:pt>
                <c:pt idx="3">
                  <c:v>2017年</c:v>
                </c:pt>
              </c:strCache>
            </c:strRef>
          </c:cat>
          <c:val>
            <c:numRef>
              <c:f>'07-互联网资源'!$B$19:$E$19</c:f>
              <c:numCache>
                <c:formatCode>General</c:formatCode>
                <c:ptCount val="4"/>
                <c:pt idx="0">
                  <c:v>58.1</c:v>
                </c:pt>
                <c:pt idx="1">
                  <c:v>70.8</c:v>
                </c:pt>
                <c:pt idx="2">
                  <c:v>89.6</c:v>
                </c:pt>
                <c:pt idx="3">
                  <c:v>108.7</c:v>
                </c:pt>
              </c:numCache>
            </c:numRef>
          </c:val>
          <c:extLst xmlns:c16r2="http://schemas.microsoft.com/office/drawing/2015/06/chart">
            <c:ext xmlns:c16="http://schemas.microsoft.com/office/drawing/2014/chart" uri="{C3380CC4-5D6E-409C-BE32-E72D297353CC}">
              <c16:uniqueId val="{00000000-AE7F-40F2-86E8-2C13DF00BB8E}"/>
            </c:ext>
          </c:extLst>
        </c:ser>
        <c:dLbls>
          <c:showVal val="1"/>
        </c:dLbls>
        <c:gapWidth val="60"/>
        <c:axId val="280679168"/>
        <c:axId val="280680704"/>
      </c:barChart>
      <c:lineChart>
        <c:grouping val="standard"/>
        <c:ser>
          <c:idx val="0"/>
          <c:order val="1"/>
          <c:tx>
            <c:strRef>
              <c:f>'07-互联网资源'!$A$20</c:f>
              <c:strCache>
                <c:ptCount val="1"/>
                <c:pt idx="0">
                  <c:v>增长率</c:v>
                </c:pt>
              </c:strCache>
            </c:strRef>
          </c:tx>
          <c:spPr>
            <a:ln>
              <a:solidFill>
                <a:srgbClr val="B2D234"/>
              </a:solidFill>
            </a:ln>
          </c:spPr>
          <c:marker>
            <c:symbol val="circle"/>
            <c:size val="5"/>
            <c:spPr>
              <a:solidFill>
                <a:srgbClr val="B2D234"/>
              </a:solidFill>
              <a:ln>
                <a:solidFill>
                  <a:srgbClr val="B2D234"/>
                </a:solidFill>
              </a:ln>
            </c:spPr>
          </c:marker>
          <c:dLbls>
            <c:dLblPos val="t"/>
            <c:showVal val="1"/>
          </c:dLbls>
          <c:cat>
            <c:strRef>
              <c:f>'07-互联网资源'!$B$18:$E$18</c:f>
              <c:strCache>
                <c:ptCount val="4"/>
                <c:pt idx="0">
                  <c:v>2014年</c:v>
                </c:pt>
                <c:pt idx="1">
                  <c:v>2015年</c:v>
                </c:pt>
                <c:pt idx="2">
                  <c:v>2016年</c:v>
                </c:pt>
                <c:pt idx="3">
                  <c:v>2017年</c:v>
                </c:pt>
              </c:strCache>
            </c:strRef>
          </c:cat>
          <c:val>
            <c:numRef>
              <c:f>'07-互联网资源'!$B$20:$E$20</c:f>
              <c:numCache>
                <c:formatCode>0.0%</c:formatCode>
                <c:ptCount val="4"/>
                <c:pt idx="1">
                  <c:v>0.21858864027538721</c:v>
                </c:pt>
                <c:pt idx="2">
                  <c:v>0.26553672316384197</c:v>
                </c:pt>
                <c:pt idx="3">
                  <c:v>0.21316964285714324</c:v>
                </c:pt>
              </c:numCache>
            </c:numRef>
          </c:val>
        </c:ser>
        <c:marker val="1"/>
        <c:axId val="280565248"/>
        <c:axId val="280563712"/>
      </c:lineChart>
      <c:catAx>
        <c:axId val="28067916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0680704"/>
        <c:crosses val="autoZero"/>
        <c:lblAlgn val="ctr"/>
        <c:lblOffset val="100"/>
        <c:tickLblSkip val="1"/>
        <c:tickMarkSkip val="1"/>
      </c:catAx>
      <c:valAx>
        <c:axId val="280680704"/>
        <c:scaling>
          <c:orientation val="minMax"/>
          <c:max val="20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0679168"/>
        <c:crosses val="autoZero"/>
        <c:crossBetween val="between"/>
        <c:majorUnit val="50"/>
        <c:minorUnit val="10"/>
      </c:valAx>
      <c:valAx>
        <c:axId val="280563712"/>
        <c:scaling>
          <c:orientation val="minMax"/>
          <c:max val="0.4"/>
          <c:min val="-0.5"/>
        </c:scaling>
        <c:axPos val="r"/>
        <c:numFmt formatCode="0%" sourceLinked="0"/>
        <c:majorTickMark val="none"/>
        <c:tickLblPos val="none"/>
        <c:spPr>
          <a:noFill/>
          <a:ln>
            <a:noFill/>
          </a:ln>
        </c:spPr>
        <c:crossAx val="280565248"/>
        <c:crosses val="max"/>
        <c:crossBetween val="between"/>
        <c:majorUnit val="0.1"/>
        <c:minorUnit val="5.0000000000000024E-2"/>
      </c:valAx>
      <c:catAx>
        <c:axId val="280565248"/>
        <c:scaling>
          <c:orientation val="minMax"/>
        </c:scaling>
        <c:delete val="1"/>
        <c:axPos val="b"/>
        <c:tickLblPos val="none"/>
        <c:crossAx val="280563712"/>
        <c:crosses val="autoZero"/>
        <c:auto val="1"/>
        <c:lblAlgn val="ctr"/>
        <c:lblOffset val="100"/>
      </c:catAx>
      <c:spPr>
        <a:noFill/>
        <a:ln w="12700">
          <a:noFill/>
          <a:prstDash val="solid"/>
        </a:ln>
      </c:spPr>
    </c:plotArea>
    <c:legend>
      <c:legendPos val="r"/>
      <c:layout>
        <c:manualLayout>
          <c:xMode val="edge"/>
          <c:yMode val="edge"/>
          <c:x val="0.14405412462076311"/>
          <c:y val="0.70794305555555603"/>
          <c:w val="0.73761958943567263"/>
          <c:h val="7.89729166666666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18.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r>
              <a:rPr lang="en-US" sz="1200" b="1"/>
              <a:t>2017</a:t>
            </a:r>
            <a:r>
              <a:rPr lang="zh-CN" sz="1200" b="1"/>
              <a:t>年</a:t>
            </a:r>
            <a:r>
              <a:rPr lang="zh-CN" altLang="en-US" sz="1200" b="1"/>
              <a:t>陕西省</a:t>
            </a:r>
            <a:r>
              <a:rPr lang="zh-CN" altLang="zh-CN" sz="1200" b="1" i="0" u="none" strike="noStrike" baseline="0">
                <a:effectLst/>
              </a:rPr>
              <a:t>互联网宽带接入端口数量</a:t>
            </a:r>
            <a:endParaRPr lang="zh-CN" sz="1200" b="1"/>
          </a:p>
        </c:rich>
      </c:tx>
      <c:spPr>
        <a:noFill/>
        <a:ln w="25400">
          <a:noFill/>
        </a:ln>
      </c:spPr>
    </c:title>
    <c:plotArea>
      <c:layout>
        <c:manualLayout>
          <c:layoutTarget val="inner"/>
          <c:xMode val="edge"/>
          <c:yMode val="edge"/>
          <c:x val="0.32054224883566224"/>
          <c:y val="0.21288802735374088"/>
          <c:w val="0.37942323685961438"/>
          <c:h val="0.49131034111407351"/>
        </c:manualLayout>
      </c:layout>
      <c:pieChart>
        <c:varyColors val="1"/>
        <c:ser>
          <c:idx val="0"/>
          <c:order val="0"/>
          <c:tx>
            <c:strRef>
              <c:f>'[陕西--互联网基础资源-网站备案-网络安全-作图.xlsx]互联网基础资源'!$A$58</c:f>
              <c:strCache>
                <c:ptCount val="1"/>
                <c:pt idx="0">
                  <c:v>互联网宽带接入端口数量</c:v>
                </c:pt>
              </c:strCache>
            </c:strRef>
          </c:tx>
          <c:dPt>
            <c:idx val="0"/>
            <c:spPr>
              <a:solidFill>
                <a:srgbClr val="B2D234"/>
              </a:solidFill>
            </c:spPr>
          </c:dPt>
          <c:dPt>
            <c:idx val="1"/>
            <c:spPr>
              <a:solidFill>
                <a:srgbClr val="FFF500"/>
              </a:solidFill>
            </c:spPr>
          </c:dPt>
          <c:dLbls>
            <c:dLbl>
              <c:idx val="0"/>
              <c:layout>
                <c:manualLayout>
                  <c:x val="6.5234323020625401E-2"/>
                  <c:y val="-6.0355921707993436E-3"/>
                </c:manualLayout>
              </c:layout>
              <c:tx>
                <c:rich>
                  <a:bodyPr/>
                  <a:lstStyle/>
                  <a:p>
                    <a:r>
                      <a:rPr lang="zh-CN" altLang="en-US"/>
                      <a:t>存量互联网宽带</a:t>
                    </a:r>
                    <a:endParaRPr lang="en-US" altLang="zh-CN"/>
                  </a:p>
                  <a:p>
                    <a:r>
                      <a:rPr lang="zh-CN" altLang="en-US"/>
                      <a:t>接入端口
</a:t>
                    </a:r>
                    <a:r>
                      <a:rPr lang="en-US" altLang="zh-CN"/>
                      <a:t>76.4%</a:t>
                    </a:r>
                    <a:endParaRPr lang="zh-CN" altLang="en-US"/>
                  </a:p>
                </c:rich>
              </c:tx>
              <c:dLblPos val="bestFit"/>
              <c:showCatName val="1"/>
              <c:showPercent val="1"/>
              <c:separator>
</c:separator>
              <c:extLst>
                <c:ext xmlns:c15="http://schemas.microsoft.com/office/drawing/2012/chart" uri="{CE6537A1-D6FC-4f65-9D91-7224C49458BB}">
                  <c15:layout/>
                </c:ext>
              </c:extLst>
            </c:dLbl>
            <c:dLbl>
              <c:idx val="1"/>
              <c:layout>
                <c:manualLayout>
                  <c:x val="-9.1962741184298147E-2"/>
                  <c:y val="2.7608432275260528E-2"/>
                </c:manualLayout>
              </c:layout>
              <c:tx>
                <c:rich>
                  <a:bodyPr/>
                  <a:lstStyle/>
                  <a:p>
                    <a:r>
                      <a:rPr lang="zh-CN" altLang="en-US"/>
                      <a:t>新增接入端口
</a:t>
                    </a:r>
                    <a:r>
                      <a:rPr lang="en-US" altLang="zh-CN"/>
                      <a:t>6.5%</a:t>
                    </a:r>
                    <a:endParaRPr lang="zh-CN" altLang="en-US"/>
                  </a:p>
                </c:rich>
              </c:tx>
              <c:dLblPos val="bestFit"/>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bestFit"/>
            <c:showCatName val="1"/>
            <c:showPercent val="1"/>
            <c:showLeaderLines val="1"/>
            <c:extLst>
              <c:ext xmlns:c15="http://schemas.microsoft.com/office/drawing/2012/chart" uri="{CE6537A1-D6FC-4f65-9D91-7224C49458BB}">
                <c15:layout/>
                <c15:showLeaderLines val="1"/>
                <c15:leaderLines/>
              </c:ext>
            </c:extLst>
          </c:dLbls>
          <c:cat>
            <c:strRef>
              <c:f>'[陕西--互联网基础资源-网站备案-网络安全-作图.xlsx]互联网基础资源'!$B$57:$C$57</c:f>
              <c:strCache>
                <c:ptCount val="2"/>
                <c:pt idx="0">
                  <c:v>存量互联网宽带接入端口</c:v>
                </c:pt>
                <c:pt idx="1">
                  <c:v>新增接入端口</c:v>
                </c:pt>
              </c:strCache>
            </c:strRef>
          </c:cat>
          <c:val>
            <c:numRef>
              <c:f>'[陕西--互联网基础资源-网站备案-网络安全-作图.xlsx]互联网基础资源'!$B$58:$C$58</c:f>
              <c:numCache>
                <c:formatCode>General</c:formatCode>
                <c:ptCount val="2"/>
                <c:pt idx="0">
                  <c:v>1871.3</c:v>
                </c:pt>
                <c:pt idx="1">
                  <c:v>121.9</c:v>
                </c:pt>
              </c:numCache>
            </c:numRef>
          </c:val>
        </c:ser>
        <c:dLbls>
          <c:showVal val="1"/>
        </c:dLbls>
        <c:firstSliceAng val="0"/>
      </c:pieChart>
      <c:spPr>
        <a:noFill/>
        <a:ln w="25400">
          <a:noFill/>
        </a:ln>
      </c:spPr>
    </c:plotArea>
    <c:plotVisOnly val="1"/>
    <c:dispBlanksAs val="zero"/>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externalData r:id="rId1"/>
  <c:userShapes r:id="rId2"/>
</c:chartSpace>
</file>

<file path=word/charts/chart119.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r>
              <a:rPr lang="en-US" altLang="zh-CN" sz="1200" b="1"/>
              <a:t>2013-2017</a:t>
            </a:r>
            <a:r>
              <a:rPr lang="zh-CN" altLang="en-US" sz="1200" b="1"/>
              <a:t>年陕西省</a:t>
            </a:r>
            <a:r>
              <a:rPr lang="en-US" altLang="zh-CN" sz="1200" b="1"/>
              <a:t>IPv4</a:t>
            </a:r>
            <a:r>
              <a:rPr lang="zh-CN" altLang="en-US" sz="1200" b="1"/>
              <a:t>地址数量及占全国比例</a:t>
            </a:r>
            <a:endParaRPr lang="zh-CN" sz="1200" b="1"/>
          </a:p>
        </c:rich>
      </c:tx>
      <c:spPr>
        <a:noFill/>
        <a:ln w="25400">
          <a:noFill/>
        </a:ln>
      </c:spPr>
    </c:title>
    <c:plotArea>
      <c:layout>
        <c:manualLayout>
          <c:layoutTarget val="inner"/>
          <c:xMode val="edge"/>
          <c:yMode val="edge"/>
          <c:x val="0.10327860502585702"/>
          <c:y val="0.164174225057311"/>
          <c:w val="0.8527458226137582"/>
          <c:h val="0.49131025288505636"/>
        </c:manualLayout>
      </c:layout>
      <c:barChart>
        <c:barDir val="col"/>
        <c:grouping val="clustered"/>
        <c:ser>
          <c:idx val="1"/>
          <c:order val="0"/>
          <c:tx>
            <c:strRef>
              <c:f>'[陕西--互联网基础资源-网站备案-网络安全-作图.xlsx]互联网基础资源'!$B$79</c:f>
              <c:strCache>
                <c:ptCount val="1"/>
                <c:pt idx="0">
                  <c:v>IPv4地址数（万个）</c:v>
                </c:pt>
              </c:strCache>
            </c:strRef>
          </c:tx>
          <c:spPr>
            <a:solidFill>
              <a:srgbClr val="B2D234"/>
            </a:solidFill>
            <a:ln w="12700">
              <a:noFill/>
              <a:prstDash val="solid"/>
            </a:ln>
          </c:spPr>
          <c:dLbls>
            <c:numFmt formatCode="#,##0.0_);[Red]\(#,##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'[陕西--互联网基础资源-网站备案-网络安全-作图.xlsx]互联网基础资源'!$A$81:$A$85</c:f>
              <c:strCache>
                <c:ptCount val="5"/>
                <c:pt idx="0">
                  <c:v>2013年</c:v>
                </c:pt>
                <c:pt idx="1">
                  <c:v>2014年</c:v>
                </c:pt>
                <c:pt idx="2">
                  <c:v>2015年</c:v>
                </c:pt>
                <c:pt idx="3">
                  <c:v>2016年</c:v>
                </c:pt>
                <c:pt idx="4">
                  <c:v>2017年</c:v>
                </c:pt>
              </c:strCache>
            </c:strRef>
          </c:cat>
          <c:val>
            <c:numRef>
              <c:f>'[陕西--互联网基础资源-网站备案-网络安全-作图.xlsx]互联网基础资源'!$B$81:$B$85</c:f>
              <c:numCache>
                <c:formatCode>General</c:formatCode>
                <c:ptCount val="5"/>
                <c:pt idx="0">
                  <c:v>548.29999999999995</c:v>
                </c:pt>
                <c:pt idx="1">
                  <c:v>547.79999999999995</c:v>
                </c:pt>
                <c:pt idx="2" formatCode="0.0">
                  <c:v>548.5</c:v>
                </c:pt>
                <c:pt idx="3" formatCode="0.0">
                  <c:v>551.1</c:v>
                </c:pt>
                <c:pt idx="4" formatCode="0.0">
                  <c:v>552.1</c:v>
                </c:pt>
              </c:numCache>
            </c:numRef>
          </c:val>
        </c:ser>
        <c:dLbls>
          <c:showVal val="1"/>
        </c:dLbls>
        <c:gapWidth val="60"/>
        <c:axId val="280612224"/>
        <c:axId val="282956928"/>
      </c:barChart>
      <c:lineChart>
        <c:grouping val="standard"/>
        <c:ser>
          <c:idx val="0"/>
          <c:order val="1"/>
          <c:tx>
            <c:strRef>
              <c:f>'[陕西--互联网基础资源-网站备案-网络安全-作图.xlsx]互联网基础资源'!$C$79</c:f>
              <c:strCache>
                <c:ptCount val="1"/>
                <c:pt idx="0">
                  <c:v>占全国IPv4地址比例</c:v>
                </c:pt>
              </c:strCache>
            </c:strRef>
          </c:tx>
          <c:spPr>
            <a:ln w="25400" cap="rnd" cmpd="sng" algn="ctr">
              <a:solidFill>
                <a:srgbClr val="B2D234"/>
              </a:solidFill>
              <a:prstDash val="solid"/>
              <a:round/>
            </a:ln>
          </c:spPr>
          <c:marker>
            <c:symbol val="circle"/>
            <c:size val="5"/>
            <c:spPr>
              <a:solidFill>
                <a:srgbClr val="B2D234"/>
              </a:solidFill>
              <a:ln w="9525" cap="flat" cmpd="sng" algn="ctr">
                <a:solidFill>
                  <a:srgbClr val="B2D234"/>
                </a:solidFill>
                <a:prstDash val="solid"/>
                <a:round/>
              </a:ln>
            </c:spPr>
          </c:marker>
          <c:dLbls>
            <c:dLbl>
              <c:idx val="0"/>
              <c:layout>
                <c:manualLayout>
                  <c:x val="-5.0793859100945922E-2"/>
                  <c:y val="-5.2512080849707404E-2"/>
                </c:manualLayout>
              </c:layout>
              <c:dLblPos val="r"/>
              <c:showVal val="1"/>
              <c:extLst>
                <c:ext xmlns:c15="http://schemas.microsoft.com/office/drawing/2012/chart" uri="{CE6537A1-D6FC-4f65-9D91-7224C49458BB}">
                  <c15:layout/>
                </c:ext>
              </c:extLst>
            </c:dLbl>
            <c:dLbl>
              <c:idx val="1"/>
              <c:layout>
                <c:manualLayout>
                  <c:x val="-4.7619047619047623E-2"/>
                  <c:y val="-4.2999915333163996E-2"/>
                </c:manualLayout>
              </c:layout>
              <c:dLblPos val="r"/>
              <c:showVal val="1"/>
              <c:extLst>
                <c:ext xmlns:c15="http://schemas.microsoft.com/office/drawing/2012/chart" uri="{CE6537A1-D6FC-4f65-9D91-7224C49458BB}">
                  <c15:layout/>
                </c:ext>
              </c:extLst>
            </c:dLbl>
            <c:dLbl>
              <c:idx val="2"/>
              <c:layout>
                <c:manualLayout>
                  <c:x val="-4.6576128478989544E-2"/>
                  <c:y val="-3.8322815107168701E-2"/>
                </c:manualLayout>
              </c:layout>
              <c:dLblPos val="r"/>
              <c:showVal val="1"/>
              <c:extLst>
                <c:ext xmlns:c15="http://schemas.microsoft.com/office/drawing/2012/chart" uri="{CE6537A1-D6FC-4f65-9D91-7224C49458BB}">
                  <c15:layout/>
                </c:ext>
              </c:extLst>
            </c:dLbl>
            <c:dLbl>
              <c:idx val="3"/>
              <c:layout>
                <c:manualLayout>
                  <c:x val="-3.5294129900429128E-2"/>
                  <c:y val="-5.5552121405385103E-2"/>
                </c:manualLayout>
              </c:layout>
              <c:dLblPos val="r"/>
              <c:showVal val="1"/>
              <c:extLst>
                <c:ext xmlns:c15="http://schemas.microsoft.com/office/drawing/2012/chart" uri="{CE6537A1-D6FC-4f65-9D91-7224C49458BB}">
                  <c15:layout/>
                </c:ext>
              </c:extLst>
            </c:dLbl>
            <c:numFmt formatCode="0.00%" sourceLinked="0"/>
            <c:spPr>
              <a:noFill/>
              <a:ln w="25400">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t"/>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'[陕西--互联网基础资源-网站备案-网络安全-作图.xlsx]互联网基础资源'!$A$81:$A$85</c:f>
              <c:strCache>
                <c:ptCount val="5"/>
                <c:pt idx="0">
                  <c:v>2013年</c:v>
                </c:pt>
                <c:pt idx="1">
                  <c:v>2014年</c:v>
                </c:pt>
                <c:pt idx="2">
                  <c:v>2015年</c:v>
                </c:pt>
                <c:pt idx="3">
                  <c:v>2016年</c:v>
                </c:pt>
                <c:pt idx="4">
                  <c:v>2017年</c:v>
                </c:pt>
              </c:strCache>
            </c:strRef>
          </c:cat>
          <c:val>
            <c:numRef>
              <c:f>'[陕西--互联网基础资源-网站备案-网络安全-作图.xlsx]互联网基础资源'!$C$81:$C$85</c:f>
              <c:numCache>
                <c:formatCode>0.00%</c:formatCode>
                <c:ptCount val="5"/>
                <c:pt idx="0">
                  <c:v>1.7000000000000001E-2</c:v>
                </c:pt>
                <c:pt idx="1">
                  <c:v>1.7000000000000001E-2</c:v>
                </c:pt>
                <c:pt idx="2">
                  <c:v>1.7000000000000001E-2</c:v>
                </c:pt>
                <c:pt idx="3">
                  <c:v>1.6000000000000014E-2</c:v>
                </c:pt>
                <c:pt idx="4">
                  <c:v>1.6299999999999999E-2</c:v>
                </c:pt>
              </c:numCache>
            </c:numRef>
          </c:val>
        </c:ser>
        <c:dLbls>
          <c:showVal val="1"/>
        </c:dLbls>
        <c:marker val="1"/>
        <c:axId val="282958464"/>
        <c:axId val="282960256"/>
      </c:lineChart>
      <c:catAx>
        <c:axId val="280612224"/>
        <c:scaling>
          <c:orientation val="minMax"/>
        </c:scaling>
        <c:axPos val="b"/>
        <c:numFmt formatCode="General" sourceLinked="1"/>
        <c:majorTickMark val="none"/>
        <c:tickLblPos val="low"/>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2956928"/>
        <c:crosses val="autoZero"/>
        <c:lblAlgn val="ctr"/>
        <c:lblOffset val="100"/>
        <c:tickLblSkip val="1"/>
      </c:catAx>
      <c:valAx>
        <c:axId val="282956928"/>
        <c:scaling>
          <c:orientation val="minMax"/>
          <c:max val="1000"/>
          <c:min val="0"/>
        </c:scaling>
        <c:axPos val="l"/>
        <c:majorGridlines>
          <c:spPr>
            <a:ln w="12700" cap="flat" cmpd="sng" algn="ctr">
              <a:noFill/>
              <a:prstDash val="solid"/>
              <a:round/>
            </a:ln>
          </c:spPr>
        </c:majorGridlines>
        <c:numFmt formatCode="General" sourceLinked="0"/>
        <c:majorTickMark val="none"/>
        <c:tickLblPos val="nextTo"/>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0612224"/>
        <c:crosses val="autoZero"/>
        <c:crossBetween val="between"/>
        <c:majorUnit val="500"/>
      </c:valAx>
      <c:catAx>
        <c:axId val="282958464"/>
        <c:scaling>
          <c:orientation val="minMax"/>
        </c:scaling>
        <c:delete val="1"/>
        <c:axPos val="b"/>
        <c:numFmt formatCode="General" sourceLinked="1"/>
        <c:tickLblPos val="none"/>
        <c:crossAx val="282960256"/>
        <c:crosses val="autoZero"/>
        <c:lblAlgn val="ctr"/>
        <c:lblOffset val="100"/>
      </c:catAx>
      <c:valAx>
        <c:axId val="282960256"/>
        <c:scaling>
          <c:orientation val="minMax"/>
          <c:max val="0.05"/>
          <c:min val="-0.2"/>
        </c:scaling>
        <c:axPos val="r"/>
        <c:numFmt formatCode="0.00%" sourceLinked="1"/>
        <c:majorTickMark val="none"/>
        <c:tickLblPos val="none"/>
        <c:spPr>
          <a:ln w="3175" cap="flat" cmpd="sng" algn="ctr">
            <a:noFill/>
            <a:prstDash val="solid"/>
            <a:round/>
          </a:ln>
        </c:spPr>
        <c:txPr>
          <a:bodyPr rot="-6000000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2958464"/>
        <c:crosses val="max"/>
        <c:crossBetween val="between"/>
        <c:majorUnit val="0.2900000000000002"/>
        <c:minorUnit val="0.2900000000000002"/>
      </c:valAx>
      <c:spPr>
        <a:noFill/>
        <a:ln w="12700">
          <a:noFill/>
          <a:prstDash val="solid"/>
        </a:ln>
      </c:spPr>
    </c:plotArea>
    <c:legend>
      <c:legendPos val="r"/>
      <c:layout>
        <c:manualLayout>
          <c:xMode val="edge"/>
          <c:yMode val="edge"/>
          <c:x val="0.10432660273901408"/>
          <c:y val="0.73440154157945403"/>
          <c:w val="0.78985335166437642"/>
          <c:h val="5.6548064067966877E-2"/>
        </c:manualLayout>
      </c:layout>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legend>
    <c:plotVisOnly val="1"/>
    <c:dispBlanksAs val="gap"/>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sz="1200" b="1"/>
              <a:t>2015</a:t>
            </a:r>
            <a:r>
              <a:rPr lang="en-US" altLang="zh-CN" sz="1200" b="1"/>
              <a:t>-</a:t>
            </a:r>
            <a:r>
              <a:rPr lang="en-US" sz="1200" b="1"/>
              <a:t>2017</a:t>
            </a:r>
            <a:r>
              <a:rPr lang="zh-CN" sz="1200" b="1"/>
              <a:t>年</a:t>
            </a:r>
            <a:r>
              <a:rPr lang="zh-CN" altLang="en-US" sz="1200" b="1"/>
              <a:t>陕西省移动端网民使用操作系统类型</a:t>
            </a:r>
            <a:endParaRPr lang="zh-CN" sz="1200" b="1"/>
          </a:p>
        </c:rich>
      </c:tx>
      <c:layout>
        <c:manualLayout>
          <c:xMode val="edge"/>
          <c:yMode val="edge"/>
          <c:x val="0.13242233829682198"/>
          <c:y val="3.3662001696352833E-2"/>
        </c:manualLayout>
      </c:layout>
      <c:spPr>
        <a:noFill/>
        <a:ln w="25400">
          <a:noFill/>
        </a:ln>
      </c:spPr>
    </c:title>
    <c:plotArea>
      <c:layout>
        <c:manualLayout>
          <c:layoutTarget val="inner"/>
          <c:xMode val="edge"/>
          <c:yMode val="edge"/>
          <c:x val="0.1085591330786622"/>
          <c:y val="0.16424883375742189"/>
          <c:w val="0.8448250305345506"/>
          <c:h val="0.47229097222222238"/>
        </c:manualLayout>
      </c:layout>
      <c:barChart>
        <c:barDir val="col"/>
        <c:grouping val="percentStacked"/>
        <c:ser>
          <c:idx val="1"/>
          <c:order val="0"/>
          <c:tx>
            <c:strRef>
              <c:f>'对比分析-2017'!$B$203</c:f>
              <c:strCache>
                <c:ptCount val="1"/>
                <c:pt idx="0">
                  <c:v>IOS系统</c:v>
                </c:pt>
              </c:strCache>
            </c:strRef>
          </c:tx>
          <c:spPr>
            <a:solidFill>
              <a:srgbClr val="B2D234"/>
            </a:solidFill>
            <a:ln w="12700">
              <a:solidFill>
                <a:srgbClr val="B2D234"/>
              </a:solidFill>
              <a:prstDash val="solid"/>
            </a:ln>
          </c:spPr>
          <c:dLbls>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'对比分析-2017'!$A$204:$A$206</c:f>
              <c:strCache>
                <c:ptCount val="3"/>
                <c:pt idx="0">
                  <c:v>2015年</c:v>
                </c:pt>
                <c:pt idx="1">
                  <c:v>2016年</c:v>
                </c:pt>
                <c:pt idx="2">
                  <c:v>2017年</c:v>
                </c:pt>
              </c:strCache>
            </c:strRef>
          </c:cat>
          <c:val>
            <c:numRef>
              <c:f>'对比分析-2017'!$B$204:$B$206</c:f>
              <c:numCache>
                <c:formatCode>0.00%</c:formatCode>
                <c:ptCount val="3"/>
                <c:pt idx="0">
                  <c:v>0.34200000000000008</c:v>
                </c:pt>
                <c:pt idx="1">
                  <c:v>0.28100000000000008</c:v>
                </c:pt>
                <c:pt idx="2">
                  <c:v>0.27600000000000002</c:v>
                </c:pt>
              </c:numCache>
            </c:numRef>
          </c:val>
          <c:extLst xmlns:c16r2="http://schemas.microsoft.com/office/drawing/2015/06/chart">
            <c:ext xmlns:c16="http://schemas.microsoft.com/office/drawing/2014/chart" uri="{C3380CC4-5D6E-409C-BE32-E72D297353CC}">
              <c16:uniqueId val="{00000000-949B-4F2E-A85A-6E46E4C2299B}"/>
            </c:ext>
          </c:extLst>
        </c:ser>
        <c:ser>
          <c:idx val="0"/>
          <c:order val="1"/>
          <c:tx>
            <c:strRef>
              <c:f>'对比分析-2017'!$C$203</c:f>
              <c:strCache>
                <c:ptCount val="1"/>
                <c:pt idx="0">
                  <c:v>Android系统</c:v>
                </c:pt>
              </c:strCache>
            </c:strRef>
          </c:tx>
          <c:spPr>
            <a:solidFill>
              <a:srgbClr val="1EC8F3"/>
            </a:solidFill>
            <a:ln>
              <a:solidFill>
                <a:srgbClr val="1EC8F3"/>
              </a:solidFill>
            </a:ln>
          </c:spPr>
          <c:dLbls>
            <c:numFmt formatCode="0.0%" sourceLinked="0"/>
            <c:showVal val="1"/>
          </c:dLbls>
          <c:cat>
            <c:strRef>
              <c:f>'对比分析-2017'!$A$204:$A$206</c:f>
              <c:strCache>
                <c:ptCount val="3"/>
                <c:pt idx="0">
                  <c:v>2015年</c:v>
                </c:pt>
                <c:pt idx="1">
                  <c:v>2016年</c:v>
                </c:pt>
                <c:pt idx="2">
                  <c:v>2017年</c:v>
                </c:pt>
              </c:strCache>
            </c:strRef>
          </c:cat>
          <c:val>
            <c:numRef>
              <c:f>'对比分析-2017'!$C$204:$C$206</c:f>
              <c:numCache>
                <c:formatCode>0.00%</c:formatCode>
                <c:ptCount val="3"/>
                <c:pt idx="0">
                  <c:v>0.65800000000000058</c:v>
                </c:pt>
                <c:pt idx="1">
                  <c:v>0.71900000000000042</c:v>
                </c:pt>
                <c:pt idx="2">
                  <c:v>0.72400000000000042</c:v>
                </c:pt>
              </c:numCache>
            </c:numRef>
          </c:val>
        </c:ser>
        <c:gapWidth val="60"/>
        <c:overlap val="100"/>
        <c:axId val="209197312"/>
        <c:axId val="209207296"/>
      </c:barChart>
      <c:catAx>
        <c:axId val="2091973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09207296"/>
        <c:crosses val="autoZero"/>
        <c:lblAlgn val="ctr"/>
        <c:lblOffset val="100"/>
        <c:tickLblSkip val="1"/>
        <c:tickMarkSkip val="1"/>
      </c:catAx>
      <c:valAx>
        <c:axId val="209207296"/>
        <c:scaling>
          <c:orientation val="minMax"/>
          <c:max val="1"/>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09197312"/>
        <c:crosses val="autoZero"/>
        <c:crossBetween val="between"/>
        <c:majorUnit val="0.2"/>
        <c:minorUnit val="0.1"/>
      </c:valAx>
      <c:spPr>
        <a:noFill/>
        <a:ln w="12700">
          <a:solidFill>
            <a:schemeClr val="bg1">
              <a:lumMod val="50000"/>
            </a:schemeClr>
          </a:solidFill>
          <a:prstDash val="solid"/>
        </a:ln>
      </c:spPr>
    </c:plotArea>
    <c:legend>
      <c:legendPos val="r"/>
      <c:layout>
        <c:manualLayout>
          <c:xMode val="edge"/>
          <c:yMode val="edge"/>
          <c:x val="0.13336950702944311"/>
          <c:y val="0.72551840277777768"/>
          <c:w val="0.77327824120994781"/>
          <c:h val="6.5502430555555616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20.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r>
              <a:rPr lang="en-US" altLang="zh-CN" sz="1200" b="1"/>
              <a:t>2013-2017</a:t>
            </a:r>
            <a:r>
              <a:rPr lang="zh-CN" altLang="en-US" sz="1200" b="1"/>
              <a:t>年陕西省固定电话用户规模</a:t>
            </a:r>
            <a:endParaRPr lang="zh-CN" sz="1200" b="1"/>
          </a:p>
        </c:rich>
      </c:tx>
      <c:spPr>
        <a:noFill/>
        <a:ln w="25400">
          <a:noFill/>
        </a:ln>
      </c:spPr>
    </c:title>
    <c:plotArea>
      <c:layout>
        <c:manualLayout>
          <c:layoutTarget val="inner"/>
          <c:xMode val="edge"/>
          <c:yMode val="edge"/>
          <c:x val="0.10327860502585702"/>
          <c:y val="0.164174225057311"/>
          <c:w val="0.8527458226137582"/>
          <c:h val="0.42071856911925798"/>
        </c:manualLayout>
      </c:layout>
      <c:barChart>
        <c:barDir val="col"/>
        <c:grouping val="clustered"/>
        <c:ser>
          <c:idx val="1"/>
          <c:order val="0"/>
          <c:tx>
            <c:strRef>
              <c:f>'[陕西--互联网基础资源-网站备案-网络安全-作图.xlsx]互联网基础资源'!$B$118</c:f>
              <c:strCache>
                <c:ptCount val="1"/>
                <c:pt idx="0">
                  <c:v>年末固定电话用户规模（万户）</c:v>
                </c:pt>
              </c:strCache>
            </c:strRef>
          </c:tx>
          <c:spPr>
            <a:solidFill>
              <a:srgbClr val="B2D234"/>
            </a:solidFill>
            <a:ln w="12700">
              <a:noFill/>
              <a:prstDash val="solid"/>
            </a:ln>
          </c:spPr>
          <c:dLbls>
            <c:numFmt formatCode="0.0_);[Red]\(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'[陕西--互联网基础资源-网站备案-网络安全-作图.xlsx]互联网基础资源'!$A$120:$A$124</c:f>
              <c:strCache>
                <c:ptCount val="5"/>
                <c:pt idx="0">
                  <c:v>2013年</c:v>
                </c:pt>
                <c:pt idx="1">
                  <c:v>2014年</c:v>
                </c:pt>
                <c:pt idx="2">
                  <c:v>2015年</c:v>
                </c:pt>
                <c:pt idx="3">
                  <c:v>2016年</c:v>
                </c:pt>
                <c:pt idx="4">
                  <c:v>2017年</c:v>
                </c:pt>
              </c:strCache>
            </c:strRef>
          </c:cat>
          <c:val>
            <c:numRef>
              <c:f>'[陕西--互联网基础资源-网站备案-网络安全-作图.xlsx]互联网基础资源'!$B$120:$B$124</c:f>
              <c:numCache>
                <c:formatCode>General</c:formatCode>
                <c:ptCount val="5"/>
                <c:pt idx="0">
                  <c:v>769.3</c:v>
                </c:pt>
                <c:pt idx="1">
                  <c:v>750.8</c:v>
                </c:pt>
                <c:pt idx="2">
                  <c:v>723.3</c:v>
                </c:pt>
                <c:pt idx="3">
                  <c:v>679.9</c:v>
                </c:pt>
                <c:pt idx="4">
                  <c:v>622.79999999999995</c:v>
                </c:pt>
              </c:numCache>
            </c:numRef>
          </c:val>
        </c:ser>
        <c:dLbls>
          <c:showVal val="1"/>
        </c:dLbls>
        <c:gapWidth val="60"/>
        <c:axId val="283007616"/>
        <c:axId val="283025792"/>
      </c:barChart>
      <c:lineChart>
        <c:grouping val="standard"/>
        <c:ser>
          <c:idx val="0"/>
          <c:order val="1"/>
          <c:tx>
            <c:strRef>
              <c:f>'[陕西--互联网基础资源-网站备案-网络安全-作图.xlsx]互联网基础资源'!$C$118</c:f>
              <c:strCache>
                <c:ptCount val="1"/>
                <c:pt idx="0">
                  <c:v>增长率</c:v>
                </c:pt>
              </c:strCache>
            </c:strRef>
          </c:tx>
          <c:spPr>
            <a:ln w="25400" cap="rnd" cmpd="sng" algn="ctr">
              <a:solidFill>
                <a:srgbClr val="B2D234"/>
              </a:solidFill>
              <a:prstDash val="solid"/>
              <a:round/>
            </a:ln>
          </c:spPr>
          <c:marker>
            <c:symbol val="circle"/>
            <c:size val="5"/>
            <c:spPr>
              <a:solidFill>
                <a:srgbClr val="B2D234"/>
              </a:solidFill>
              <a:ln w="9525" cap="flat" cmpd="sng" algn="ctr">
                <a:solidFill>
                  <a:srgbClr val="B2D234"/>
                </a:solidFill>
                <a:prstDash val="solid"/>
                <a:round/>
              </a:ln>
            </c:spPr>
          </c:marker>
          <c:dLbls>
            <c:dLbl>
              <c:idx val="0"/>
              <c:layout>
                <c:manualLayout>
                  <c:x val="-5.0793859100945922E-2"/>
                  <c:y val="-5.2512080849707404E-2"/>
                </c:manualLayout>
              </c:layout>
              <c:dLblPos val="r"/>
              <c:showVal val="1"/>
              <c:extLst>
                <c:ext xmlns:c15="http://schemas.microsoft.com/office/drawing/2012/chart" uri="{CE6537A1-D6FC-4f65-9D91-7224C49458BB}">
                  <c15:layout/>
                </c:ext>
              </c:extLst>
            </c:dLbl>
            <c:dLbl>
              <c:idx val="1"/>
              <c:layout>
                <c:manualLayout>
                  <c:x val="-4.7619047619047623E-2"/>
                  <c:y val="-4.2999915333163996E-2"/>
                </c:manualLayout>
              </c:layout>
              <c:dLblPos val="r"/>
              <c:showVal val="1"/>
              <c:extLst>
                <c:ext xmlns:c15="http://schemas.microsoft.com/office/drawing/2012/chart" uri="{CE6537A1-D6FC-4f65-9D91-7224C49458BB}">
                  <c15:layout/>
                </c:ext>
              </c:extLst>
            </c:dLbl>
            <c:dLbl>
              <c:idx val="2"/>
              <c:layout>
                <c:manualLayout>
                  <c:x val="-4.6576128478989544E-2"/>
                  <c:y val="-3.8322815107168701E-2"/>
                </c:manualLayout>
              </c:layout>
              <c:dLblPos val="r"/>
              <c:showVal val="1"/>
              <c:extLst>
                <c:ext xmlns:c15="http://schemas.microsoft.com/office/drawing/2012/chart" uri="{CE6537A1-D6FC-4f65-9D91-7224C49458BB}">
                  <c15:layout/>
                </c:ext>
              </c:extLst>
            </c:dLbl>
            <c:dLbl>
              <c:idx val="3"/>
              <c:layout>
                <c:manualLayout>
                  <c:x val="-3.5294129900429128E-2"/>
                  <c:y val="-5.5552121405385103E-2"/>
                </c:manualLayout>
              </c:layout>
              <c:dLblPos val="r"/>
              <c:showVal val="1"/>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t"/>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'[陕西--互联网基础资源-网站备案-网络安全-作图.xlsx]互联网基础资源'!$A$120:$A$124</c:f>
              <c:strCache>
                <c:ptCount val="5"/>
                <c:pt idx="0">
                  <c:v>2013年</c:v>
                </c:pt>
                <c:pt idx="1">
                  <c:v>2014年</c:v>
                </c:pt>
                <c:pt idx="2">
                  <c:v>2015年</c:v>
                </c:pt>
                <c:pt idx="3">
                  <c:v>2016年</c:v>
                </c:pt>
                <c:pt idx="4">
                  <c:v>2017年</c:v>
                </c:pt>
              </c:strCache>
            </c:strRef>
          </c:cat>
          <c:val>
            <c:numRef>
              <c:f>'[陕西--互联网基础资源-网站备案-网络安全-作图.xlsx]互联网基础资源'!$C$120:$C$124</c:f>
              <c:numCache>
                <c:formatCode>0.0%</c:formatCode>
                <c:ptCount val="5"/>
                <c:pt idx="0">
                  <c:v>-7.3548387096774798E-3</c:v>
                </c:pt>
                <c:pt idx="1">
                  <c:v>-2.4047835694787498E-2</c:v>
                </c:pt>
                <c:pt idx="2">
                  <c:v>-3.6627597229621729E-2</c:v>
                </c:pt>
                <c:pt idx="3">
                  <c:v>-6.0002765104382703E-2</c:v>
                </c:pt>
                <c:pt idx="4">
                  <c:v>-8.3982938667451143E-2</c:v>
                </c:pt>
              </c:numCache>
            </c:numRef>
          </c:val>
        </c:ser>
        <c:dLbls>
          <c:showVal val="1"/>
        </c:dLbls>
        <c:marker val="1"/>
        <c:axId val="283027328"/>
        <c:axId val="283028864"/>
      </c:lineChart>
      <c:catAx>
        <c:axId val="283007616"/>
        <c:scaling>
          <c:orientation val="minMax"/>
        </c:scaling>
        <c:axPos val="b"/>
        <c:numFmt formatCode="General" sourceLinked="1"/>
        <c:majorTickMark val="none"/>
        <c:tickLblPos val="low"/>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025792"/>
        <c:crosses val="autoZero"/>
        <c:lblAlgn val="ctr"/>
        <c:lblOffset val="100"/>
        <c:tickLblSkip val="1"/>
      </c:catAx>
      <c:valAx>
        <c:axId val="283025792"/>
        <c:scaling>
          <c:orientation val="minMax"/>
          <c:max val="1500"/>
          <c:min val="0"/>
        </c:scaling>
        <c:axPos val="l"/>
        <c:majorGridlines>
          <c:spPr>
            <a:ln w="12700" cap="flat" cmpd="sng" algn="ctr">
              <a:noFill/>
              <a:prstDash val="solid"/>
              <a:round/>
            </a:ln>
          </c:spPr>
        </c:majorGridlines>
        <c:numFmt formatCode="General" sourceLinked="0"/>
        <c:majorTickMark val="none"/>
        <c:tickLblPos val="nextTo"/>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007616"/>
        <c:crosses val="autoZero"/>
        <c:crossBetween val="between"/>
        <c:majorUnit val="500"/>
        <c:minorUnit val="100"/>
      </c:valAx>
      <c:catAx>
        <c:axId val="283027328"/>
        <c:scaling>
          <c:orientation val="minMax"/>
        </c:scaling>
        <c:delete val="1"/>
        <c:axPos val="b"/>
        <c:numFmt formatCode="General" sourceLinked="1"/>
        <c:tickLblPos val="none"/>
        <c:crossAx val="283028864"/>
        <c:crosses val="autoZero"/>
        <c:lblAlgn val="ctr"/>
        <c:lblOffset val="100"/>
      </c:catAx>
      <c:valAx>
        <c:axId val="283028864"/>
        <c:scaling>
          <c:orientation val="minMax"/>
          <c:max val="0.15000000000000011"/>
          <c:min val="-1"/>
        </c:scaling>
        <c:axPos val="r"/>
        <c:numFmt formatCode="0.0%" sourceLinked="1"/>
        <c:majorTickMark val="none"/>
        <c:tickLblPos val="none"/>
        <c:spPr>
          <a:ln w="3175" cap="flat" cmpd="sng" algn="ctr">
            <a:noFill/>
            <a:prstDash val="solid"/>
            <a:round/>
          </a:ln>
        </c:spPr>
        <c:txPr>
          <a:bodyPr rot="-6000000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027328"/>
        <c:crosses val="max"/>
        <c:crossBetween val="between"/>
        <c:majorUnit val="0.2900000000000002"/>
        <c:minorUnit val="0.2900000000000002"/>
      </c:valAx>
      <c:spPr>
        <a:noFill/>
        <a:ln w="12700">
          <a:noFill/>
          <a:prstDash val="solid"/>
        </a:ln>
      </c:spPr>
    </c:plotArea>
    <c:legend>
      <c:legendPos val="r"/>
      <c:layout>
        <c:manualLayout>
          <c:xMode val="edge"/>
          <c:yMode val="edge"/>
          <c:x val="0.10696686676541672"/>
          <c:y val="0.70272091953224702"/>
          <c:w val="0.78985335166437642"/>
          <c:h val="5.6548064067966877E-2"/>
        </c:manualLayout>
      </c:layout>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legend>
    <c:plotVisOnly val="1"/>
    <c:dispBlanksAs val="gap"/>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externalData r:id="rId1"/>
  <c:userShapes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r>
              <a:rPr lang="en-US" altLang="zh-CN" sz="1200" b="1" i="0" u="none" strike="noStrike" baseline="0">
                <a:effectLst/>
              </a:rPr>
              <a:t>2013-2017</a:t>
            </a:r>
            <a:r>
              <a:rPr lang="zh-CN" altLang="zh-CN" sz="1200" b="1" i="0" u="none" strike="noStrike" baseline="0">
                <a:effectLst/>
              </a:rPr>
              <a:t>年</a:t>
            </a:r>
            <a:r>
              <a:rPr lang="zh-CN" altLang="en-US" sz="1200" b="1" i="0" u="none" strike="noStrike" baseline="0">
                <a:effectLst/>
              </a:rPr>
              <a:t>陕西</a:t>
            </a:r>
            <a:r>
              <a:rPr lang="zh-CN" altLang="en-US" sz="1200" b="1"/>
              <a:t>省固定互联网用户规模</a:t>
            </a:r>
            <a:endParaRPr lang="zh-CN" sz="1200" b="1"/>
          </a:p>
        </c:rich>
      </c:tx>
      <c:spPr>
        <a:noFill/>
        <a:ln w="25400">
          <a:noFill/>
        </a:ln>
      </c:spPr>
    </c:title>
    <c:plotArea>
      <c:layout>
        <c:manualLayout>
          <c:layoutTarget val="inner"/>
          <c:xMode val="edge"/>
          <c:yMode val="edge"/>
          <c:x val="0.10327860502585702"/>
          <c:y val="0.164174225057311"/>
          <c:w val="0.8527458226137582"/>
          <c:h val="0.4472086744393996"/>
        </c:manualLayout>
      </c:layout>
      <c:barChart>
        <c:barDir val="col"/>
        <c:grouping val="clustered"/>
        <c:ser>
          <c:idx val="1"/>
          <c:order val="0"/>
          <c:tx>
            <c:strRef>
              <c:f>'[陕西--互联网基础资源-网站备案-网络安全-作图.xlsx]互联网基础资源'!$B$143</c:f>
              <c:strCache>
                <c:ptCount val="1"/>
                <c:pt idx="0">
                  <c:v>年末固定互联网宽带接入用户（万户）</c:v>
                </c:pt>
              </c:strCache>
            </c:strRef>
          </c:tx>
          <c:spPr>
            <a:solidFill>
              <a:srgbClr val="B2D234"/>
            </a:solidFill>
            <a:ln w="12700">
              <a:noFill/>
              <a:prstDash val="solid"/>
            </a:ln>
          </c:spPr>
          <c:dLbls>
            <c:numFmt formatCode="0.0_);[Red]\(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'[陕西--互联网基础资源-网站备案-网络安全-作图.xlsx]互联网基础资源'!$A$145:$A$149</c:f>
              <c:strCache>
                <c:ptCount val="5"/>
                <c:pt idx="0">
                  <c:v>2013年</c:v>
                </c:pt>
                <c:pt idx="1">
                  <c:v>2014年</c:v>
                </c:pt>
                <c:pt idx="2">
                  <c:v>2015年</c:v>
                </c:pt>
                <c:pt idx="3">
                  <c:v>2016年</c:v>
                </c:pt>
                <c:pt idx="4">
                  <c:v>2017年</c:v>
                </c:pt>
              </c:strCache>
            </c:strRef>
          </c:cat>
          <c:val>
            <c:numRef>
              <c:f>'[陕西--互联网基础资源-网站备案-网络安全-作图.xlsx]互联网基础资源'!$B$145:$B$149</c:f>
              <c:numCache>
                <c:formatCode>0.0</c:formatCode>
                <c:ptCount val="5"/>
                <c:pt idx="0">
                  <c:v>506.2</c:v>
                </c:pt>
                <c:pt idx="1">
                  <c:v>552.4</c:v>
                </c:pt>
                <c:pt idx="2">
                  <c:v>605.4</c:v>
                </c:pt>
                <c:pt idx="3">
                  <c:v>803</c:v>
                </c:pt>
                <c:pt idx="4">
                  <c:v>903.2</c:v>
                </c:pt>
              </c:numCache>
            </c:numRef>
          </c:val>
        </c:ser>
        <c:dLbls>
          <c:showVal val="1"/>
        </c:dLbls>
        <c:gapWidth val="60"/>
        <c:axId val="283068288"/>
        <c:axId val="283069824"/>
      </c:barChart>
      <c:lineChart>
        <c:grouping val="standard"/>
        <c:ser>
          <c:idx val="0"/>
          <c:order val="1"/>
          <c:tx>
            <c:strRef>
              <c:f>'[陕西--互联网基础资源-网站备案-网络安全-作图.xlsx]互联网基础资源'!$C$143</c:f>
              <c:strCache>
                <c:ptCount val="1"/>
                <c:pt idx="0">
                  <c:v>增长率</c:v>
                </c:pt>
              </c:strCache>
            </c:strRef>
          </c:tx>
          <c:spPr>
            <a:ln w="25400" cap="rnd" cmpd="sng" algn="ctr">
              <a:solidFill>
                <a:srgbClr val="B2D234"/>
              </a:solidFill>
              <a:prstDash val="solid"/>
              <a:round/>
            </a:ln>
          </c:spPr>
          <c:marker>
            <c:symbol val="circle"/>
            <c:size val="5"/>
            <c:spPr>
              <a:solidFill>
                <a:srgbClr val="B2D234"/>
              </a:solidFill>
              <a:ln w="9525" cap="flat" cmpd="sng" algn="ctr">
                <a:solidFill>
                  <a:srgbClr val="B2D234"/>
                </a:solidFill>
                <a:prstDash val="solid"/>
                <a:round/>
              </a:ln>
            </c:spPr>
          </c:marker>
          <c:dLbls>
            <c:dLbl>
              <c:idx val="0"/>
              <c:layout>
                <c:manualLayout>
                  <c:x val="-5.0793859100945922E-2"/>
                  <c:y val="-5.2512080849707404E-2"/>
                </c:manualLayout>
              </c:layout>
              <c:dLblPos val="r"/>
              <c:showVal val="1"/>
              <c:extLst>
                <c:ext xmlns:c15="http://schemas.microsoft.com/office/drawing/2012/chart" uri="{CE6537A1-D6FC-4f65-9D91-7224C49458BB}">
                  <c15:layout/>
                </c:ext>
              </c:extLst>
            </c:dLbl>
            <c:dLbl>
              <c:idx val="1"/>
              <c:layout>
                <c:manualLayout>
                  <c:x val="-4.7619047619047623E-2"/>
                  <c:y val="-4.2999915333163996E-2"/>
                </c:manualLayout>
              </c:layout>
              <c:dLblPos val="r"/>
              <c:showVal val="1"/>
              <c:extLst>
                <c:ext xmlns:c15="http://schemas.microsoft.com/office/drawing/2012/chart" uri="{CE6537A1-D6FC-4f65-9D91-7224C49458BB}">
                  <c15:layout/>
                </c:ext>
              </c:extLst>
            </c:dLbl>
            <c:dLbl>
              <c:idx val="2"/>
              <c:layout>
                <c:manualLayout>
                  <c:x val="-4.6576128478989544E-2"/>
                  <c:y val="-3.8322815107168701E-2"/>
                </c:manualLayout>
              </c:layout>
              <c:dLblPos val="r"/>
              <c:showVal val="1"/>
              <c:extLst>
                <c:ext xmlns:c15="http://schemas.microsoft.com/office/drawing/2012/chart" uri="{CE6537A1-D6FC-4f65-9D91-7224C49458BB}">
                  <c15:layout/>
                </c:ext>
              </c:extLst>
            </c:dLbl>
            <c:dLbl>
              <c:idx val="3"/>
              <c:layout>
                <c:manualLayout>
                  <c:x val="-3.5294129900429128E-2"/>
                  <c:y val="-5.5552121405385103E-2"/>
                </c:manualLayout>
              </c:layout>
              <c:dLblPos val="r"/>
              <c:showVal val="1"/>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t"/>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'[陕西--互联网基础资源-网站备案-网络安全-作图.xlsx]互联网基础资源'!$A$145:$A$149</c:f>
              <c:strCache>
                <c:ptCount val="5"/>
                <c:pt idx="0">
                  <c:v>2013年</c:v>
                </c:pt>
                <c:pt idx="1">
                  <c:v>2014年</c:v>
                </c:pt>
                <c:pt idx="2">
                  <c:v>2015年</c:v>
                </c:pt>
                <c:pt idx="3">
                  <c:v>2016年</c:v>
                </c:pt>
                <c:pt idx="4">
                  <c:v>2017年</c:v>
                </c:pt>
              </c:strCache>
            </c:strRef>
          </c:cat>
          <c:val>
            <c:numRef>
              <c:f>'[陕西--互联网基础资源-网站备案-网络安全-作图.xlsx]互联网基础资源'!$C$145:$C$149</c:f>
              <c:numCache>
                <c:formatCode>0.0%</c:formatCode>
                <c:ptCount val="5"/>
                <c:pt idx="0">
                  <c:v>0.30128534704370202</c:v>
                </c:pt>
                <c:pt idx="1">
                  <c:v>9.1268273409719491E-2</c:v>
                </c:pt>
                <c:pt idx="2">
                  <c:v>9.5944967414916704E-2</c:v>
                </c:pt>
                <c:pt idx="3">
                  <c:v>0.3263957713908166</c:v>
                </c:pt>
                <c:pt idx="4">
                  <c:v>0.12478206724782102</c:v>
                </c:pt>
              </c:numCache>
            </c:numRef>
          </c:val>
        </c:ser>
        <c:dLbls>
          <c:showVal val="1"/>
        </c:dLbls>
        <c:marker val="1"/>
        <c:axId val="283092096"/>
        <c:axId val="283093632"/>
      </c:lineChart>
      <c:catAx>
        <c:axId val="283068288"/>
        <c:scaling>
          <c:orientation val="minMax"/>
        </c:scaling>
        <c:axPos val="b"/>
        <c:numFmt formatCode="General" sourceLinked="1"/>
        <c:majorTickMark val="none"/>
        <c:tickLblPos val="low"/>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069824"/>
        <c:crosses val="autoZero"/>
        <c:lblAlgn val="ctr"/>
        <c:lblOffset val="100"/>
        <c:tickLblSkip val="1"/>
      </c:catAx>
      <c:valAx>
        <c:axId val="283069824"/>
        <c:scaling>
          <c:orientation val="minMax"/>
          <c:max val="1500"/>
          <c:min val="0"/>
        </c:scaling>
        <c:axPos val="l"/>
        <c:majorGridlines>
          <c:spPr>
            <a:ln w="12700" cap="flat" cmpd="sng" algn="ctr">
              <a:noFill/>
              <a:prstDash val="solid"/>
              <a:round/>
            </a:ln>
          </c:spPr>
        </c:majorGridlines>
        <c:numFmt formatCode="General" sourceLinked="0"/>
        <c:majorTickMark val="none"/>
        <c:tickLblPos val="nextTo"/>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068288"/>
        <c:crosses val="autoZero"/>
        <c:crossBetween val="between"/>
        <c:majorUnit val="500"/>
      </c:valAx>
      <c:catAx>
        <c:axId val="283092096"/>
        <c:scaling>
          <c:orientation val="minMax"/>
        </c:scaling>
        <c:delete val="1"/>
        <c:axPos val="b"/>
        <c:numFmt formatCode="General" sourceLinked="1"/>
        <c:tickLblPos val="none"/>
        <c:crossAx val="283093632"/>
        <c:crosses val="autoZero"/>
        <c:lblAlgn val="ctr"/>
        <c:lblOffset val="100"/>
      </c:catAx>
      <c:valAx>
        <c:axId val="283093632"/>
        <c:scaling>
          <c:orientation val="minMax"/>
          <c:max val="1.2"/>
          <c:min val="-5"/>
        </c:scaling>
        <c:axPos val="r"/>
        <c:numFmt formatCode="0.0%" sourceLinked="1"/>
        <c:majorTickMark val="none"/>
        <c:tickLblPos val="none"/>
        <c:spPr>
          <a:ln w="3175" cap="flat" cmpd="sng" algn="ctr">
            <a:noFill/>
            <a:prstDash val="solid"/>
            <a:round/>
          </a:ln>
        </c:spPr>
        <c:txPr>
          <a:bodyPr rot="-6000000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092096"/>
        <c:crosses val="max"/>
        <c:crossBetween val="between"/>
        <c:majorUnit val="0.2900000000000002"/>
        <c:minorUnit val="0.2900000000000002"/>
      </c:valAx>
      <c:spPr>
        <a:noFill/>
        <a:ln w="12700">
          <a:noFill/>
          <a:prstDash val="solid"/>
        </a:ln>
      </c:spPr>
    </c:plotArea>
    <c:legend>
      <c:legendPos val="r"/>
      <c:layout>
        <c:manualLayout>
          <c:xMode val="edge"/>
          <c:yMode val="edge"/>
          <c:x val="0.11492973915039946"/>
          <c:y val="0.72036149285088025"/>
          <c:w val="0.78985335166437642"/>
          <c:h val="5.6548064067966877E-2"/>
        </c:manualLayout>
      </c:layout>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legend>
    <c:plotVisOnly val="1"/>
    <c:dispBlanksAs val="gap"/>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externalData r:id="rId1"/>
  <c:userShapes r:id="rId2"/>
</c:chartSpace>
</file>

<file path=word/charts/chart122.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r>
              <a:rPr lang="en-US" sz="1200" b="1"/>
              <a:t>2017</a:t>
            </a:r>
            <a:r>
              <a:rPr lang="zh-CN" sz="1200" b="1"/>
              <a:t>年</a:t>
            </a:r>
            <a:r>
              <a:rPr lang="zh-CN" altLang="en-US" sz="1200" b="1"/>
              <a:t>陕西省（固定）宽带用户接入速率分布</a:t>
            </a:r>
          </a:p>
        </c:rich>
      </c:tx>
      <c:layout>
        <c:manualLayout>
          <c:xMode val="edge"/>
          <c:yMode val="edge"/>
          <c:x val="0.17950619594145012"/>
          <c:y val="3.0490975357938099E-2"/>
        </c:manualLayout>
      </c:layout>
      <c:spPr>
        <a:noFill/>
        <a:ln w="25400">
          <a:noFill/>
        </a:ln>
      </c:spPr>
    </c:title>
    <c:plotArea>
      <c:layout>
        <c:manualLayout>
          <c:layoutTarget val="inner"/>
          <c:xMode val="edge"/>
          <c:yMode val="edge"/>
          <c:x val="0.38203165198409628"/>
          <c:y val="0.30645843110670795"/>
          <c:w val="0.25577433023012425"/>
          <c:h val="0.42689215116026735"/>
        </c:manualLayout>
      </c:layout>
      <c:pieChart>
        <c:varyColors val="1"/>
        <c:ser>
          <c:idx val="0"/>
          <c:order val="0"/>
          <c:spPr>
            <a:solidFill>
              <a:srgbClr val="9999FF"/>
            </a:solidFill>
            <a:ln w="12700">
              <a:noFill/>
              <a:prstDash val="solid"/>
            </a:ln>
          </c:spPr>
          <c:dPt>
            <c:idx val="0"/>
            <c:spPr>
              <a:solidFill>
                <a:srgbClr val="B2D234"/>
              </a:solidFill>
              <a:ln w="12700">
                <a:noFill/>
                <a:prstDash val="solid"/>
              </a:ln>
            </c:spPr>
          </c:dPt>
          <c:dPt>
            <c:idx val="1"/>
            <c:spPr>
              <a:solidFill>
                <a:srgbClr val="8BC53F"/>
              </a:solidFill>
              <a:ln w="12700">
                <a:noFill/>
                <a:prstDash val="solid"/>
              </a:ln>
            </c:spPr>
          </c:dPt>
          <c:dPt>
            <c:idx val="2"/>
            <c:spPr>
              <a:solidFill>
                <a:srgbClr val="65AF45"/>
              </a:solidFill>
              <a:ln w="12700">
                <a:noFill/>
                <a:prstDash val="solid"/>
              </a:ln>
            </c:spPr>
          </c:dPt>
          <c:dPt>
            <c:idx val="3"/>
            <c:spPr>
              <a:solidFill>
                <a:srgbClr val="1EC8F3"/>
              </a:solidFill>
              <a:ln w="12700">
                <a:noFill/>
                <a:prstDash val="solid"/>
              </a:ln>
            </c:spPr>
          </c:dPt>
          <c:dPt>
            <c:idx val="4"/>
            <c:spPr>
              <a:solidFill>
                <a:srgbClr val="FFFF00"/>
              </a:solidFill>
              <a:ln w="12700">
                <a:noFill/>
                <a:prstDash val="solid"/>
              </a:ln>
            </c:spPr>
          </c:dPt>
          <c:dLbls>
            <c:dLbl>
              <c:idx val="0"/>
              <c:layout>
                <c:manualLayout>
                  <c:x val="0.10420747901561812"/>
                  <c:y val="0.12780657384714328"/>
                </c:manualLayout>
              </c:layout>
              <c:dLblPos val="bestFit"/>
              <c:showCatName val="1"/>
              <c:showPercent val="1"/>
              <c:separator>
</c:separator>
              <c:extLst>
                <c:ext xmlns:c15="http://schemas.microsoft.com/office/drawing/2012/chart" uri="{CE6537A1-D6FC-4f65-9D91-7224C49458BB}">
                  <c15:layout/>
                </c:ext>
              </c:extLst>
            </c:dLbl>
            <c:dLbl>
              <c:idx val="1"/>
              <c:layout>
                <c:manualLayout>
                  <c:x val="-0.13688334502741625"/>
                  <c:y val="-6.4547461368653344E-2"/>
                </c:manualLayout>
              </c:layout>
              <c:dLblPos val="bestFit"/>
              <c:showCatName val="1"/>
              <c:showPercent val="1"/>
              <c:separator>
</c:separator>
              <c:extLst>
                <c:ext xmlns:c15="http://schemas.microsoft.com/office/drawing/2012/chart" uri="{CE6537A1-D6FC-4f65-9D91-7224C49458BB}">
                  <c15:layout/>
                </c:ext>
              </c:extLst>
            </c:dLbl>
            <c:dLbl>
              <c:idx val="2"/>
              <c:layout>
                <c:manualLayout>
                  <c:x val="-0.137936626746507"/>
                  <c:y val="3.7705837223142427E-2"/>
                </c:manualLayout>
              </c:layout>
              <c:dLblPos val="bestFit"/>
              <c:showCatName val="1"/>
              <c:showPercent val="1"/>
              <c:separator>
</c:separator>
              <c:extLst>
                <c:ext xmlns:c15="http://schemas.microsoft.com/office/drawing/2012/chart" uri="{CE6537A1-D6FC-4f65-9D91-7224C49458BB}">
                  <c15:layout/>
                </c:ext>
              </c:extLst>
            </c:dLbl>
            <c:dLbl>
              <c:idx val="3"/>
              <c:layout>
                <c:manualLayout>
                  <c:x val="-4.9247160936566101E-2"/>
                  <c:y val="-5.2147190210495221E-2"/>
                </c:manualLayout>
              </c:layout>
              <c:dLblPos val="bestFit"/>
              <c:showCatName val="1"/>
              <c:showPercent val="1"/>
              <c:separator>
</c:separator>
              <c:extLst>
                <c:ext xmlns:c15="http://schemas.microsoft.com/office/drawing/2012/chart" uri="{CE6537A1-D6FC-4f65-9D91-7224C49458BB}">
                  <c15:layout/>
                </c:ext>
              </c:extLst>
            </c:dLbl>
            <c:dLbl>
              <c:idx val="4"/>
              <c:layout>
                <c:manualLayout>
                  <c:x val="0.11839567578805138"/>
                  <c:y val="-3.9653404251620866E-2"/>
                </c:manualLayout>
              </c:layout>
              <c:dLblPos val="bestFit"/>
              <c:showCatName val="1"/>
              <c:showPercent val="1"/>
              <c:separator>
</c:separator>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bestFit"/>
            <c:showCatName val="1"/>
            <c:showPercent val="1"/>
            <c:separator>
</c:separator>
            <c:showLeaderLines val="1"/>
            <c:extLst>
              <c:ext xmlns:c15="http://schemas.microsoft.com/office/drawing/2012/chart" uri="{CE6537A1-D6FC-4f65-9D91-7224C49458BB}">
                <c15:layout/>
                <c15:showLeaderLines val="1"/>
                <c15:leaderLines/>
              </c:ext>
            </c:extLst>
          </c:dLbls>
          <c:cat>
            <c:strRef>
              <c:f>'[陕西--互联网基础资源-网站备案-网络安全-作图.xlsx]互联网基础资源'!$L$141:$L$145</c:f>
              <c:strCache>
                <c:ptCount val="5"/>
                <c:pt idx="0">
                  <c:v>100M以上</c:v>
                </c:pt>
                <c:pt idx="1">
                  <c:v>50M-100M</c:v>
                </c:pt>
                <c:pt idx="2">
                  <c:v>20M-50M</c:v>
                </c:pt>
                <c:pt idx="3">
                  <c:v>8M-20M</c:v>
                </c:pt>
                <c:pt idx="4">
                  <c:v>0-8M</c:v>
                </c:pt>
              </c:strCache>
            </c:strRef>
          </c:cat>
          <c:val>
            <c:numRef>
              <c:f>'[陕西--互联网基础资源-网站备案-网络安全-作图.xlsx]互联网基础资源'!$M$141:$M$145</c:f>
              <c:numCache>
                <c:formatCode>0.00</c:formatCode>
                <c:ptCount val="5"/>
                <c:pt idx="0">
                  <c:v>314.5</c:v>
                </c:pt>
                <c:pt idx="1">
                  <c:v>312.3</c:v>
                </c:pt>
                <c:pt idx="2">
                  <c:v>208.1</c:v>
                </c:pt>
                <c:pt idx="3">
                  <c:v>44.3</c:v>
                </c:pt>
                <c:pt idx="4">
                  <c:v>24.386399999999977</c:v>
                </c:pt>
              </c:numCache>
            </c:numRef>
          </c:val>
        </c:ser>
        <c:dLbls>
          <c:showVal val="1"/>
          <c:showCatName val="1"/>
        </c:dLbls>
        <c:firstSliceAng val="0"/>
      </c:pieChart>
      <c:spPr>
        <a:noFill/>
        <a:ln w="25400">
          <a:noFill/>
        </a:ln>
      </c:spPr>
    </c:plotArea>
    <c:plotVisOnly val="1"/>
    <c:dispBlanksAs val="zero"/>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externalData r:id="rId1"/>
  <c:userShapes r:id="rId2"/>
</c:chartSpace>
</file>

<file path=word/charts/chart12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2014-2017</a:t>
            </a:r>
            <a:r>
              <a:rPr lang="zh-CN" altLang="en-US" sz="1200" b="1"/>
              <a:t>年陕西省移动基站数量</a:t>
            </a:r>
            <a:endParaRPr lang="zh-CN" sz="1200" b="1"/>
          </a:p>
        </c:rich>
      </c:tx>
      <c:spPr>
        <a:noFill/>
        <a:ln w="25400">
          <a:noFill/>
        </a:ln>
      </c:spPr>
    </c:title>
    <c:plotArea>
      <c:layout>
        <c:manualLayout>
          <c:layoutTarget val="inner"/>
          <c:xMode val="edge"/>
          <c:yMode val="edge"/>
          <c:x val="0.10327860502585692"/>
          <c:y val="0.16417422505731089"/>
          <c:w val="0.85539427705793092"/>
          <c:h val="0.45162291666666682"/>
        </c:manualLayout>
      </c:layout>
      <c:barChart>
        <c:barDir val="col"/>
        <c:grouping val="clustered"/>
        <c:ser>
          <c:idx val="1"/>
          <c:order val="0"/>
          <c:tx>
            <c:strRef>
              <c:f>'07-互联网资源'!$B$178</c:f>
              <c:strCache>
                <c:ptCount val="1"/>
                <c:pt idx="0">
                  <c:v>移动基站数量（万个）</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'07-互联网资源'!$B$18:$E$18</c:f>
              <c:strCache>
                <c:ptCount val="4"/>
                <c:pt idx="0">
                  <c:v>2014年</c:v>
                </c:pt>
                <c:pt idx="1">
                  <c:v>2015年</c:v>
                </c:pt>
                <c:pt idx="2">
                  <c:v>2016年</c:v>
                </c:pt>
                <c:pt idx="3">
                  <c:v>2017年</c:v>
                </c:pt>
              </c:strCache>
            </c:strRef>
          </c:cat>
          <c:val>
            <c:numRef>
              <c:f>'07-互联网资源'!$B$179:$B$182</c:f>
              <c:numCache>
                <c:formatCode>General</c:formatCode>
                <c:ptCount val="4"/>
                <c:pt idx="0">
                  <c:v>11.3</c:v>
                </c:pt>
                <c:pt idx="1">
                  <c:v>13.7</c:v>
                </c:pt>
                <c:pt idx="2">
                  <c:v>17</c:v>
                </c:pt>
                <c:pt idx="3">
                  <c:v>23.8</c:v>
                </c:pt>
              </c:numCache>
            </c:numRef>
          </c:val>
          <c:extLst xmlns:c16r2="http://schemas.microsoft.com/office/drawing/2015/06/chart">
            <c:ext xmlns:c16="http://schemas.microsoft.com/office/drawing/2014/chart" uri="{C3380CC4-5D6E-409C-BE32-E72D297353CC}">
              <c16:uniqueId val="{00000000-AE7F-40F2-86E8-2C13DF00BB8E}"/>
            </c:ext>
          </c:extLst>
        </c:ser>
        <c:dLbls>
          <c:showVal val="1"/>
        </c:dLbls>
        <c:gapWidth val="60"/>
        <c:axId val="283265664"/>
        <c:axId val="283271552"/>
      </c:barChart>
      <c:lineChart>
        <c:grouping val="standard"/>
        <c:ser>
          <c:idx val="0"/>
          <c:order val="1"/>
          <c:tx>
            <c:strRef>
              <c:f>'07-互联网资源'!$C$178</c:f>
              <c:strCache>
                <c:ptCount val="1"/>
                <c:pt idx="0">
                  <c:v>增长率</c:v>
                </c:pt>
              </c:strCache>
            </c:strRef>
          </c:tx>
          <c:spPr>
            <a:ln>
              <a:solidFill>
                <a:srgbClr val="B2D234"/>
              </a:solidFill>
            </a:ln>
          </c:spPr>
          <c:marker>
            <c:symbol val="circle"/>
            <c:size val="5"/>
            <c:spPr>
              <a:solidFill>
                <a:srgbClr val="B2D234"/>
              </a:solidFill>
              <a:ln>
                <a:solidFill>
                  <a:srgbClr val="B2D234"/>
                </a:solidFill>
              </a:ln>
            </c:spPr>
          </c:marker>
          <c:dLbls>
            <c:dLblPos val="t"/>
            <c:showVal val="1"/>
          </c:dLbls>
          <c:cat>
            <c:strRef>
              <c:f>'07-互联网资源'!$A$179:$A$182</c:f>
              <c:strCache>
                <c:ptCount val="4"/>
                <c:pt idx="0">
                  <c:v>2014年</c:v>
                </c:pt>
                <c:pt idx="1">
                  <c:v>2015年</c:v>
                </c:pt>
                <c:pt idx="2">
                  <c:v>2016年</c:v>
                </c:pt>
                <c:pt idx="3">
                  <c:v>2017年</c:v>
                </c:pt>
              </c:strCache>
            </c:strRef>
          </c:cat>
          <c:val>
            <c:numRef>
              <c:f>'07-互联网资源'!$C$179:$C$182</c:f>
              <c:numCache>
                <c:formatCode>0.0%</c:formatCode>
                <c:ptCount val="4"/>
                <c:pt idx="1">
                  <c:v>0.21238938053097356</c:v>
                </c:pt>
                <c:pt idx="2">
                  <c:v>0.24087591240875905</c:v>
                </c:pt>
                <c:pt idx="3">
                  <c:v>0.4000000000000003</c:v>
                </c:pt>
              </c:numCache>
            </c:numRef>
          </c:val>
        </c:ser>
        <c:marker val="1"/>
        <c:axId val="283274624"/>
        <c:axId val="283273088"/>
      </c:lineChart>
      <c:catAx>
        <c:axId val="28326566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3271552"/>
        <c:crosses val="autoZero"/>
        <c:lblAlgn val="ctr"/>
        <c:lblOffset val="100"/>
        <c:tickLblSkip val="1"/>
        <c:tickMarkSkip val="1"/>
      </c:catAx>
      <c:valAx>
        <c:axId val="283271552"/>
        <c:scaling>
          <c:orientation val="minMax"/>
          <c:max val="4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3265664"/>
        <c:crosses val="autoZero"/>
        <c:crossBetween val="between"/>
        <c:majorUnit val="10"/>
        <c:minorUnit val="5"/>
      </c:valAx>
      <c:valAx>
        <c:axId val="283273088"/>
        <c:scaling>
          <c:orientation val="minMax"/>
          <c:max val="0.5"/>
          <c:min val="-0.5"/>
        </c:scaling>
        <c:axPos val="r"/>
        <c:numFmt formatCode="0%" sourceLinked="0"/>
        <c:majorTickMark val="none"/>
        <c:tickLblPos val="none"/>
        <c:spPr>
          <a:noFill/>
          <a:ln>
            <a:noFill/>
          </a:ln>
        </c:spPr>
        <c:crossAx val="283274624"/>
        <c:crosses val="max"/>
        <c:crossBetween val="between"/>
        <c:majorUnit val="0.1"/>
        <c:minorUnit val="5.0000000000000024E-2"/>
      </c:valAx>
      <c:catAx>
        <c:axId val="283274624"/>
        <c:scaling>
          <c:orientation val="minMax"/>
        </c:scaling>
        <c:delete val="1"/>
        <c:axPos val="b"/>
        <c:tickLblPos val="none"/>
        <c:crossAx val="283273088"/>
        <c:crosses val="autoZero"/>
        <c:auto val="1"/>
        <c:lblAlgn val="ctr"/>
        <c:lblOffset val="100"/>
      </c:catAx>
      <c:spPr>
        <a:noFill/>
        <a:ln w="12700">
          <a:noFill/>
          <a:prstDash val="solid"/>
        </a:ln>
      </c:spPr>
    </c:plotArea>
    <c:legend>
      <c:legendPos val="r"/>
      <c:layout>
        <c:manualLayout>
          <c:xMode val="edge"/>
          <c:yMode val="edge"/>
          <c:x val="0.14405412462076311"/>
          <c:y val="0.70794305555555603"/>
          <c:w val="0.73761958943567263"/>
          <c:h val="7.89729166666666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r>
              <a:rPr lang="en-US" altLang="zh-CN" sz="1200" b="1" i="0" u="none" strike="noStrike" baseline="0">
                <a:effectLst/>
              </a:rPr>
              <a:t>2013-2017</a:t>
            </a:r>
            <a:r>
              <a:rPr lang="zh-CN" altLang="zh-CN" sz="1200" b="1" i="0" u="none" strike="noStrike" baseline="0">
                <a:effectLst/>
              </a:rPr>
              <a:t>年</a:t>
            </a:r>
            <a:r>
              <a:rPr lang="zh-CN" altLang="en-US" sz="1200" b="1" i="0" u="none" strike="noStrike" baseline="0">
                <a:effectLst/>
              </a:rPr>
              <a:t>陕西省</a:t>
            </a:r>
            <a:r>
              <a:rPr lang="zh-CN" altLang="en-US" sz="1200" b="1"/>
              <a:t>移动电话用户规模</a:t>
            </a:r>
            <a:endParaRPr lang="zh-CN" sz="1200" b="1"/>
          </a:p>
        </c:rich>
      </c:tx>
      <c:spPr>
        <a:noFill/>
        <a:ln w="25400">
          <a:noFill/>
        </a:ln>
      </c:spPr>
    </c:title>
    <c:plotArea>
      <c:layout>
        <c:manualLayout>
          <c:layoutTarget val="inner"/>
          <c:xMode val="edge"/>
          <c:yMode val="edge"/>
          <c:x val="0.10554044643086002"/>
          <c:y val="0.164174225057311"/>
          <c:w val="0.8527458226137582"/>
          <c:h val="0.49131025288505636"/>
        </c:manualLayout>
      </c:layout>
      <c:barChart>
        <c:barDir val="col"/>
        <c:grouping val="clustered"/>
        <c:ser>
          <c:idx val="1"/>
          <c:order val="0"/>
          <c:tx>
            <c:strRef>
              <c:f>'[陕西--互联网基础资源-网站备案-网络安全-作图.xlsx]互联网基础资源'!$B$151</c:f>
              <c:strCache>
                <c:ptCount val="1"/>
                <c:pt idx="0">
                  <c:v>年末移动电话用户规模（万户）</c:v>
                </c:pt>
              </c:strCache>
            </c:strRef>
          </c:tx>
          <c:spPr>
            <a:solidFill>
              <a:srgbClr val="B2D234"/>
            </a:solidFill>
            <a:ln w="12700">
              <a:noFill/>
              <a:prstDash val="solid"/>
            </a:ln>
          </c:spPr>
          <c:dLbls>
            <c:numFmt formatCode="0.0_);[Red]\(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'[陕西--互联网基础资源-网站备案-网络安全-作图.xlsx]互联网基础资源'!$A$153:$A$157</c:f>
              <c:strCache>
                <c:ptCount val="5"/>
                <c:pt idx="0">
                  <c:v>2013年</c:v>
                </c:pt>
                <c:pt idx="1">
                  <c:v>2014年</c:v>
                </c:pt>
                <c:pt idx="2">
                  <c:v>2015年</c:v>
                </c:pt>
                <c:pt idx="3">
                  <c:v>2016年</c:v>
                </c:pt>
                <c:pt idx="4">
                  <c:v>2017年</c:v>
                </c:pt>
              </c:strCache>
            </c:strRef>
          </c:cat>
          <c:val>
            <c:numRef>
              <c:f>'[陕西--互联网基础资源-网站备案-网络安全-作图.xlsx]互联网基础资源'!$B$153:$B$157</c:f>
              <c:numCache>
                <c:formatCode>General</c:formatCode>
                <c:ptCount val="5"/>
                <c:pt idx="0">
                  <c:v>3512.5</c:v>
                </c:pt>
                <c:pt idx="1">
                  <c:v>3607.2</c:v>
                </c:pt>
                <c:pt idx="2">
                  <c:v>3649.7</c:v>
                </c:pt>
                <c:pt idx="3">
                  <c:v>3813.3</c:v>
                </c:pt>
                <c:pt idx="4">
                  <c:v>4220.6000000000004</c:v>
                </c:pt>
              </c:numCache>
            </c:numRef>
          </c:val>
        </c:ser>
        <c:dLbls>
          <c:showVal val="1"/>
        </c:dLbls>
        <c:gapWidth val="60"/>
        <c:axId val="283191552"/>
        <c:axId val="283197440"/>
      </c:barChart>
      <c:lineChart>
        <c:grouping val="standard"/>
        <c:ser>
          <c:idx val="0"/>
          <c:order val="1"/>
          <c:tx>
            <c:strRef>
              <c:f>'[陕西--互联网基础资源-网站备案-网络安全-作图.xlsx]互联网基础资源'!$C$151</c:f>
              <c:strCache>
                <c:ptCount val="1"/>
                <c:pt idx="0">
                  <c:v>增长率</c:v>
                </c:pt>
              </c:strCache>
            </c:strRef>
          </c:tx>
          <c:spPr>
            <a:ln w="25400" cap="rnd" cmpd="sng" algn="ctr">
              <a:solidFill>
                <a:srgbClr val="B2D234"/>
              </a:solidFill>
              <a:prstDash val="solid"/>
              <a:round/>
            </a:ln>
          </c:spPr>
          <c:marker>
            <c:symbol val="circle"/>
            <c:size val="5"/>
            <c:spPr>
              <a:solidFill>
                <a:srgbClr val="B2D234"/>
              </a:solidFill>
              <a:ln w="9525" cap="flat" cmpd="sng" algn="ctr">
                <a:solidFill>
                  <a:srgbClr val="B2D234"/>
                </a:solidFill>
                <a:prstDash val="solid"/>
                <a:round/>
              </a:ln>
            </c:spPr>
          </c:marker>
          <c:dLbls>
            <c:dLbl>
              <c:idx val="0"/>
              <c:layout>
                <c:manualLayout>
                  <c:x val="-5.0793859100945922E-2"/>
                  <c:y val="-5.2512080849707404E-2"/>
                </c:manualLayout>
              </c:layout>
              <c:dLblPos val="r"/>
              <c:showVal val="1"/>
              <c:extLst>
                <c:ext xmlns:c15="http://schemas.microsoft.com/office/drawing/2012/chart" uri="{CE6537A1-D6FC-4f65-9D91-7224C49458BB}">
                  <c15:layout/>
                </c:ext>
              </c:extLst>
            </c:dLbl>
            <c:dLbl>
              <c:idx val="1"/>
              <c:layout>
                <c:manualLayout>
                  <c:x val="-4.7619047619047623E-2"/>
                  <c:y val="-4.2999915333163996E-2"/>
                </c:manualLayout>
              </c:layout>
              <c:dLblPos val="r"/>
              <c:showVal val="1"/>
              <c:extLst>
                <c:ext xmlns:c15="http://schemas.microsoft.com/office/drawing/2012/chart" uri="{CE6537A1-D6FC-4f65-9D91-7224C49458BB}">
                  <c15:layout/>
                </c:ext>
              </c:extLst>
            </c:dLbl>
            <c:dLbl>
              <c:idx val="2"/>
              <c:layout>
                <c:manualLayout>
                  <c:x val="-4.6576128478989544E-2"/>
                  <c:y val="-3.8322815107168701E-2"/>
                </c:manualLayout>
              </c:layout>
              <c:dLblPos val="r"/>
              <c:showVal val="1"/>
              <c:extLst>
                <c:ext xmlns:c15="http://schemas.microsoft.com/office/drawing/2012/chart" uri="{CE6537A1-D6FC-4f65-9D91-7224C49458BB}">
                  <c15:layout/>
                </c:ext>
              </c:extLst>
            </c:dLbl>
            <c:dLbl>
              <c:idx val="3"/>
              <c:layout>
                <c:manualLayout>
                  <c:x val="-3.5294129900429128E-2"/>
                  <c:y val="-5.5552121405385103E-2"/>
                </c:manualLayout>
              </c:layout>
              <c:dLblPos val="r"/>
              <c:showVal val="1"/>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dLblPos val="t"/>
            <c:showVal val="1"/>
            <c:extLst>
              <c:ext xmlns:c15="http://schemas.microsoft.com/office/drawing/2012/chart" uri="{CE6537A1-D6FC-4f65-9D91-7224C49458BB}">
                <c15:layout/>
                <c15:showLeaderLines val="0"/>
                <c15:leaderLines/>
              </c:ext>
            </c:extLst>
          </c:dLbls>
          <c:cat>
            <c:strRef>
              <c:f>'[陕西--互联网基础资源-网站备案-网络安全-作图.xlsx]互联网基础资源'!$A$153:$A$157</c:f>
              <c:strCache>
                <c:ptCount val="5"/>
                <c:pt idx="0">
                  <c:v>2013年</c:v>
                </c:pt>
                <c:pt idx="1">
                  <c:v>2014年</c:v>
                </c:pt>
                <c:pt idx="2">
                  <c:v>2015年</c:v>
                </c:pt>
                <c:pt idx="3">
                  <c:v>2016年</c:v>
                </c:pt>
                <c:pt idx="4">
                  <c:v>2017年</c:v>
                </c:pt>
              </c:strCache>
            </c:strRef>
          </c:cat>
          <c:val>
            <c:numRef>
              <c:f>'[陕西--互联网基础资源-网站备案-网络安全-作图.xlsx]互联网基础资源'!$C$153:$C$157</c:f>
              <c:numCache>
                <c:formatCode>0.0%</c:formatCode>
                <c:ptCount val="5"/>
                <c:pt idx="0">
                  <c:v>5.4171668667466963E-2</c:v>
                </c:pt>
                <c:pt idx="1">
                  <c:v>2.6960854092526597E-2</c:v>
                </c:pt>
                <c:pt idx="2">
                  <c:v>1.1781991572410701E-2</c:v>
                </c:pt>
                <c:pt idx="3">
                  <c:v>4.4825602104282603E-2</c:v>
                </c:pt>
                <c:pt idx="4">
                  <c:v>0.10681037421655799</c:v>
                </c:pt>
              </c:numCache>
            </c:numRef>
          </c:val>
        </c:ser>
        <c:dLbls>
          <c:showVal val="1"/>
        </c:dLbls>
        <c:marker val="1"/>
        <c:axId val="283198976"/>
        <c:axId val="283200512"/>
      </c:lineChart>
      <c:catAx>
        <c:axId val="283191552"/>
        <c:scaling>
          <c:orientation val="minMax"/>
        </c:scaling>
        <c:axPos val="b"/>
        <c:numFmt formatCode="General" sourceLinked="1"/>
        <c:majorTickMark val="none"/>
        <c:tickLblPos val="low"/>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197440"/>
        <c:crosses val="autoZero"/>
        <c:lblAlgn val="ctr"/>
        <c:lblOffset val="100"/>
        <c:tickLblSkip val="1"/>
      </c:catAx>
      <c:valAx>
        <c:axId val="283197440"/>
        <c:scaling>
          <c:orientation val="minMax"/>
          <c:min val="0"/>
        </c:scaling>
        <c:axPos val="l"/>
        <c:majorGridlines>
          <c:spPr>
            <a:ln w="12700" cap="flat" cmpd="sng" algn="ctr">
              <a:noFill/>
              <a:prstDash val="solid"/>
              <a:round/>
            </a:ln>
          </c:spPr>
        </c:majorGridlines>
        <c:numFmt formatCode="General" sourceLinked="0"/>
        <c:majorTickMark val="none"/>
        <c:tickLblPos val="nextTo"/>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191552"/>
        <c:crosses val="autoZero"/>
        <c:crossBetween val="between"/>
        <c:majorUnit val="2000"/>
      </c:valAx>
      <c:catAx>
        <c:axId val="283198976"/>
        <c:scaling>
          <c:orientation val="minMax"/>
        </c:scaling>
        <c:delete val="1"/>
        <c:axPos val="b"/>
        <c:numFmt formatCode="General" sourceLinked="1"/>
        <c:tickLblPos val="none"/>
        <c:crossAx val="283200512"/>
        <c:crosses val="autoZero"/>
        <c:lblAlgn val="ctr"/>
        <c:lblOffset val="100"/>
      </c:catAx>
      <c:valAx>
        <c:axId val="283200512"/>
        <c:scaling>
          <c:orientation val="minMax"/>
          <c:max val="0.30000000000000021"/>
          <c:min val="-3"/>
        </c:scaling>
        <c:axPos val="r"/>
        <c:numFmt formatCode="0.0%" sourceLinked="1"/>
        <c:majorTickMark val="none"/>
        <c:tickLblPos val="none"/>
        <c:spPr>
          <a:ln w="3175" cap="flat" cmpd="sng" algn="ctr">
            <a:noFill/>
            <a:prstDash val="solid"/>
            <a:round/>
          </a:ln>
        </c:spPr>
        <c:txPr>
          <a:bodyPr rot="-6000000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crossAx val="283198976"/>
        <c:crosses val="max"/>
        <c:crossBetween val="between"/>
        <c:majorUnit val="0.2900000000000002"/>
        <c:minorUnit val="0.2900000000000002"/>
      </c:valAx>
      <c:spPr>
        <a:noFill/>
        <a:ln w="12700">
          <a:noFill/>
          <a:prstDash val="solid"/>
        </a:ln>
      </c:spPr>
    </c:plotArea>
    <c:legend>
      <c:legendPos val="r"/>
      <c:layout>
        <c:manualLayout>
          <c:xMode val="edge"/>
          <c:yMode val="edge"/>
          <c:x val="0.10432660273901408"/>
          <c:y val="0.73440154157945403"/>
          <c:w val="0.78985335166437642"/>
          <c:h val="5.6548064067966877E-2"/>
        </c:manualLayout>
      </c:layout>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legend>
    <c:plotVisOnly val="1"/>
    <c:dispBlanksAs val="gap"/>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2" charset="-122"/>
          <a:ea typeface="微软雅黑" panose="020B0503020204020204" pitchFamily="2" charset="-122"/>
          <a:cs typeface="华文细黑" panose="02010600040101010101" charset="-122"/>
        </a:defRPr>
      </a:pPr>
      <a:endParaRPr lang="zh-CN"/>
    </a:p>
  </c:txPr>
  <c:externalData r:id="rId1"/>
  <c:userShapes r:id="rId2"/>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200" b="1"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r>
              <a:rPr lang="en-US" altLang="zh-CN"/>
              <a:t>2015-2017</a:t>
            </a:r>
            <a:r>
              <a:rPr lang="zh-CN" altLang="en-US"/>
              <a:t>陕西省移动电话用户类型</a:t>
            </a:r>
          </a:p>
        </c:rich>
      </c:tx>
      <c:spPr>
        <a:noFill/>
        <a:ln w="25400">
          <a:noFill/>
        </a:ln>
      </c:spPr>
    </c:title>
    <c:plotArea>
      <c:layout>
        <c:manualLayout>
          <c:layoutTarget val="inner"/>
          <c:xMode val="edge"/>
          <c:yMode val="edge"/>
          <c:x val="0.10327860502585702"/>
          <c:y val="0.16106749991111199"/>
          <c:w val="0.8527458226137582"/>
          <c:h val="0.44693191496758272"/>
        </c:manualLayout>
      </c:layout>
      <c:barChart>
        <c:barDir val="col"/>
        <c:grouping val="clustered"/>
        <c:ser>
          <c:idx val="1"/>
          <c:order val="0"/>
          <c:tx>
            <c:strRef>
              <c:f>互联网基础资源!$L$120</c:f>
              <c:strCache>
                <c:ptCount val="1"/>
                <c:pt idx="0">
                  <c:v>4G用户</c:v>
                </c:pt>
              </c:strCache>
            </c:strRef>
          </c:tx>
          <c:spPr>
            <a:solidFill>
              <a:srgbClr val="B2D234"/>
            </a:solidFill>
            <a:ln w="12700">
              <a:noFill/>
              <a:prstDash val="solid"/>
            </a:ln>
          </c:spPr>
          <c:dLbls>
            <c:numFmt formatCode="0.0_);[Red]\(0.0\)" sourceLinked="0"/>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互联网基础资源!$M$119:$O$119</c:f>
              <c:strCache>
                <c:ptCount val="3"/>
                <c:pt idx="0">
                  <c:v>2015年</c:v>
                </c:pt>
                <c:pt idx="1">
                  <c:v>2016年</c:v>
                </c:pt>
                <c:pt idx="2">
                  <c:v>2017年</c:v>
                </c:pt>
              </c:strCache>
            </c:strRef>
          </c:cat>
          <c:val>
            <c:numRef>
              <c:f>互联网基础资源!$M$120:$O$120</c:f>
              <c:numCache>
                <c:formatCode>General</c:formatCode>
                <c:ptCount val="3"/>
                <c:pt idx="0">
                  <c:v>1421.2</c:v>
                </c:pt>
                <c:pt idx="1">
                  <c:v>2496.6999999999998</c:v>
                </c:pt>
                <c:pt idx="2">
                  <c:v>3169.57</c:v>
                </c:pt>
              </c:numCache>
            </c:numRef>
          </c:val>
        </c:ser>
        <c:ser>
          <c:idx val="0"/>
          <c:order val="1"/>
          <c:tx>
            <c:strRef>
              <c:f>互联网基础资源!$L$121</c:f>
              <c:strCache>
                <c:ptCount val="1"/>
                <c:pt idx="0">
                  <c:v>3G用户</c:v>
                </c:pt>
              </c:strCache>
            </c:strRef>
          </c:tx>
          <c:spPr>
            <a:solidFill>
              <a:srgbClr val="FFF500"/>
            </a:solidFill>
          </c:spPr>
          <c:dLbls>
            <c:numFmt formatCode="0.0_);[Red]\(0.0\)" sourceLinked="0"/>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互联网基础资源!$M$119:$O$119</c:f>
              <c:strCache>
                <c:ptCount val="3"/>
                <c:pt idx="0">
                  <c:v>2015年</c:v>
                </c:pt>
                <c:pt idx="1">
                  <c:v>2016年</c:v>
                </c:pt>
                <c:pt idx="2">
                  <c:v>2017年</c:v>
                </c:pt>
              </c:strCache>
            </c:strRef>
          </c:cat>
          <c:val>
            <c:numRef>
              <c:f>互联网基础资源!$M$121:$O$121</c:f>
              <c:numCache>
                <c:formatCode>General</c:formatCode>
                <c:ptCount val="3"/>
                <c:pt idx="0">
                  <c:v>924.2</c:v>
                </c:pt>
                <c:pt idx="1">
                  <c:v>441.7</c:v>
                </c:pt>
                <c:pt idx="2">
                  <c:v>349.85</c:v>
                </c:pt>
              </c:numCache>
            </c:numRef>
          </c:val>
        </c:ser>
        <c:ser>
          <c:idx val="2"/>
          <c:order val="2"/>
          <c:tx>
            <c:strRef>
              <c:f>互联网基础资源!$L$122</c:f>
              <c:strCache>
                <c:ptCount val="1"/>
                <c:pt idx="0">
                  <c:v>2G用户</c:v>
                </c:pt>
              </c:strCache>
            </c:strRef>
          </c:tx>
          <c:spPr>
            <a:solidFill>
              <a:srgbClr val="ADADB2"/>
            </a:solidFill>
          </c:spPr>
          <c:dLbls>
            <c:spPr>
              <a:noFill/>
              <a:ln>
                <a:noFill/>
              </a:ln>
              <a:effectLst/>
            </c:spPr>
            <c:txPr>
              <a:bodyPr rot="0" spcFirstLastPara="0" vertOverflow="ellipsis" vert="horz" wrap="square" lIns="38100" tIns="19050" rIns="38100" bIns="19050" anchor="ctr" anchorCtr="1" forceAA="0"/>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互联网基础资源!$M$119:$O$119</c:f>
              <c:strCache>
                <c:ptCount val="3"/>
                <c:pt idx="0">
                  <c:v>2015年</c:v>
                </c:pt>
                <c:pt idx="1">
                  <c:v>2016年</c:v>
                </c:pt>
                <c:pt idx="2">
                  <c:v>2017年</c:v>
                </c:pt>
              </c:strCache>
            </c:strRef>
          </c:cat>
          <c:val>
            <c:numRef>
              <c:f>互联网基础资源!$M$122:$O$122</c:f>
              <c:numCache>
                <c:formatCode>General</c:formatCode>
                <c:ptCount val="3"/>
                <c:pt idx="0">
                  <c:v>1304.3</c:v>
                </c:pt>
                <c:pt idx="1">
                  <c:v>874.9</c:v>
                </c:pt>
                <c:pt idx="2">
                  <c:v>701.1899999999996</c:v>
                </c:pt>
              </c:numCache>
            </c:numRef>
          </c:val>
        </c:ser>
        <c:dLbls>
          <c:showVal val="1"/>
        </c:dLbls>
        <c:gapWidth val="60"/>
        <c:axId val="283432448"/>
        <c:axId val="283433984"/>
      </c:barChart>
      <c:catAx>
        <c:axId val="283432448"/>
        <c:scaling>
          <c:orientation val="minMax"/>
        </c:scaling>
        <c:axPos val="b"/>
        <c:numFmt formatCode="General" sourceLinked="1"/>
        <c:majorTickMark val="none"/>
        <c:tickLblPos val="low"/>
        <c:spPr>
          <a:ln w="3175" cap="flat" cmpd="sng" algn="ctr">
            <a:solidFill>
              <a:schemeClr val="tx1">
                <a:lumMod val="50000"/>
                <a:lumOff val="50000"/>
              </a:schemeClr>
            </a:solidFill>
            <a:prstDash val="solid"/>
            <a:round/>
          </a:ln>
        </c:spPr>
        <c:txPr>
          <a:bodyPr rot="0" spcFirstLastPara="0" vertOverflow="ellipsis" vert="horz" wrap="square" anchor="ctr" anchorCtr="1" forceAA="0"/>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crossAx val="283433984"/>
        <c:crosses val="autoZero"/>
        <c:lblAlgn val="ctr"/>
        <c:lblOffset val="100"/>
        <c:tickLblSkip val="1"/>
      </c:catAx>
      <c:valAx>
        <c:axId val="283433984"/>
        <c:scaling>
          <c:orientation val="minMax"/>
          <c:min val="0"/>
        </c:scaling>
        <c:axPos val="l"/>
        <c:majorGridlines>
          <c:spPr>
            <a:ln w="12700" cap="flat" cmpd="sng" algn="ctr">
              <a:noFill/>
              <a:prstDash val="solid"/>
              <a:round/>
            </a:ln>
          </c:spPr>
        </c:majorGridlines>
        <c:numFmt formatCode="General" sourceLinked="0"/>
        <c:majorTickMark val="none"/>
        <c:tickLblPos val="nextTo"/>
        <c:spPr>
          <a:ln w="3175" cap="flat" cmpd="sng" algn="ctr">
            <a:solidFill>
              <a:schemeClr val="tx1">
                <a:lumMod val="50000"/>
                <a:lumOff val="50000"/>
              </a:schemeClr>
            </a:solidFill>
            <a:prstDash val="solid"/>
            <a:round/>
          </a:ln>
        </c:spPr>
        <c:txPr>
          <a:bodyPr rot="0" spcFirstLastPara="0" vertOverflow="ellipsis" vert="horz" wrap="square" anchor="ctr" anchorCtr="1" forceAA="0"/>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crossAx val="283432448"/>
        <c:crosses val="autoZero"/>
        <c:crossBetween val="between"/>
        <c:majorUnit val="1000"/>
        <c:minorUnit val="100"/>
      </c:valAx>
      <c:spPr>
        <a:noFill/>
        <a:ln w="12700">
          <a:noFill/>
          <a:prstDash val="solid"/>
        </a:ln>
      </c:spPr>
    </c:plotArea>
    <c:legend>
      <c:legendPos val="r"/>
      <c:layout>
        <c:manualLayout>
          <c:xMode val="edge"/>
          <c:yMode val="edge"/>
          <c:x val="8.6974086649520013E-2"/>
          <c:y val="0.70773632898974681"/>
          <c:w val="0.86273267326732705"/>
          <c:h val="8.00795956845817E-2"/>
        </c:manualLayout>
      </c:layout>
      <c:spPr>
        <a:solidFill>
          <a:srgbClr val="FFFFFF"/>
        </a:solidFill>
        <a:ln w="25400">
          <a:noFill/>
        </a:ln>
      </c:spPr>
      <c:txPr>
        <a:bodyPr rot="0" spcFirstLastPara="0" vertOverflow="ellipsis" vert="horz" wrap="square" anchor="ctr" anchorCtr="1" forceAA="0"/>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legend>
    <c:plotVisOnly val="1"/>
    <c:dispBlanksAs val="gap"/>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externalData r:id="rId2"/>
  <c:userShapes r:id="rId3"/>
</c:chartSpace>
</file>

<file path=word/charts/chart126.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r>
              <a:rPr lang="en-US" altLang="zh-CN" sz="1200" b="1"/>
              <a:t>2013-2017</a:t>
            </a:r>
            <a:r>
              <a:rPr lang="zh-CN" altLang="en-US" sz="1200" b="1"/>
              <a:t>年陕西省域名数量及占全国比例</a:t>
            </a:r>
            <a:endParaRPr lang="zh-CN" sz="1200" b="1"/>
          </a:p>
        </c:rich>
      </c:tx>
      <c:spPr>
        <a:noFill/>
        <a:ln w="25400">
          <a:noFill/>
        </a:ln>
      </c:spPr>
    </c:title>
    <c:plotArea>
      <c:layout>
        <c:manualLayout>
          <c:layoutTarget val="inner"/>
          <c:xMode val="edge"/>
          <c:yMode val="edge"/>
          <c:x val="0.10327860502585702"/>
          <c:y val="0.164174225057311"/>
          <c:w val="0.8527458226137582"/>
          <c:h val="0.46907222222222245"/>
        </c:manualLayout>
      </c:layout>
      <c:barChart>
        <c:barDir val="col"/>
        <c:grouping val="clustered"/>
        <c:ser>
          <c:idx val="1"/>
          <c:order val="0"/>
          <c:tx>
            <c:strRef>
              <c:f>互联网基础资源!$B$196</c:f>
              <c:strCache>
                <c:ptCount val="1"/>
                <c:pt idx="0">
                  <c:v>域名数量（万个）</c:v>
                </c:pt>
              </c:strCache>
            </c:strRef>
          </c:tx>
          <c:spPr>
            <a:solidFill>
              <a:srgbClr val="B2D234"/>
            </a:solidFill>
            <a:ln w="12700">
              <a:noFill/>
              <a:prstDash val="solid"/>
            </a:ln>
          </c:spPr>
          <c:dLbls>
            <c:dLbl>
              <c:idx val="0"/>
              <c:layout>
                <c:manualLayout>
                  <c:x val="0"/>
                  <c:y val="9.7799536106767306E-3"/>
                </c:manualLayout>
              </c:layout>
              <c:dLblPos val="outEnd"/>
              <c:showVal val="1"/>
              <c:extLst>
                <c:ext xmlns:c15="http://schemas.microsoft.com/office/drawing/2012/chart" uri="{CE6537A1-D6FC-4f65-9D91-7224C49458BB}">
                  <c15:layout/>
                </c:ext>
              </c:extLst>
            </c:dLbl>
            <c:dLbl>
              <c:idx val="1"/>
              <c:layout>
                <c:manualLayout>
                  <c:x val="0"/>
                  <c:y val="6.5199690737844937E-3"/>
                </c:manualLayout>
              </c:layout>
              <c:dLblPos val="outEnd"/>
              <c:showVal val="1"/>
              <c:extLst>
                <c:ext xmlns:c15="http://schemas.microsoft.com/office/drawing/2012/chart" uri="{CE6537A1-D6FC-4f65-9D91-7224C49458BB}">
                  <c15:layout/>
                </c:ext>
              </c:extLst>
            </c:dLbl>
            <c:dLbl>
              <c:idx val="2"/>
              <c:layout>
                <c:manualLayout>
                  <c:x val="0"/>
                  <c:y val="1.3039938147569001E-2"/>
                </c:manualLayout>
              </c:layout>
              <c:dLblPos val="outEnd"/>
              <c:showVal val="1"/>
              <c:extLst>
                <c:ext xmlns:c15="http://schemas.microsoft.com/office/drawing/2012/chart" uri="{CE6537A1-D6FC-4f65-9D91-7224C49458BB}">
                  <c15:layout/>
                </c:ext>
              </c:extLst>
            </c:dLbl>
            <c:dLbl>
              <c:idx val="3"/>
              <c:layout>
                <c:manualLayout>
                  <c:x val="5.2805280528052823E-3"/>
                  <c:y val="1.9749305555555569E-2"/>
                </c:manualLayout>
              </c:layout>
              <c:dLblPos val="outEnd"/>
              <c:showVal val="1"/>
              <c:extLst>
                <c:ext xmlns:c15="http://schemas.microsoft.com/office/drawing/2012/chart" uri="{CE6537A1-D6FC-4f65-9D91-7224C49458BB}">
                  <c15:layout/>
                </c:ext>
              </c:extLst>
            </c:dLbl>
            <c:dLbl>
              <c:idx val="4"/>
              <c:layout>
                <c:manualLayout>
                  <c:x val="0"/>
                  <c:y val="6.5199690737844937E-3"/>
                </c:manualLayout>
              </c:layout>
              <c:dLblPos val="outEnd"/>
              <c:showVal val="1"/>
              <c:extLst>
                <c:ext xmlns:c15="http://schemas.microsoft.com/office/drawing/2012/chart" uri="{CE6537A1-D6FC-4f65-9D91-7224C49458BB}">
                  <c15:layout/>
                </c:ext>
              </c:extLst>
            </c:dLbl>
            <c:numFmt formatCode="#,##0.0_);[Red]\(#,##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dLblPos val="outEnd"/>
            <c:showVal val="1"/>
            <c:extLst>
              <c:ext xmlns:c15="http://schemas.microsoft.com/office/drawing/2012/chart" uri="{CE6537A1-D6FC-4f65-9D91-7224C49458BB}">
                <c15:layout/>
                <c15:showLeaderLines val="0"/>
                <c15:leaderLines/>
              </c:ext>
            </c:extLst>
          </c:dLbls>
          <c:cat>
            <c:strRef>
              <c:f>互联网基础资源!$A$199:$A$203</c:f>
              <c:strCache>
                <c:ptCount val="5"/>
                <c:pt idx="0">
                  <c:v>2013年</c:v>
                </c:pt>
                <c:pt idx="1">
                  <c:v>2014年</c:v>
                </c:pt>
                <c:pt idx="2">
                  <c:v>2015年</c:v>
                </c:pt>
                <c:pt idx="3">
                  <c:v>2016年</c:v>
                </c:pt>
                <c:pt idx="4">
                  <c:v>2017年</c:v>
                </c:pt>
              </c:strCache>
            </c:strRef>
          </c:cat>
          <c:val>
            <c:numRef>
              <c:f>互联网基础资源!$B$199:$B$203</c:f>
              <c:numCache>
                <c:formatCode>0.0</c:formatCode>
                <c:ptCount val="5"/>
                <c:pt idx="0">
                  <c:v>13.208</c:v>
                </c:pt>
                <c:pt idx="1">
                  <c:v>20.214700000000001</c:v>
                </c:pt>
                <c:pt idx="2">
                  <c:v>32.497200000000007</c:v>
                </c:pt>
                <c:pt idx="3">
                  <c:v>43.08</c:v>
                </c:pt>
                <c:pt idx="4" formatCode="General">
                  <c:v>39.628300000000038</c:v>
                </c:pt>
              </c:numCache>
            </c:numRef>
          </c:val>
        </c:ser>
        <c:dLbls>
          <c:showVal val="1"/>
        </c:dLbls>
        <c:gapWidth val="60"/>
        <c:axId val="283473408"/>
        <c:axId val="283474944"/>
      </c:barChart>
      <c:lineChart>
        <c:grouping val="standard"/>
        <c:ser>
          <c:idx val="0"/>
          <c:order val="1"/>
          <c:tx>
            <c:strRef>
              <c:f>互联网基础资源!$C$196</c:f>
              <c:strCache>
                <c:ptCount val="1"/>
                <c:pt idx="0">
                  <c:v>占全国的比例</c:v>
                </c:pt>
              </c:strCache>
            </c:strRef>
          </c:tx>
          <c:spPr>
            <a:ln w="25400" cap="rnd" cmpd="sng" algn="ctr">
              <a:solidFill>
                <a:srgbClr val="B2D234"/>
              </a:solidFill>
              <a:prstDash val="solid"/>
              <a:round/>
            </a:ln>
          </c:spPr>
          <c:marker>
            <c:symbol val="circle"/>
            <c:size val="5"/>
            <c:spPr>
              <a:solidFill>
                <a:srgbClr val="B2D234"/>
              </a:solidFill>
              <a:ln w="9525" cap="flat" cmpd="sng" algn="ctr">
                <a:solidFill>
                  <a:srgbClr val="B2D234"/>
                </a:solidFill>
                <a:prstDash val="solid"/>
                <a:round/>
              </a:ln>
            </c:spPr>
          </c:marker>
          <c:dLbls>
            <c:dLbl>
              <c:idx val="0"/>
              <c:layout>
                <c:manualLayout>
                  <c:x val="-5.0793859100945922E-2"/>
                  <c:y val="-5.2512080849707404E-2"/>
                </c:manualLayout>
              </c:layout>
              <c:dLblPos val="r"/>
              <c:showVal val="1"/>
              <c:extLst>
                <c:ext xmlns:c15="http://schemas.microsoft.com/office/drawing/2012/chart" uri="{CE6537A1-D6FC-4f65-9D91-7224C49458BB}">
                  <c15:layout/>
                </c:ext>
              </c:extLst>
            </c:dLbl>
            <c:dLbl>
              <c:idx val="1"/>
              <c:layout>
                <c:manualLayout>
                  <c:x val="-4.7619047619047623E-2"/>
                  <c:y val="-4.2999915333163996E-2"/>
                </c:manualLayout>
              </c:layout>
              <c:dLblPos val="r"/>
              <c:showVal val="1"/>
              <c:extLst>
                <c:ext xmlns:c15="http://schemas.microsoft.com/office/drawing/2012/chart" uri="{CE6537A1-D6FC-4f65-9D91-7224C49458BB}">
                  <c15:layout/>
                </c:ext>
              </c:extLst>
            </c:dLbl>
            <c:dLbl>
              <c:idx val="2"/>
              <c:layout>
                <c:manualLayout>
                  <c:x val="-4.6576128478989544E-2"/>
                  <c:y val="-3.8322815107168701E-2"/>
                </c:manualLayout>
              </c:layout>
              <c:dLblPos val="r"/>
              <c:showVal val="1"/>
              <c:extLst>
                <c:ext xmlns:c15="http://schemas.microsoft.com/office/drawing/2012/chart" uri="{CE6537A1-D6FC-4f65-9D91-7224C49458BB}">
                  <c15:layout/>
                </c:ext>
              </c:extLst>
            </c:dLbl>
            <c:dLbl>
              <c:idx val="3"/>
              <c:layout>
                <c:manualLayout>
                  <c:x val="-3.5294129900429128E-2"/>
                  <c:y val="-5.5552121405385103E-2"/>
                </c:manualLayout>
              </c:layout>
              <c:dLblPos val="r"/>
              <c:showVal val="1"/>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dLblPos val="t"/>
            <c:showVal val="1"/>
            <c:extLst>
              <c:ext xmlns:c15="http://schemas.microsoft.com/office/drawing/2012/chart" uri="{CE6537A1-D6FC-4f65-9D91-7224C49458BB}">
                <c15:layout/>
                <c15:showLeaderLines val="0"/>
                <c15:leaderLines/>
              </c:ext>
            </c:extLst>
          </c:dLbls>
          <c:cat>
            <c:strRef>
              <c:f>互联网基础资源!$A$199:$A$203</c:f>
              <c:strCache>
                <c:ptCount val="5"/>
                <c:pt idx="0">
                  <c:v>2013年</c:v>
                </c:pt>
                <c:pt idx="1">
                  <c:v>2014年</c:v>
                </c:pt>
                <c:pt idx="2">
                  <c:v>2015年</c:v>
                </c:pt>
                <c:pt idx="3">
                  <c:v>2016年</c:v>
                </c:pt>
                <c:pt idx="4">
                  <c:v>2017年</c:v>
                </c:pt>
              </c:strCache>
            </c:strRef>
          </c:cat>
          <c:val>
            <c:numRef>
              <c:f>互联网基础资源!$C$199:$C$203</c:f>
              <c:numCache>
                <c:formatCode>0.0%</c:formatCode>
                <c:ptCount val="5"/>
                <c:pt idx="0">
                  <c:v>7.0000000000000036E-3</c:v>
                </c:pt>
                <c:pt idx="1">
                  <c:v>1.0000000000000005E-2</c:v>
                </c:pt>
                <c:pt idx="2">
                  <c:v>1.0000000000000005E-2</c:v>
                </c:pt>
                <c:pt idx="3">
                  <c:v>1.0000000000000005E-2</c:v>
                </c:pt>
                <c:pt idx="4">
                  <c:v>1.0000000000000005E-2</c:v>
                </c:pt>
              </c:numCache>
            </c:numRef>
          </c:val>
        </c:ser>
        <c:dLbls>
          <c:showVal val="1"/>
        </c:dLbls>
        <c:marker val="1"/>
        <c:axId val="283505408"/>
        <c:axId val="283506944"/>
      </c:lineChart>
      <c:catAx>
        <c:axId val="283473408"/>
        <c:scaling>
          <c:orientation val="minMax"/>
        </c:scaling>
        <c:axPos val="b"/>
        <c:numFmt formatCode="General" sourceLinked="1"/>
        <c:majorTickMark val="none"/>
        <c:tickLblPos val="low"/>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crossAx val="283474944"/>
        <c:crosses val="autoZero"/>
        <c:lblAlgn val="ctr"/>
        <c:lblOffset val="100"/>
        <c:tickLblSkip val="1"/>
      </c:catAx>
      <c:valAx>
        <c:axId val="283474944"/>
        <c:scaling>
          <c:orientation val="minMax"/>
          <c:max val="65"/>
          <c:min val="0"/>
        </c:scaling>
        <c:axPos val="l"/>
        <c:majorGridlines>
          <c:spPr>
            <a:ln w="12700" cap="flat" cmpd="sng" algn="ctr">
              <a:noFill/>
              <a:prstDash val="solid"/>
              <a:round/>
            </a:ln>
          </c:spPr>
        </c:majorGridlines>
        <c:numFmt formatCode="General" sourceLinked="0"/>
        <c:majorTickMark val="none"/>
        <c:tickLblPos val="nextTo"/>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crossAx val="283473408"/>
        <c:crosses val="autoZero"/>
        <c:crossBetween val="between"/>
        <c:majorUnit val="20"/>
        <c:minorUnit val="10"/>
      </c:valAx>
      <c:catAx>
        <c:axId val="283505408"/>
        <c:scaling>
          <c:orientation val="minMax"/>
        </c:scaling>
        <c:delete val="1"/>
        <c:axPos val="b"/>
        <c:numFmt formatCode="General" sourceLinked="1"/>
        <c:tickLblPos val="none"/>
        <c:crossAx val="283506944"/>
        <c:crosses val="autoZero"/>
        <c:lblAlgn val="ctr"/>
        <c:lblOffset val="100"/>
      </c:catAx>
      <c:valAx>
        <c:axId val="283506944"/>
        <c:scaling>
          <c:orientation val="minMax"/>
          <c:max val="0.05"/>
          <c:min val="-0.2"/>
        </c:scaling>
        <c:axPos val="r"/>
        <c:numFmt formatCode="0.0%" sourceLinked="1"/>
        <c:majorTickMark val="none"/>
        <c:tickLblPos val="none"/>
        <c:spPr>
          <a:ln w="3175" cap="flat" cmpd="sng" algn="ctr">
            <a:noFill/>
            <a:prstDash val="solid"/>
            <a:round/>
          </a:ln>
        </c:spPr>
        <c:txPr>
          <a:bodyPr rot="-60000000" spcFirstLastPara="0" vertOverflow="ellipsis" vert="horz" wrap="square"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crossAx val="283505408"/>
        <c:crosses val="max"/>
        <c:crossBetween val="between"/>
        <c:majorUnit val="0.2900000000000002"/>
        <c:minorUnit val="0.2900000000000002"/>
      </c:valAx>
      <c:spPr>
        <a:noFill/>
        <a:ln w="12700">
          <a:noFill/>
          <a:prstDash val="solid"/>
        </a:ln>
      </c:spPr>
    </c:plotArea>
    <c:legend>
      <c:legendPos val="r"/>
      <c:layout>
        <c:manualLayout>
          <c:xMode val="edge"/>
          <c:yMode val="edge"/>
          <c:x val="0.15449161924066424"/>
          <c:y val="0.73402291666666664"/>
          <c:w val="0.6699933993399344"/>
          <c:h val="4.9658792650918632E-2"/>
        </c:manualLayout>
      </c:layout>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legend>
    <c:plotVisOnly val="1"/>
    <c:dispBlanksAs val="gap"/>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externalData r:id="rId1"/>
  <c:userShapes r:id="rId2"/>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200" b="1"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r>
              <a:rPr lang="en-US" altLang="zh-CN"/>
              <a:t>2017</a:t>
            </a:r>
            <a:r>
              <a:rPr lang="zh-CN" altLang="en-US"/>
              <a:t>年陕西省域名构成情况</a:t>
            </a:r>
          </a:p>
        </c:rich>
      </c:tx>
      <c:layout>
        <c:manualLayout>
          <c:xMode val="edge"/>
          <c:yMode val="edge"/>
          <c:x val="0.28776881973418722"/>
          <c:y val="2.73315217391304E-2"/>
        </c:manualLayout>
      </c:layout>
      <c:spPr>
        <a:noFill/>
        <a:ln w="25400">
          <a:noFill/>
        </a:ln>
      </c:spPr>
    </c:title>
    <c:plotArea>
      <c:layout>
        <c:manualLayout>
          <c:layoutTarget val="inner"/>
          <c:xMode val="edge"/>
          <c:yMode val="edge"/>
          <c:x val="0.29971557340193"/>
          <c:y val="0.17177566425120797"/>
          <c:w val="0.38155263460593308"/>
          <c:h val="0.55084933574879258"/>
        </c:manualLayout>
      </c:layout>
      <c:pieChart>
        <c:varyColors val="1"/>
        <c:ser>
          <c:idx val="0"/>
          <c:order val="0"/>
          <c:spPr>
            <a:solidFill>
              <a:srgbClr val="9999FF"/>
            </a:solidFill>
            <a:ln w="12700">
              <a:noFill/>
              <a:prstDash val="solid"/>
            </a:ln>
          </c:spPr>
          <c:dPt>
            <c:idx val="0"/>
            <c:spPr>
              <a:solidFill>
                <a:srgbClr val="B2D234"/>
              </a:solidFill>
              <a:ln w="12700">
                <a:noFill/>
                <a:prstDash val="solid"/>
              </a:ln>
            </c:spPr>
          </c:dPt>
          <c:dPt>
            <c:idx val="1"/>
            <c:spPr>
              <a:solidFill>
                <a:srgbClr val="FFF500"/>
              </a:solidFill>
              <a:ln w="12700">
                <a:noFill/>
                <a:prstDash val="solid"/>
              </a:ln>
            </c:spPr>
          </c:dPt>
          <c:dPt>
            <c:idx val="2"/>
            <c:spPr>
              <a:solidFill>
                <a:srgbClr val="A6A6A6"/>
              </a:solidFill>
              <a:ln w="12700">
                <a:noFill/>
                <a:prstDash val="solid"/>
              </a:ln>
            </c:spPr>
          </c:dPt>
          <c:dLbls>
            <c:dLbl>
              <c:idx val="0"/>
              <c:layout>
                <c:manualLayout>
                  <c:x val="3.0933341650033336E-2"/>
                  <c:y val="-2.434066840184421E-2"/>
                </c:manualLayout>
              </c:layout>
              <c:dLblPos val="bestFit"/>
              <c:showCatName val="1"/>
              <c:showPercent val="1"/>
              <c:separator>
</c:separator>
              <c:extLst>
                <c:ext xmlns:c15="http://schemas.microsoft.com/office/drawing/2012/chart" uri="{CE6537A1-D6FC-4f65-9D91-7224C49458BB}">
                  <c15:layout/>
                </c:ext>
              </c:extLst>
            </c:dLbl>
            <c:dLbl>
              <c:idx val="1"/>
              <c:layout>
                <c:manualLayout>
                  <c:x val="6.8608612042306644E-2"/>
                  <c:y val="-3.4364081973197035E-2"/>
                </c:manualLayout>
              </c:layout>
              <c:dLblPos val="bestFit"/>
              <c:showCatName val="1"/>
              <c:showPercent val="1"/>
              <c:separator>
</c:separator>
              <c:extLst>
                <c:ext xmlns:c15="http://schemas.microsoft.com/office/drawing/2012/chart" uri="{CE6537A1-D6FC-4f65-9D91-7224C49458BB}">
                  <c15:layout/>
                </c:ext>
              </c:extLst>
            </c:dLbl>
            <c:dLbl>
              <c:idx val="2"/>
              <c:layout>
                <c:manualLayout>
                  <c:x val="-7.1922821024617403E-2"/>
                  <c:y val="2.3136369176937881E-2"/>
                </c:manualLayout>
              </c:layout>
              <c:dLblPos val="bestFit"/>
              <c:showCatName val="1"/>
              <c:showPercent val="1"/>
              <c:separator>
</c:separator>
              <c:extLst>
                <c:ext xmlns:c15="http://schemas.microsoft.com/office/drawing/2012/chart" uri="{CE6537A1-D6FC-4f65-9D91-7224C49458BB}">
                  <c15:layout/>
                </c:ext>
              </c:extLst>
            </c:dLbl>
            <c:numFmt formatCode="0.0%" sourceLinked="0"/>
            <c:spPr>
              <a:noFill/>
              <a:ln w="25400">
                <a:noFill/>
              </a:ln>
              <a:effectLst/>
            </c:spPr>
            <c:txPr>
              <a:bodyPr rot="0" spcFirstLastPara="0" vertOverflow="ellipsis" vert="horz" wrap="square" lIns="38100" tIns="19050" rIns="38100" bIns="19050" anchor="ctr" anchorCtr="1" forceAA="0"/>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dLblPos val="bestFit"/>
            <c:showCatName val="1"/>
            <c:showPercent val="1"/>
            <c:separator>
</c:separator>
            <c:showLeaderLines val="1"/>
            <c:extLst>
              <c:ext xmlns:c15="http://schemas.microsoft.com/office/drawing/2012/chart" uri="{CE6537A1-D6FC-4f65-9D91-7224C49458BB}">
                <c15:layout/>
                <c15:showLeaderLines val="1"/>
                <c15:leaderLines/>
              </c:ext>
            </c:extLst>
          </c:dLbls>
          <c:cat>
            <c:strRef>
              <c:f>互联网基础资源!$A$235:$A$237</c:f>
              <c:strCache>
                <c:ptCount val="3"/>
                <c:pt idx="0">
                  <c:v>.CN域名</c:v>
                </c:pt>
                <c:pt idx="1">
                  <c:v>.中国域名</c:v>
                </c:pt>
                <c:pt idx="2">
                  <c:v>其他域名</c:v>
                </c:pt>
              </c:strCache>
            </c:strRef>
          </c:cat>
          <c:val>
            <c:numRef>
              <c:f>互联网基础资源!$B$235:$B$237</c:f>
              <c:numCache>
                <c:formatCode>0.0%</c:formatCode>
                <c:ptCount val="3"/>
                <c:pt idx="0">
                  <c:v>0.42079271631636983</c:v>
                </c:pt>
                <c:pt idx="1">
                  <c:v>1.1600295748240532E-2</c:v>
                </c:pt>
                <c:pt idx="2">
                  <c:v>0.56760698793538955</c:v>
                </c:pt>
              </c:numCache>
            </c:numRef>
          </c:val>
        </c:ser>
        <c:dLbls>
          <c:showVal val="1"/>
          <c:showCatName val="1"/>
        </c:dLbls>
        <c:firstSliceAng val="0"/>
      </c:pieChart>
      <c:spPr>
        <a:noFill/>
        <a:ln w="25400">
          <a:noFill/>
        </a:ln>
      </c:spPr>
    </c:plotArea>
    <c:plotVisOnly val="1"/>
    <c:dispBlanksAs val="zero"/>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externalData r:id="rId2"/>
  <c:userShapes r:id="rId3"/>
</c:chartSpace>
</file>

<file path=word/charts/chart128.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r>
              <a:rPr lang="en-US" sz="1200" b="1"/>
              <a:t>2017</a:t>
            </a:r>
            <a:r>
              <a:rPr lang="zh-CN" sz="1200" b="1"/>
              <a:t>年陕西省</a:t>
            </a:r>
            <a:r>
              <a:rPr lang="zh-CN" altLang="zh-CN" sz="1200" b="1" i="0" u="none" strike="noStrike" baseline="0">
                <a:effectLst/>
              </a:rPr>
              <a:t>备案</a:t>
            </a:r>
            <a:r>
              <a:rPr lang="zh-CN" altLang="en-US" sz="1200" b="1" i="0" u="none" strike="noStrike" baseline="0">
                <a:effectLst/>
              </a:rPr>
              <a:t>网站接入信息分布</a:t>
            </a:r>
            <a:r>
              <a:rPr lang="zh-CN" sz="1200" b="1"/>
              <a:t>情况</a:t>
            </a:r>
            <a:endParaRPr lang="en-US" sz="1200" b="1"/>
          </a:p>
        </c:rich>
      </c:tx>
    </c:title>
    <c:plotArea>
      <c:layout>
        <c:manualLayout>
          <c:layoutTarget val="inner"/>
          <c:xMode val="edge"/>
          <c:yMode val="edge"/>
          <c:x val="0.32598552894211602"/>
          <c:y val="0.2463875552141348"/>
          <c:w val="0.37118429807052578"/>
          <c:h val="0.45714051597208882"/>
        </c:manualLayout>
      </c:layout>
      <c:pieChart>
        <c:varyColors val="1"/>
        <c:ser>
          <c:idx val="0"/>
          <c:order val="0"/>
          <c:dPt>
            <c:idx val="0"/>
            <c:spPr>
              <a:solidFill>
                <a:srgbClr val="FFF500"/>
              </a:solidFill>
            </c:spPr>
          </c:dPt>
          <c:dPt>
            <c:idx val="1"/>
            <c:spPr>
              <a:solidFill>
                <a:srgbClr val="B2D234"/>
              </a:solidFill>
            </c:spPr>
          </c:dPt>
          <c:dLbls>
            <c:dLbl>
              <c:idx val="0"/>
              <c:layout>
                <c:manualLayout>
                  <c:x val="7.2541565967620486E-2"/>
                  <c:y val="5.1580886826232811E-2"/>
                </c:manualLayout>
              </c:layout>
              <c:showVal val="1"/>
              <c:showCatName val="1"/>
            </c:dLbl>
            <c:dLbl>
              <c:idx val="1"/>
              <c:layout>
                <c:manualLayout>
                  <c:x val="-6.1731451885346088E-2"/>
                  <c:y val="-8.1143035928455953E-2"/>
                </c:manualLayout>
              </c:layout>
              <c:showVal val="1"/>
              <c:showCatName val="1"/>
            </c:dLbl>
            <c:showVal val="1"/>
            <c:showCatName val="1"/>
            <c:showLeaderLines val="1"/>
          </c:dLbls>
          <c:cat>
            <c:strRef>
              <c:f>网络安全!$A$102:$A$103</c:f>
              <c:strCache>
                <c:ptCount val="2"/>
                <c:pt idx="0">
                  <c:v>接入地在外省备案网站占比</c:v>
                </c:pt>
                <c:pt idx="1">
                  <c:v>接入地在陕西备案网站占比</c:v>
                </c:pt>
              </c:strCache>
            </c:strRef>
          </c:cat>
          <c:val>
            <c:numRef>
              <c:f>网络安全!$B$102:$B$103</c:f>
              <c:numCache>
                <c:formatCode>0.0%</c:formatCode>
                <c:ptCount val="2"/>
                <c:pt idx="0">
                  <c:v>0.64060298403752269</c:v>
                </c:pt>
                <c:pt idx="1">
                  <c:v>0.35939701596247792</c:v>
                </c:pt>
              </c:numCache>
            </c:numRef>
          </c:val>
        </c:ser>
        <c:dLbls>
          <c:showVal val="1"/>
          <c:showCatName val="1"/>
        </c:dLbls>
        <c:firstSliceAng val="0"/>
      </c:pieChart>
      <c:spPr>
        <a:noFill/>
        <a:ln w="25400">
          <a:noFill/>
        </a:ln>
      </c:spPr>
    </c:plotArea>
    <c:plotVisOnly val="1"/>
    <c:dispBlanksAs val="zero"/>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externalData r:id="rId1"/>
  <c:userShapes r:id="rId2"/>
</c:chartSpace>
</file>

<file path=word/charts/chart129.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en-US" altLang="zh-CN" sz="1200"/>
              <a:t>2017</a:t>
            </a:r>
            <a:r>
              <a:rPr lang="zh-CN" altLang="en-US" sz="1200"/>
              <a:t>年陕西省备案网站主体数量分布情况</a:t>
            </a:r>
            <a:endParaRPr lang="zh-CN" sz="1200"/>
          </a:p>
        </c:rich>
      </c:tx>
      <c:layout>
        <c:manualLayout>
          <c:xMode val="edge"/>
          <c:yMode val="edge"/>
          <c:x val="0.18306874493422812"/>
          <c:y val="2.8197381671701893E-2"/>
        </c:manualLayout>
      </c:layout>
      <c:spPr>
        <a:noFill/>
        <a:ln>
          <a:noFill/>
        </a:ln>
        <a:effectLst/>
      </c:spPr>
    </c:title>
    <c:plotArea>
      <c:layout>
        <c:manualLayout>
          <c:layoutTarget val="inner"/>
          <c:xMode val="edge"/>
          <c:yMode val="edge"/>
          <c:x val="0.39895812541583536"/>
          <c:y val="0.28295451388888926"/>
          <c:w val="0.33700488751304319"/>
          <c:h val="0.44933994361815877"/>
        </c:manualLayout>
      </c:layout>
      <c:pieChart>
        <c:varyColors val="1"/>
        <c:ser>
          <c:idx val="0"/>
          <c:order val="0"/>
          <c:tx>
            <c:strRef>
              <c:f>增值电信企业!$F$46</c:f>
              <c:strCache>
                <c:ptCount val="1"/>
                <c:pt idx="0">
                  <c:v>备案网站主体数量占比</c:v>
                </c:pt>
              </c:strCache>
            </c:strRef>
          </c:tx>
          <c:spPr>
            <a:solidFill>
              <a:srgbClr val="B2D234"/>
            </a:solidFill>
            <a:ln>
              <a:noFill/>
            </a:ln>
          </c:spPr>
          <c:dPt>
            <c:idx val="0"/>
            <c:spPr>
              <a:solidFill>
                <a:srgbClr val="B2D234"/>
              </a:solidFill>
              <a:ln w="19050">
                <a:noFill/>
              </a:ln>
              <a:effectLst/>
            </c:spPr>
          </c:dPt>
          <c:dPt>
            <c:idx val="1"/>
            <c:spPr>
              <a:solidFill>
                <a:srgbClr val="B2D234"/>
              </a:solidFill>
              <a:ln w="19050">
                <a:noFill/>
              </a:ln>
              <a:effectLst/>
            </c:spPr>
          </c:dPt>
          <c:dPt>
            <c:idx val="2"/>
            <c:spPr>
              <a:solidFill>
                <a:srgbClr val="FFF500"/>
              </a:solidFill>
              <a:ln w="19050">
                <a:noFill/>
              </a:ln>
              <a:effectLst/>
            </c:spPr>
          </c:dPt>
          <c:dPt>
            <c:idx val="3"/>
            <c:spPr>
              <a:solidFill>
                <a:srgbClr val="F59B9B"/>
              </a:solidFill>
              <a:ln>
                <a:noFill/>
              </a:ln>
            </c:spPr>
          </c:dPt>
          <c:dPt>
            <c:idx val="4"/>
            <c:spPr>
              <a:solidFill>
                <a:srgbClr val="00AFE2"/>
              </a:solidFill>
              <a:ln>
                <a:noFill/>
              </a:ln>
            </c:spPr>
          </c:dPt>
          <c:dPt>
            <c:idx val="5"/>
            <c:spPr>
              <a:solidFill>
                <a:srgbClr val="9B9B9B"/>
              </a:solidFill>
              <a:ln>
                <a:noFill/>
              </a:ln>
            </c:spPr>
          </c:dPt>
          <c:dPt>
            <c:idx val="6"/>
            <c:spPr>
              <a:solidFill>
                <a:srgbClr val="1EC8F3"/>
              </a:solidFill>
              <a:ln>
                <a:noFill/>
              </a:ln>
            </c:spPr>
          </c:dPt>
          <c:dPt>
            <c:idx val="7"/>
            <c:spPr>
              <a:solidFill>
                <a:srgbClr val="00AFE2"/>
              </a:solidFill>
              <a:ln>
                <a:noFill/>
              </a:ln>
            </c:spPr>
          </c:dPt>
          <c:dPt>
            <c:idx val="8"/>
            <c:spPr>
              <a:solidFill>
                <a:srgbClr val="F59B9B"/>
              </a:solidFill>
              <a:ln>
                <a:noFill/>
              </a:ln>
            </c:spPr>
          </c:dPt>
          <c:dPt>
            <c:idx val="9"/>
            <c:spPr>
              <a:solidFill>
                <a:srgbClr val="F38286"/>
              </a:solidFill>
              <a:ln>
                <a:noFill/>
              </a:ln>
            </c:spPr>
          </c:dPt>
          <c:dPt>
            <c:idx val="10"/>
            <c:spPr>
              <a:solidFill>
                <a:srgbClr val="8BC53F"/>
              </a:solidFill>
              <a:ln>
                <a:noFill/>
              </a:ln>
            </c:spPr>
          </c:dPt>
          <c:dLbls>
            <c:dLbl>
              <c:idx val="0"/>
              <c:delete val="1"/>
            </c:dLbl>
            <c:dLbl>
              <c:idx val="1"/>
              <c:layout>
                <c:manualLayout>
                  <c:x val="4.3773286759813755E-2"/>
                  <c:y val="1.2437813187886438E-2"/>
                </c:manualLayout>
              </c:layout>
              <c:dLblPos val="bestFit"/>
              <c:showVal val="1"/>
              <c:showCatName val="1"/>
            </c:dLbl>
            <c:dLbl>
              <c:idx val="2"/>
              <c:layout>
                <c:manualLayout>
                  <c:x val="-9.7228866193706076E-2"/>
                  <c:y val="3.268742069492972E-2"/>
                </c:manualLayout>
              </c:layout>
              <c:dLblPos val="bestFit"/>
              <c:showVal val="1"/>
              <c:showCatName val="1"/>
              <c:extLst>
                <c:ext xmlns:c15="http://schemas.microsoft.com/office/drawing/2012/chart" uri="{CE6537A1-D6FC-4f65-9D91-7224C49458BB}">
                  <c15:layout/>
                </c:ext>
              </c:extLst>
            </c:dLbl>
            <c:dLbl>
              <c:idx val="3"/>
              <c:layout>
                <c:manualLayout>
                  <c:x val="-6.2735375899794721E-2"/>
                  <c:y val="-6.3464914567798292E-2"/>
                </c:manualLayout>
              </c:layout>
              <c:dLblPos val="bestFit"/>
              <c:showVal val="1"/>
              <c:showCatName val="1"/>
              <c:extLst>
                <c:ext xmlns:c15="http://schemas.microsoft.com/office/drawing/2012/chart" uri="{CE6537A1-D6FC-4f65-9D91-7224C49458BB}">
                  <c15:layout/>
                </c:ext>
              </c:extLst>
            </c:dLbl>
            <c:dLbl>
              <c:idx val="4"/>
              <c:layout>
                <c:manualLayout>
                  <c:x val="1.0941711493984055E-2"/>
                  <c:y val="-2.8774052250091237E-2"/>
                </c:manualLayout>
              </c:layout>
              <c:dLblPos val="bestFit"/>
              <c:showVal val="1"/>
              <c:showCatName val="1"/>
              <c:extLst>
                <c:ext xmlns:c15="http://schemas.microsoft.com/office/drawing/2012/chart" uri="{CE6537A1-D6FC-4f65-9D91-7224C49458BB}">
                  <c15:layout/>
                </c:ext>
              </c:extLst>
            </c:dLbl>
            <c:dLbl>
              <c:idx val="5"/>
              <c:layout>
                <c:manualLayout>
                  <c:x val="-0.197034704613027"/>
                  <c:y val="8.1303885794763497E-2"/>
                </c:manualLayout>
              </c:layout>
              <c:dLblPos val="bestFit"/>
              <c:showVal val="1"/>
              <c:showCatName val="1"/>
              <c:extLst>
                <c:ext xmlns:c15="http://schemas.microsoft.com/office/drawing/2012/chart" uri="{CE6537A1-D6FC-4f65-9D91-7224C49458BB}">
                  <c15:layout/>
                </c:ext>
              </c:extLst>
            </c:dLbl>
            <c:dLbl>
              <c:idx val="6"/>
              <c:layout>
                <c:manualLayout>
                  <c:x val="-0.17686952112870888"/>
                  <c:y val="4.2665898470008297E-2"/>
                </c:manualLayout>
              </c:layout>
              <c:dLblPos val="bestFit"/>
              <c:showVal val="1"/>
              <c:showCatName val="1"/>
              <c:extLst>
                <c:ext xmlns:c15="http://schemas.microsoft.com/office/drawing/2012/chart" uri="{CE6537A1-D6FC-4f65-9D91-7224C49458BB}">
                  <c15:layout/>
                </c:ext>
              </c:extLst>
            </c:dLbl>
            <c:dLbl>
              <c:idx val="7"/>
              <c:layout>
                <c:manualLayout>
                  <c:x val="-0.165212647333115"/>
                  <c:y val="-8.3664298060303569E-3"/>
                </c:manualLayout>
              </c:layout>
              <c:dLblPos val="bestFit"/>
              <c:showVal val="1"/>
              <c:showCatName val="1"/>
              <c:extLst>
                <c:ext xmlns:c15="http://schemas.microsoft.com/office/drawing/2012/chart" uri="{CE6537A1-D6FC-4f65-9D91-7224C49458BB}">
                  <c15:layout/>
                </c:ext>
              </c:extLst>
            </c:dLbl>
            <c:dLbl>
              <c:idx val="8"/>
              <c:layout>
                <c:manualLayout>
                  <c:x val="-0.12827123103961388"/>
                  <c:y val="-5.5309903335253804E-2"/>
                </c:manualLayout>
              </c:layout>
              <c:dLblPos val="bestFit"/>
              <c:showVal val="1"/>
              <c:showCatName val="1"/>
              <c:extLst>
                <c:ext xmlns:c15="http://schemas.microsoft.com/office/drawing/2012/chart" uri="{CE6537A1-D6FC-4f65-9D91-7224C49458BB}">
                  <c15:layout/>
                </c:ext>
              </c:extLst>
            </c:dLbl>
            <c:dLbl>
              <c:idx val="9"/>
              <c:layout>
                <c:manualLayout>
                  <c:x val="0.12198680956821911"/>
                  <c:y val="-5.9055630241341903E-2"/>
                </c:manualLayout>
              </c:layout>
              <c:dLblPos val="bestFit"/>
              <c:showVal val="1"/>
              <c:showCatName val="1"/>
              <c:extLst>
                <c:ext xmlns:c15="http://schemas.microsoft.com/office/drawing/2012/chart" uri="{CE6537A1-D6FC-4f65-9D91-7224C49458BB}">
                  <c15:layout/>
                </c:ext>
              </c:extLst>
            </c:dLbl>
            <c:dLbl>
              <c:idx val="10"/>
              <c:layout>
                <c:manualLayout>
                  <c:x val="0.18165600515435501"/>
                  <c:y val="9.6311375712182391E-3"/>
                </c:manualLayout>
              </c:layout>
              <c:dLblPos val="bestFit"/>
              <c:showVal val="1"/>
              <c:showCatName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dLblPos val="bestFit"/>
            <c:showVal val="1"/>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增值电信企业!$D$46:$D$50</c:f>
              <c:strCache>
                <c:ptCount val="5"/>
                <c:pt idx="0">
                  <c:v>地区</c:v>
                </c:pt>
                <c:pt idx="1">
                  <c:v>西安市</c:v>
                </c:pt>
                <c:pt idx="2">
                  <c:v>宝鸡市</c:v>
                </c:pt>
                <c:pt idx="3">
                  <c:v>咸阳市</c:v>
                </c:pt>
                <c:pt idx="4">
                  <c:v>陕西省其他地区</c:v>
                </c:pt>
              </c:strCache>
            </c:strRef>
          </c:cat>
          <c:val>
            <c:numRef>
              <c:f>增值电信企业!$F$46:$F$50</c:f>
              <c:numCache>
                <c:formatCode>0.0%</c:formatCode>
                <c:ptCount val="5"/>
                <c:pt idx="0" formatCode="General">
                  <c:v>0</c:v>
                </c:pt>
                <c:pt idx="1">
                  <c:v>0.73214708809174067</c:v>
                </c:pt>
                <c:pt idx="2">
                  <c:v>5.6022840354451965E-2</c:v>
                </c:pt>
                <c:pt idx="3">
                  <c:v>5.3191489361702107E-2</c:v>
                </c:pt>
                <c:pt idx="4">
                  <c:v>0.15863858219210558</c:v>
                </c:pt>
              </c:numCache>
            </c:numRef>
          </c:val>
        </c:ser>
        <c:dLbls>
          <c:showVal val="1"/>
        </c:dLbls>
        <c:firstSliceAng val="0"/>
      </c:pieChart>
      <c:spPr>
        <a:noFill/>
        <a:ln>
          <a:noFill/>
        </a:ln>
        <a:effectLst/>
      </c:spPr>
    </c:plotArea>
    <c:plotVisOnly val="1"/>
    <c:dispBlanksAs val="zero"/>
  </c:chart>
  <c:spPr>
    <a:solidFill>
      <a:schemeClr val="bg1"/>
    </a:solidFill>
    <a:ln w="3175" cap="flat" cmpd="sng" algn="ctr">
      <a:solidFill>
        <a:schemeClr val="tx1">
          <a:lumMod val="50000"/>
          <a:lumOff val="50000"/>
        </a:schemeClr>
      </a:solidFill>
      <a:prstDash val="solid"/>
      <a:round/>
    </a:ln>
    <a:effectLst/>
  </c:spPr>
  <c:txPr>
    <a:bodyPr/>
    <a:lstStyle/>
    <a:p>
      <a:pPr>
        <a:defRPr lang="zh-CN"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sz="1200" b="1"/>
              <a:t>2015</a:t>
            </a:r>
            <a:r>
              <a:rPr lang="en-US" altLang="zh-CN" sz="1200" b="1"/>
              <a:t>-</a:t>
            </a:r>
            <a:r>
              <a:rPr lang="en-US" sz="1200" b="1"/>
              <a:t>2017</a:t>
            </a:r>
            <a:r>
              <a:rPr lang="zh-CN" sz="1200" b="1"/>
              <a:t>年</a:t>
            </a:r>
            <a:r>
              <a:rPr lang="zh-CN" altLang="en-US" sz="1200" b="1"/>
              <a:t>陕西省移动端网民使用终端类型</a:t>
            </a:r>
            <a:endParaRPr lang="zh-CN" sz="1200" b="1"/>
          </a:p>
        </c:rich>
      </c:tx>
      <c:layout>
        <c:manualLayout>
          <c:xMode val="edge"/>
          <c:yMode val="edge"/>
          <c:x val="0.16146524258725106"/>
          <c:y val="3.0295801526717594E-2"/>
        </c:manualLayout>
      </c:layout>
      <c:spPr>
        <a:noFill/>
        <a:ln w="25400">
          <a:noFill/>
        </a:ln>
      </c:spPr>
    </c:title>
    <c:plotArea>
      <c:layout>
        <c:manualLayout>
          <c:layoutTarget val="inner"/>
          <c:xMode val="edge"/>
          <c:yMode val="edge"/>
          <c:x val="0.1085591330786622"/>
          <c:y val="0.16424883375742189"/>
          <c:w val="0.8448250305345506"/>
          <c:h val="0.48111041666666682"/>
        </c:manualLayout>
      </c:layout>
      <c:barChart>
        <c:barDir val="col"/>
        <c:grouping val="percentStacked"/>
        <c:ser>
          <c:idx val="1"/>
          <c:order val="0"/>
          <c:tx>
            <c:strRef>
              <c:f>'对比分析-2017'!$B$178</c:f>
              <c:strCache>
                <c:ptCount val="1"/>
                <c:pt idx="0">
                  <c:v>Pad</c:v>
                </c:pt>
              </c:strCache>
            </c:strRef>
          </c:tx>
          <c:spPr>
            <a:solidFill>
              <a:srgbClr val="B2D234"/>
            </a:solidFill>
            <a:ln w="12700">
              <a:solidFill>
                <a:srgbClr val="B2D234"/>
              </a:solidFill>
              <a:prstDash val="solid"/>
            </a:ln>
          </c:spPr>
          <c:dLbls>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'对比分析-2017'!$A$179:$A$181</c:f>
              <c:strCache>
                <c:ptCount val="3"/>
                <c:pt idx="0">
                  <c:v>2015年</c:v>
                </c:pt>
                <c:pt idx="1">
                  <c:v>2016年</c:v>
                </c:pt>
                <c:pt idx="2">
                  <c:v>2017年</c:v>
                </c:pt>
              </c:strCache>
            </c:strRef>
          </c:cat>
          <c:val>
            <c:numRef>
              <c:f>'对比分析-2017'!$B$179:$B$181</c:f>
              <c:numCache>
                <c:formatCode>0.00%</c:formatCode>
                <c:ptCount val="3"/>
                <c:pt idx="0">
                  <c:v>0.13100000000000001</c:v>
                </c:pt>
                <c:pt idx="1">
                  <c:v>9.2000000000000026E-2</c:v>
                </c:pt>
                <c:pt idx="2">
                  <c:v>9.0000000000000024E-2</c:v>
                </c:pt>
              </c:numCache>
            </c:numRef>
          </c:val>
          <c:extLst xmlns:c16r2="http://schemas.microsoft.com/office/drawing/2015/06/chart">
            <c:ext xmlns:c16="http://schemas.microsoft.com/office/drawing/2014/chart" uri="{C3380CC4-5D6E-409C-BE32-E72D297353CC}">
              <c16:uniqueId val="{00000000-949B-4F2E-A85A-6E46E4C2299B}"/>
            </c:ext>
          </c:extLst>
        </c:ser>
        <c:ser>
          <c:idx val="0"/>
          <c:order val="1"/>
          <c:tx>
            <c:strRef>
              <c:f>'对比分析-2017'!$C$178</c:f>
              <c:strCache>
                <c:ptCount val="1"/>
                <c:pt idx="0">
                  <c:v>Phone</c:v>
                </c:pt>
              </c:strCache>
            </c:strRef>
          </c:tx>
          <c:spPr>
            <a:solidFill>
              <a:srgbClr val="1EC8F3"/>
            </a:solidFill>
            <a:ln>
              <a:solidFill>
                <a:srgbClr val="1EC8F3"/>
              </a:solidFill>
            </a:ln>
          </c:spPr>
          <c:dLbls>
            <c:numFmt formatCode="0.0%" sourceLinked="0"/>
            <c:showVal val="1"/>
          </c:dLbls>
          <c:cat>
            <c:strRef>
              <c:f>'对比分析-2017'!$A$179:$A$181</c:f>
              <c:strCache>
                <c:ptCount val="3"/>
                <c:pt idx="0">
                  <c:v>2015年</c:v>
                </c:pt>
                <c:pt idx="1">
                  <c:v>2016年</c:v>
                </c:pt>
                <c:pt idx="2">
                  <c:v>2017年</c:v>
                </c:pt>
              </c:strCache>
            </c:strRef>
          </c:cat>
          <c:val>
            <c:numRef>
              <c:f>'对比分析-2017'!$C$179:$C$181</c:f>
              <c:numCache>
                <c:formatCode>0.00%</c:formatCode>
                <c:ptCount val="3"/>
                <c:pt idx="0">
                  <c:v>0.86900000000000044</c:v>
                </c:pt>
                <c:pt idx="1">
                  <c:v>0.90800000000000003</c:v>
                </c:pt>
                <c:pt idx="2" formatCode="0%">
                  <c:v>0.91</c:v>
                </c:pt>
              </c:numCache>
            </c:numRef>
          </c:val>
        </c:ser>
        <c:gapWidth val="60"/>
        <c:overlap val="100"/>
        <c:axId val="209131392"/>
        <c:axId val="209132928"/>
      </c:barChart>
      <c:catAx>
        <c:axId val="20913139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09132928"/>
        <c:crosses val="autoZero"/>
        <c:lblAlgn val="ctr"/>
        <c:lblOffset val="100"/>
        <c:tickLblSkip val="1"/>
        <c:tickMarkSkip val="1"/>
      </c:catAx>
      <c:valAx>
        <c:axId val="209132928"/>
        <c:scaling>
          <c:orientation val="minMax"/>
          <c:max val="1"/>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09131392"/>
        <c:crosses val="autoZero"/>
        <c:crossBetween val="between"/>
        <c:majorUnit val="0.2"/>
        <c:minorUnit val="0.1"/>
      </c:valAx>
      <c:spPr>
        <a:noFill/>
        <a:ln w="12700">
          <a:solidFill>
            <a:schemeClr val="bg1">
              <a:lumMod val="50000"/>
            </a:schemeClr>
          </a:solidFill>
          <a:prstDash val="solid"/>
        </a:ln>
      </c:spPr>
    </c:plotArea>
    <c:legend>
      <c:legendPos val="r"/>
      <c:layout>
        <c:manualLayout>
          <c:xMode val="edge"/>
          <c:yMode val="edge"/>
          <c:x val="0.13336950702944311"/>
          <c:y val="0.72551840277777768"/>
          <c:w val="0.75215612899872653"/>
          <c:h val="6.99121527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30.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en-US" altLang="zh-CN" sz="1200"/>
              <a:t>2017</a:t>
            </a:r>
            <a:r>
              <a:rPr lang="zh-CN" altLang="en-US" sz="1200"/>
              <a:t>年陕西省基础电信运营商接入网站比较</a:t>
            </a:r>
            <a:endParaRPr lang="zh-CN" sz="1200"/>
          </a:p>
        </c:rich>
      </c:tx>
      <c:layout>
        <c:manualLayout>
          <c:xMode val="edge"/>
          <c:yMode val="edge"/>
          <c:x val="0.17513223865095201"/>
          <c:y val="2.8197426541194486E-2"/>
        </c:manualLayout>
      </c:layout>
      <c:spPr>
        <a:noFill/>
        <a:ln>
          <a:noFill/>
        </a:ln>
        <a:effectLst/>
      </c:spPr>
    </c:title>
    <c:plotArea>
      <c:layout>
        <c:manualLayout>
          <c:layoutTarget val="inner"/>
          <c:xMode val="edge"/>
          <c:yMode val="edge"/>
          <c:x val="0.32796643586917651"/>
          <c:y val="0.21443364701363499"/>
          <c:w val="0.3661053103948495"/>
          <c:h val="0.53532259049014197"/>
        </c:manualLayout>
      </c:layout>
      <c:pieChart>
        <c:varyColors val="1"/>
        <c:ser>
          <c:idx val="0"/>
          <c:order val="0"/>
          <c:tx>
            <c:strRef>
              <c:f>网络安全!$F$127</c:f>
              <c:strCache>
                <c:ptCount val="1"/>
                <c:pt idx="0">
                  <c:v>接入网站占比</c:v>
                </c:pt>
              </c:strCache>
            </c:strRef>
          </c:tx>
          <c:spPr>
            <a:solidFill>
              <a:srgbClr val="B2D234"/>
            </a:solidFill>
            <a:ln>
              <a:noFill/>
            </a:ln>
          </c:spPr>
          <c:dPt>
            <c:idx val="0"/>
            <c:spPr>
              <a:solidFill>
                <a:srgbClr val="B2D234"/>
              </a:solidFill>
              <a:ln w="19050">
                <a:noFill/>
              </a:ln>
              <a:effectLst/>
            </c:spPr>
          </c:dPt>
          <c:dPt>
            <c:idx val="1"/>
            <c:spPr>
              <a:solidFill>
                <a:srgbClr val="00B0F0"/>
              </a:solidFill>
              <a:ln w="19050">
                <a:solidFill>
                  <a:srgbClr val="00B0F0"/>
                </a:solidFill>
              </a:ln>
              <a:effectLst/>
            </c:spPr>
          </c:dPt>
          <c:dPt>
            <c:idx val="2"/>
            <c:spPr>
              <a:solidFill>
                <a:srgbClr val="FFF500"/>
              </a:solidFill>
              <a:ln w="19050">
                <a:noFill/>
              </a:ln>
              <a:effectLst/>
            </c:spPr>
          </c:dPt>
          <c:dPt>
            <c:idx val="3"/>
            <c:spPr>
              <a:solidFill>
                <a:srgbClr val="FFCF00"/>
              </a:solidFill>
              <a:ln>
                <a:noFill/>
              </a:ln>
            </c:spPr>
          </c:dPt>
          <c:dLbls>
            <c:dLbl>
              <c:idx val="0"/>
              <c:layout>
                <c:manualLayout>
                  <c:x val="5.6786431532218663E-2"/>
                  <c:y val="-6.4434375000000002E-2"/>
                </c:manualLayout>
              </c:layout>
              <c:dLblPos val="bestFit"/>
              <c:showCatName val="1"/>
              <c:showPercent val="1"/>
              <c:separator>
</c:separator>
              <c:extLst>
                <c:ext xmlns:c15="http://schemas.microsoft.com/office/drawing/2012/chart" uri="{CE6537A1-D6FC-4f65-9D91-7224C49458BB}">
                  <c15:layout/>
                </c:ext>
              </c:extLst>
            </c:dLbl>
            <c:dLbl>
              <c:idx val="1"/>
              <c:layout>
                <c:manualLayout>
                  <c:x val="-9.9990188728453042E-2"/>
                  <c:y val="0.13227569444444445"/>
                </c:manualLayout>
              </c:layout>
              <c:dLblPos val="bestFit"/>
              <c:showCatName val="1"/>
              <c:showPercent val="1"/>
              <c:separator>
</c:separator>
              <c:extLst>
                <c:ext xmlns:c15="http://schemas.microsoft.com/office/drawing/2012/chart" uri="{CE6537A1-D6FC-4f65-9D91-7224C49458BB}">
                  <c15:layout/>
                </c:ext>
              </c:extLst>
            </c:dLbl>
            <c:dLbl>
              <c:idx val="2"/>
              <c:layout>
                <c:manualLayout>
                  <c:x val="-0.10004059908332311"/>
                  <c:y val="6.5748611111111174E-2"/>
                </c:manualLayout>
              </c:layout>
              <c:dLblPos val="bestFit"/>
              <c:showCatName val="1"/>
              <c:showPercent val="1"/>
              <c:separator>
</c:separator>
              <c:extLst>
                <c:ext xmlns:c15="http://schemas.microsoft.com/office/drawing/2012/chart" uri="{CE6537A1-D6FC-4f65-9D91-7224C49458BB}">
                  <c15:layout/>
                </c:ext>
              </c:extLst>
            </c:dLbl>
            <c:dLbl>
              <c:idx val="3"/>
              <c:layout>
                <c:manualLayout>
                  <c:x val="0.24535011345454497"/>
                  <c:y val="3.5834837718455949E-2"/>
                </c:manualLayout>
              </c:layout>
              <c:dLblPos val="bestFit"/>
              <c:showCatName val="1"/>
              <c:showPercent val="1"/>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dLblPos val="bestFit"/>
            <c:showCatName val="1"/>
            <c:showPercent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网络安全!$E$128:$E$130</c:f>
              <c:strCache>
                <c:ptCount val="3"/>
                <c:pt idx="0">
                  <c:v>陕西电信</c:v>
                </c:pt>
                <c:pt idx="1">
                  <c:v>陕西联通</c:v>
                </c:pt>
                <c:pt idx="2">
                  <c:v>陕西移动</c:v>
                </c:pt>
              </c:strCache>
            </c:strRef>
          </c:cat>
          <c:val>
            <c:numRef>
              <c:f>网络安全!$F$128:$F$130</c:f>
              <c:numCache>
                <c:formatCode>General</c:formatCode>
                <c:ptCount val="3"/>
                <c:pt idx="0">
                  <c:v>2455</c:v>
                </c:pt>
                <c:pt idx="1">
                  <c:v>450</c:v>
                </c:pt>
                <c:pt idx="2">
                  <c:v>216</c:v>
                </c:pt>
              </c:numCache>
            </c:numRef>
          </c:val>
        </c:ser>
        <c:dLbls>
          <c:showVal val="1"/>
        </c:dLbls>
        <c:firstSliceAng val="0"/>
      </c:pieChart>
      <c:spPr>
        <a:noFill/>
        <a:ln>
          <a:noFill/>
        </a:ln>
        <a:effectLst/>
      </c:spPr>
    </c:plotArea>
    <c:plotVisOnly val="1"/>
    <c:dispBlanksAs val="zero"/>
  </c:chart>
  <c:spPr>
    <a:solidFill>
      <a:schemeClr val="bg1"/>
    </a:solidFill>
    <a:ln w="3175" cap="flat" cmpd="sng" algn="ctr">
      <a:solidFill>
        <a:schemeClr val="tx1">
          <a:lumMod val="50000"/>
          <a:lumOff val="50000"/>
        </a:schemeClr>
      </a:solidFill>
      <a:prstDash val="solid"/>
      <a:round/>
    </a:ln>
    <a:effectLst/>
  </c:spPr>
  <c:txPr>
    <a:bodyPr/>
    <a:lstStyle/>
    <a:p>
      <a:pPr>
        <a:defRPr lang="zh-CN"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31.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zh-CN"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年陕西省</a:t>
            </a:r>
            <a:r>
              <a:rPr lang="zh-CN" altLang="zh-CN" sz="1200" b="1" i="0" u="none" strike="noStrike" baseline="0">
                <a:effectLst/>
              </a:rPr>
              <a:t>增值电信</a:t>
            </a:r>
            <a:r>
              <a:rPr lang="zh-CN" altLang="en-US" sz="1200" b="1" i="0" u="none" strike="noStrike" baseline="0">
                <a:effectLst/>
              </a:rPr>
              <a:t>企业业务开展情况</a:t>
            </a:r>
            <a:endParaRPr lang="en-US" altLang="zh-CN" sz="1200">
              <a:latin typeface="微软雅黑" panose="020B0503020204020204" pitchFamily="34" charset="-122"/>
              <a:ea typeface="微软雅黑" panose="020B0503020204020204" pitchFamily="34" charset="-122"/>
            </a:endParaRPr>
          </a:p>
        </c:rich>
      </c:tx>
      <c:layout>
        <c:manualLayout>
          <c:xMode val="edge"/>
          <c:yMode val="edge"/>
          <c:x val="0.20781974817760118"/>
          <c:y val="3.8858298529584931E-2"/>
        </c:manualLayout>
      </c:layout>
    </c:title>
    <c:plotArea>
      <c:layout>
        <c:manualLayout>
          <c:layoutTarget val="inner"/>
          <c:xMode val="edge"/>
          <c:yMode val="edge"/>
          <c:x val="0.34644354346362766"/>
          <c:y val="0.1612771763597699"/>
          <c:w val="0.57527945189753871"/>
          <c:h val="0.55572118055555564"/>
        </c:manualLayout>
      </c:layout>
      <c:barChart>
        <c:barDir val="bar"/>
        <c:grouping val="clustered"/>
        <c:ser>
          <c:idx val="1"/>
          <c:order val="0"/>
          <c:tx>
            <c:strRef>
              <c:f>增值电信企业!$E$127</c:f>
              <c:strCache>
                <c:ptCount val="1"/>
                <c:pt idx="0">
                  <c:v>占比</c:v>
                </c:pt>
              </c:strCache>
            </c:strRef>
          </c:tx>
          <c:spPr>
            <a:solidFill>
              <a:srgbClr val="B2D234"/>
            </a:solidFill>
            <a:ln w="12700">
              <a:noFill/>
            </a:ln>
          </c:spPr>
          <c:dLbls>
            <c:numFmt formatCode="0.0%" sourceLinked="0"/>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增值电信企业!$C$128:$C$133</c:f>
              <c:strCache>
                <c:ptCount val="6"/>
                <c:pt idx="0">
                  <c:v>国内多方通信服务业务</c:v>
                </c:pt>
                <c:pt idx="1">
                  <c:v>互联网数据中心业务</c:v>
                </c:pt>
                <c:pt idx="2">
                  <c:v>在线数据处理与交易处理业务</c:v>
                </c:pt>
                <c:pt idx="3">
                  <c:v>互联网截图服务业务</c:v>
                </c:pt>
                <c:pt idx="4">
                  <c:v>呼叫中心</c:v>
                </c:pt>
                <c:pt idx="5">
                  <c:v>信息服务业务</c:v>
                </c:pt>
              </c:strCache>
            </c:strRef>
          </c:cat>
          <c:val>
            <c:numRef>
              <c:f>增值电信企业!$E$128:$E$133</c:f>
              <c:numCache>
                <c:formatCode>0.00%</c:formatCode>
                <c:ptCount val="6"/>
                <c:pt idx="0">
                  <c:v>2.5380710659898493E-3</c:v>
                </c:pt>
                <c:pt idx="1">
                  <c:v>4.8223350253807105E-2</c:v>
                </c:pt>
                <c:pt idx="2">
                  <c:v>4.8223350253807105E-2</c:v>
                </c:pt>
                <c:pt idx="3">
                  <c:v>9.3908629441624397E-2</c:v>
                </c:pt>
                <c:pt idx="4">
                  <c:v>0.13197969543147225</c:v>
                </c:pt>
                <c:pt idx="5">
                  <c:v>0.84517766497461932</c:v>
                </c:pt>
              </c:numCache>
            </c:numRef>
          </c:val>
        </c:ser>
        <c:dLbls>
          <c:showVal val="1"/>
        </c:dLbls>
        <c:gapWidth val="60"/>
        <c:axId val="283757568"/>
        <c:axId val="283882240"/>
      </c:barChart>
      <c:catAx>
        <c:axId val="283757568"/>
        <c:scaling>
          <c:orientation val="minMax"/>
        </c:scaling>
        <c:axPos val="l"/>
        <c:numFmt formatCode="General" sourceLinked="0"/>
        <c:majorTickMark val="none"/>
        <c:tickLblPos val="nextTo"/>
        <c:spPr>
          <a:ln w="12700" cap="flat" cmpd="sng" algn="ctr">
            <a:solidFill>
              <a:schemeClr val="tx1">
                <a:lumMod val="50000"/>
                <a:lumOff val="50000"/>
              </a:schemeClr>
            </a:solidFill>
            <a:prstDash val="solid"/>
            <a:round/>
          </a:ln>
        </c:spPr>
        <c:txPr>
          <a:bodyPr rot="-60000000" spcFirstLastPara="0" vertOverflow="ellipsis" vert="horz" wrap="square" anchor="ctr" anchorCtr="1"/>
          <a:lstStyle/>
          <a:p>
            <a:pPr>
              <a:defRPr lang="zh-CN" sz="800" b="0"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endParaRPr lang="zh-CN"/>
          </a:p>
        </c:txPr>
        <c:crossAx val="283882240"/>
        <c:crosses val="autoZero"/>
        <c:auto val="1"/>
        <c:lblAlgn val="ctr"/>
        <c:lblOffset val="100"/>
      </c:catAx>
      <c:valAx>
        <c:axId val="283882240"/>
        <c:scaling>
          <c:orientation val="minMax"/>
        </c:scaling>
        <c:axPos val="b"/>
        <c:majorGridlines>
          <c:spPr>
            <a:ln w="9525" cap="flat" cmpd="sng" algn="ctr">
              <a:noFill/>
              <a:prstDash val="solid"/>
              <a:round/>
            </a:ln>
          </c:spPr>
        </c:majorGridlines>
        <c:numFmt formatCode="0%" sourceLinked="0"/>
        <c:majorTickMark val="none"/>
        <c:tickLblPos val="nextTo"/>
        <c:spPr>
          <a:ln w="9525" cap="flat" cmpd="sng" algn="ctr">
            <a:solidFill>
              <a:schemeClr val="tx1">
                <a:lumMod val="50000"/>
                <a:lumOff val="50000"/>
              </a:schemeClr>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3757568"/>
        <c:crosses val="autoZero"/>
        <c:crossBetween val="between"/>
      </c:valAx>
      <c:spPr>
        <a:ln>
          <a:noFill/>
        </a:ln>
      </c:spPr>
    </c:plotArea>
    <c:plotVisOnly val="1"/>
    <c:dispBlanksAs val="gap"/>
  </c:chart>
  <c:spPr>
    <a:ln w="12700" cap="flat" cmpd="sng" algn="ctr">
      <a:solidFill>
        <a:schemeClr val="tx1">
          <a:lumMod val="50000"/>
          <a:lumOff val="50000"/>
        </a:schemeClr>
      </a:solidFill>
      <a:prstDash val="solid"/>
      <a:round/>
    </a:ln>
  </c:spPr>
  <c:txPr>
    <a:bodyPr/>
    <a:lstStyle/>
    <a:p>
      <a:pPr>
        <a:defRPr lang="zh-CN"/>
      </a:pPr>
      <a:endParaRPr lang="zh-CN"/>
    </a:p>
  </c:txPr>
  <c:externalData r:id="rId1"/>
  <c:userShapes r:id="rId2"/>
</c:chartSpace>
</file>

<file path=word/charts/chart132.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en-US" altLang="zh-CN" sz="1200"/>
              <a:t>2017</a:t>
            </a:r>
            <a:r>
              <a:rPr lang="zh-CN" altLang="en-US" sz="1200"/>
              <a:t>年陕西省主要增值电信企业</a:t>
            </a:r>
            <a:endParaRPr lang="en-US" altLang="zh-CN" sz="1200"/>
          </a:p>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zh-CN" altLang="en-US" sz="1200"/>
              <a:t>接入网站占</a:t>
            </a:r>
            <a:r>
              <a:rPr lang="zh-CN" altLang="zh-CN" sz="1200" b="1" i="0" u="none" strike="noStrike" baseline="0">
                <a:effectLst/>
              </a:rPr>
              <a:t>本地接入网站</a:t>
            </a:r>
            <a:r>
              <a:rPr lang="zh-CN" altLang="en-US" sz="1200" b="1" i="0" u="none" strike="noStrike" baseline="0">
                <a:effectLst/>
              </a:rPr>
              <a:t>比例</a:t>
            </a:r>
            <a:endParaRPr lang="zh-CN" sz="1200"/>
          </a:p>
        </c:rich>
      </c:tx>
      <c:layout>
        <c:manualLayout>
          <c:xMode val="edge"/>
          <c:yMode val="edge"/>
          <c:x val="0.32565847471723247"/>
          <c:y val="2.37875E-2"/>
        </c:manualLayout>
      </c:layout>
      <c:spPr>
        <a:noFill/>
        <a:ln>
          <a:noFill/>
        </a:ln>
        <a:effectLst/>
      </c:spPr>
    </c:title>
    <c:plotArea>
      <c:layout>
        <c:manualLayout>
          <c:layoutTarget val="inner"/>
          <c:xMode val="edge"/>
          <c:yMode val="edge"/>
          <c:x val="0.3526382651363939"/>
          <c:y val="0.26531562500000022"/>
          <c:w val="0.33700488751304319"/>
          <c:h val="0.44933994361815877"/>
        </c:manualLayout>
      </c:layout>
      <c:pieChart>
        <c:varyColors val="1"/>
        <c:ser>
          <c:idx val="0"/>
          <c:order val="0"/>
          <c:tx>
            <c:strRef>
              <c:f>增值电信企业!$T$21</c:f>
              <c:strCache>
                <c:ptCount val="1"/>
                <c:pt idx="0">
                  <c:v>占本地接入网站的比重</c:v>
                </c:pt>
              </c:strCache>
            </c:strRef>
          </c:tx>
          <c:spPr>
            <a:solidFill>
              <a:srgbClr val="B2D234"/>
            </a:solidFill>
            <a:ln>
              <a:noFill/>
            </a:ln>
          </c:spPr>
          <c:dPt>
            <c:idx val="0"/>
            <c:spPr>
              <a:solidFill>
                <a:srgbClr val="B2D234"/>
              </a:solidFill>
              <a:ln w="19050">
                <a:noFill/>
              </a:ln>
              <a:effectLst/>
            </c:spPr>
          </c:dPt>
          <c:dPt>
            <c:idx val="1"/>
            <c:spPr>
              <a:solidFill>
                <a:schemeClr val="bg1">
                  <a:lumMod val="75000"/>
                </a:schemeClr>
              </a:solidFill>
              <a:ln w="19050">
                <a:noFill/>
              </a:ln>
              <a:effectLst/>
            </c:spPr>
          </c:dPt>
          <c:dPt>
            <c:idx val="2"/>
            <c:spPr>
              <a:solidFill>
                <a:srgbClr val="FFF500"/>
              </a:solidFill>
              <a:ln w="19050">
                <a:noFill/>
              </a:ln>
              <a:effectLst/>
            </c:spPr>
          </c:dPt>
          <c:dPt>
            <c:idx val="3"/>
            <c:spPr>
              <a:solidFill>
                <a:srgbClr val="F59B9B"/>
              </a:solidFill>
              <a:ln>
                <a:noFill/>
              </a:ln>
            </c:spPr>
          </c:dPt>
          <c:dPt>
            <c:idx val="4"/>
            <c:spPr>
              <a:solidFill>
                <a:srgbClr val="00AFE2"/>
              </a:solidFill>
              <a:ln>
                <a:noFill/>
              </a:ln>
            </c:spPr>
          </c:dPt>
          <c:dPt>
            <c:idx val="5"/>
            <c:spPr>
              <a:solidFill>
                <a:srgbClr val="9B9B9B"/>
              </a:solidFill>
              <a:ln>
                <a:noFill/>
              </a:ln>
            </c:spPr>
          </c:dPt>
          <c:dPt>
            <c:idx val="6"/>
            <c:spPr>
              <a:solidFill>
                <a:srgbClr val="1EC8F3"/>
              </a:solidFill>
              <a:ln>
                <a:noFill/>
              </a:ln>
            </c:spPr>
          </c:dPt>
          <c:dPt>
            <c:idx val="7"/>
            <c:spPr>
              <a:solidFill>
                <a:srgbClr val="00AFE2"/>
              </a:solidFill>
              <a:ln>
                <a:noFill/>
              </a:ln>
            </c:spPr>
          </c:dPt>
          <c:dPt>
            <c:idx val="8"/>
            <c:spPr>
              <a:solidFill>
                <a:srgbClr val="F59B9B"/>
              </a:solidFill>
              <a:ln>
                <a:noFill/>
              </a:ln>
            </c:spPr>
          </c:dPt>
          <c:dPt>
            <c:idx val="9"/>
            <c:spPr>
              <a:solidFill>
                <a:srgbClr val="F38286"/>
              </a:solidFill>
              <a:ln>
                <a:noFill/>
              </a:ln>
            </c:spPr>
          </c:dPt>
          <c:dPt>
            <c:idx val="10"/>
            <c:spPr>
              <a:solidFill>
                <a:srgbClr val="8BC53F"/>
              </a:solidFill>
              <a:ln>
                <a:noFill/>
              </a:ln>
            </c:spPr>
          </c:dPt>
          <c:dLbls>
            <c:dLbl>
              <c:idx val="0"/>
              <c:layout>
                <c:manualLayout>
                  <c:x val="5.6860861610113111E-2"/>
                  <c:y val="6.9271180555555562E-2"/>
                </c:manualLayout>
              </c:layout>
              <c:tx>
                <c:rich>
                  <a:bodyPr/>
                  <a:lstStyle/>
                  <a:p>
                    <a:r>
                      <a:rPr lang="zh-CN" altLang="en-US"/>
                      <a:t>西安天互通信</a:t>
                    </a:r>
                    <a:r>
                      <a:rPr altLang="en-US"/>
                      <a:t>有限公司, 20.26%</a:t>
                    </a:r>
                  </a:p>
                </c:rich>
              </c:tx>
              <c:showVal val="1"/>
              <c:showCatName val="1"/>
            </c:dLbl>
            <c:dLbl>
              <c:idx val="1"/>
              <c:layout>
                <c:manualLayout>
                  <c:x val="4.2786302395209579E-2"/>
                  <c:y val="6.1579861111111106E-2"/>
                </c:manualLayout>
              </c:layout>
              <c:tx>
                <c:rich>
                  <a:bodyPr/>
                  <a:lstStyle/>
                  <a:p>
                    <a:r>
                      <a:rPr lang="zh-CN" altLang="en-US"/>
                      <a:t>陕西正龙科技发展有限公司</a:t>
                    </a:r>
                    <a:r>
                      <a:rPr altLang="en-US"/>
                      <a:t>, 14.23%</a:t>
                    </a:r>
                  </a:p>
                </c:rich>
              </c:tx>
              <c:showVal val="1"/>
              <c:showCatName val="1"/>
            </c:dLbl>
            <c:dLbl>
              <c:idx val="2"/>
              <c:layout>
                <c:manualLayout>
                  <c:x val="-3.5385479041916176E-2"/>
                  <c:y val="-2.0060763888888878E-2"/>
                </c:manualLayout>
              </c:layout>
              <c:tx>
                <c:rich>
                  <a:bodyPr/>
                  <a:lstStyle/>
                  <a:p>
                    <a:r>
                      <a:rPr lang="zh-CN" altLang="en-US"/>
                      <a:t>其他</a:t>
                    </a:r>
                    <a:r>
                      <a:rPr lang="en-US" altLang="zh-CN"/>
                      <a:t> 65.52%</a:t>
                    </a:r>
                  </a:p>
                </c:rich>
              </c:tx>
              <c:showVal val="1"/>
              <c:showCatName val="1"/>
            </c:dLbl>
            <c:showVal val="1"/>
            <c:showCatName val="1"/>
            <c:showLeaderLines val="1"/>
          </c:dLbls>
          <c:cat>
            <c:strRef>
              <c:f>增值电信企业!$S$22:$S$24</c:f>
              <c:strCache>
                <c:ptCount val="3"/>
                <c:pt idx="0">
                  <c:v>陕西正龙科技发展有限公司</c:v>
                </c:pt>
                <c:pt idx="1">
                  <c:v>西安天互通信有限公司</c:v>
                </c:pt>
                <c:pt idx="2">
                  <c:v>陕西省内其他增值电信运营商</c:v>
                </c:pt>
              </c:strCache>
            </c:strRef>
          </c:cat>
          <c:val>
            <c:numRef>
              <c:f>增值电信企业!$T$22:$T$24</c:f>
              <c:numCache>
                <c:formatCode>0.00%</c:formatCode>
                <c:ptCount val="3"/>
                <c:pt idx="0">
                  <c:v>0.20257787325456483</c:v>
                </c:pt>
                <c:pt idx="1">
                  <c:v>0.14226638023630531</c:v>
                </c:pt>
                <c:pt idx="2">
                  <c:v>0.65515574650913089</c:v>
                </c:pt>
              </c:numCache>
            </c:numRef>
          </c:val>
        </c:ser>
        <c:dLbls>
          <c:showVal val="1"/>
        </c:dLbls>
        <c:firstSliceAng val="0"/>
      </c:pieChart>
      <c:spPr>
        <a:noFill/>
        <a:ln>
          <a:noFill/>
        </a:ln>
        <a:effectLst/>
      </c:spPr>
    </c:plotArea>
    <c:legend>
      <c:legendPos val="b"/>
    </c:legend>
    <c:plotVisOnly val="1"/>
    <c:dispBlanksAs val="zero"/>
  </c:chart>
  <c:spPr>
    <a:solidFill>
      <a:schemeClr val="bg1"/>
    </a:solidFill>
    <a:ln w="3175" cap="flat" cmpd="sng" algn="ctr">
      <a:solidFill>
        <a:schemeClr val="tx1">
          <a:lumMod val="50000"/>
          <a:lumOff val="50000"/>
        </a:schemeClr>
      </a:solidFill>
      <a:prstDash val="solid"/>
      <a:round/>
    </a:ln>
    <a:effectLst/>
  </c:spPr>
  <c:txPr>
    <a:bodyPr/>
    <a:lstStyle/>
    <a:p>
      <a:pPr>
        <a:defRPr lang="zh-CN"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33.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en-US" sz="1200"/>
              <a:t>2017</a:t>
            </a:r>
            <a:r>
              <a:rPr lang="zh-CN" sz="1200"/>
              <a:t>年陕西省</a:t>
            </a:r>
            <a:r>
              <a:rPr lang="zh-CN" altLang="en-US" sz="1200"/>
              <a:t>木马或僵尸程序受控主机</a:t>
            </a:r>
            <a:r>
              <a:rPr lang="en-US" altLang="zh-CN" sz="1200"/>
              <a:t>IP</a:t>
            </a:r>
            <a:r>
              <a:rPr lang="zh-CN" altLang="en-US" sz="1200"/>
              <a:t>数量月度统计</a:t>
            </a:r>
            <a:endParaRPr lang="zh-CN" sz="1200"/>
          </a:p>
        </c:rich>
      </c:tx>
    </c:title>
    <c:plotArea>
      <c:layout>
        <c:manualLayout>
          <c:layoutTarget val="inner"/>
          <c:xMode val="edge"/>
          <c:yMode val="edge"/>
          <c:x val="0.12606721294773501"/>
          <c:y val="0.15623297363463526"/>
          <c:w val="0.83592439115166051"/>
          <c:h val="0.45654971817047457"/>
        </c:manualLayout>
      </c:layout>
      <c:barChart>
        <c:barDir val="col"/>
        <c:grouping val="clustered"/>
        <c:ser>
          <c:idx val="0"/>
          <c:order val="0"/>
          <c:tx>
            <c:strRef>
              <c:f>网络安全!$A$32</c:f>
              <c:strCache>
                <c:ptCount val="1"/>
                <c:pt idx="0">
                  <c:v>木马或僵尸程序控制主机IP数量（个）</c:v>
                </c:pt>
              </c:strCache>
            </c:strRef>
          </c:tx>
          <c:spPr>
            <a:solidFill>
              <a:srgbClr val="B2D234"/>
            </a:solidFill>
            <a:ln>
              <a:noFill/>
            </a:ln>
          </c:spPr>
          <c:dLbls>
            <c:dLbl>
              <c:idx val="0"/>
              <c:layout>
                <c:manualLayout>
                  <c:x val="1.0562450488513312E-2"/>
                  <c:y val="0"/>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网络安全!$B$31:$M$31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网络安全!$B$32:$M$32</c:f>
              <c:numCache>
                <c:formatCode>General</c:formatCode>
                <c:ptCount val="12"/>
                <c:pt idx="0">
                  <c:v>27223</c:v>
                </c:pt>
                <c:pt idx="1">
                  <c:v>14229</c:v>
                </c:pt>
                <c:pt idx="2">
                  <c:v>16029</c:v>
                </c:pt>
                <c:pt idx="3">
                  <c:v>19260</c:v>
                </c:pt>
                <c:pt idx="4">
                  <c:v>19312</c:v>
                </c:pt>
                <c:pt idx="5">
                  <c:v>121763</c:v>
                </c:pt>
                <c:pt idx="6">
                  <c:v>27928</c:v>
                </c:pt>
                <c:pt idx="7">
                  <c:v>31193</c:v>
                </c:pt>
                <c:pt idx="8">
                  <c:v>22419</c:v>
                </c:pt>
                <c:pt idx="9">
                  <c:v>16027</c:v>
                </c:pt>
                <c:pt idx="10">
                  <c:v>14729</c:v>
                </c:pt>
                <c:pt idx="11">
                  <c:v>11095</c:v>
                </c:pt>
              </c:numCache>
            </c:numRef>
          </c:val>
        </c:ser>
        <c:gapWidth val="60"/>
        <c:axId val="283944832"/>
        <c:axId val="284230016"/>
      </c:barChart>
      <c:catAx>
        <c:axId val="283944832"/>
        <c:scaling>
          <c:orientation val="minMax"/>
        </c:scaling>
        <c:axPos val="b"/>
        <c:numFmt formatCode="m/d;@" sourceLinked="0"/>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4230016"/>
        <c:crosses val="autoZero"/>
        <c:auto val="1"/>
        <c:lblAlgn val="ctr"/>
        <c:lblOffset val="100"/>
      </c:catAx>
      <c:valAx>
        <c:axId val="284230016"/>
        <c:scaling>
          <c:orientation val="minMax"/>
          <c:max val="150000"/>
        </c:scaling>
        <c:axPos val="l"/>
        <c:numFmt formatCode="General" sourceLinked="1"/>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3944832"/>
        <c:crosses val="autoZero"/>
        <c:crossBetween val="between"/>
        <c:majorUnit val="50000"/>
      </c:valAx>
    </c:plotArea>
    <c:legend>
      <c:legendPos val="b"/>
      <c:layout>
        <c:manualLayout>
          <c:xMode val="edge"/>
          <c:yMode val="edge"/>
          <c:x val="0.28405605455755156"/>
          <c:y val="0.72062118055555613"/>
          <c:w val="0.490886767619853"/>
          <c:h val="6.41201388888889E-2"/>
        </c:manualLayout>
      </c:layout>
      <c:txPr>
        <a:bodyPr rot="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legend>
    <c:plotVisOnly val="1"/>
    <c:dispBlanksAs val="gap"/>
  </c:chart>
  <c:txPr>
    <a:bodyPr/>
    <a:lstStyle/>
    <a:p>
      <a:pPr>
        <a:defRPr lang="zh-CN"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34.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2" charset="-122"/>
                <a:ea typeface="微软雅黑" panose="020B0503020204020204" pitchFamily="2" charset="-122"/>
                <a:cs typeface="+mn-cs"/>
              </a:defRPr>
            </a:pPr>
            <a:r>
              <a:rPr lang="en-US" sz="1200"/>
              <a:t>2017</a:t>
            </a:r>
            <a:r>
              <a:rPr lang="zh-CN" sz="1200"/>
              <a:t>年陕西省</a:t>
            </a:r>
            <a:r>
              <a:rPr lang="zh-CN" altLang="en-US" sz="1200"/>
              <a:t>木马僵尸程序</a:t>
            </a:r>
            <a:r>
              <a:rPr lang="zh-CN" sz="1200"/>
              <a:t>控制服务器</a:t>
            </a:r>
            <a:r>
              <a:rPr lang="en-US" sz="1200"/>
              <a:t>IP</a:t>
            </a:r>
            <a:r>
              <a:rPr lang="zh-CN" sz="1200"/>
              <a:t>数量</a:t>
            </a:r>
            <a:r>
              <a:rPr lang="zh-CN" altLang="en-US" sz="1200"/>
              <a:t>月度统计</a:t>
            </a:r>
            <a:endParaRPr lang="zh-CN" sz="1200"/>
          </a:p>
        </c:rich>
      </c:tx>
    </c:title>
    <c:plotArea>
      <c:layout>
        <c:manualLayout>
          <c:layoutTarget val="inner"/>
          <c:xMode val="edge"/>
          <c:yMode val="edge"/>
          <c:x val="9.9439662341982774E-2"/>
          <c:y val="0.17580428686766988"/>
          <c:w val="0.85934609946773099"/>
          <c:h val="0.45604873894074521"/>
        </c:manualLayout>
      </c:layout>
      <c:barChart>
        <c:barDir val="col"/>
        <c:grouping val="clustered"/>
        <c:ser>
          <c:idx val="0"/>
          <c:order val="0"/>
          <c:tx>
            <c:strRef>
              <c:f>'[陕西--互联网基础资源-网站备案-网络安全-作图.xlsx]网络安全'!$A$6</c:f>
              <c:strCache>
                <c:ptCount val="1"/>
                <c:pt idx="0">
                  <c:v>木马控制服务器IP数量（个）</c:v>
                </c:pt>
              </c:strCache>
            </c:strRef>
          </c:tx>
          <c:spPr>
            <a:solidFill>
              <a:srgbClr val="B2D234"/>
            </a:solidFill>
            <a:ln>
              <a:noFill/>
            </a:ln>
          </c:spPr>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'[陕西--互联网基础资源-网站备案-网络安全-作图.xlsx]网络安全'!$B$5:$M$5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'[陕西--互联网基础资源-网站备案-网络安全-作图.xlsx]网络安全'!$B$6:$M$6</c:f>
              <c:numCache>
                <c:formatCode>General</c:formatCode>
                <c:ptCount val="12"/>
                <c:pt idx="0">
                  <c:v>163</c:v>
                </c:pt>
                <c:pt idx="1">
                  <c:v>124</c:v>
                </c:pt>
                <c:pt idx="2">
                  <c:v>19</c:v>
                </c:pt>
                <c:pt idx="3">
                  <c:v>102</c:v>
                </c:pt>
                <c:pt idx="4">
                  <c:v>246</c:v>
                </c:pt>
                <c:pt idx="5">
                  <c:v>438</c:v>
                </c:pt>
                <c:pt idx="6">
                  <c:v>36</c:v>
                </c:pt>
                <c:pt idx="7">
                  <c:v>39</c:v>
                </c:pt>
                <c:pt idx="8">
                  <c:v>44</c:v>
                </c:pt>
                <c:pt idx="9">
                  <c:v>54</c:v>
                </c:pt>
                <c:pt idx="10">
                  <c:v>57</c:v>
                </c:pt>
                <c:pt idx="11">
                  <c:v>61</c:v>
                </c:pt>
              </c:numCache>
            </c:numRef>
          </c:val>
        </c:ser>
        <c:gapWidth val="60"/>
        <c:axId val="284267264"/>
        <c:axId val="284269952"/>
      </c:barChart>
      <c:catAx>
        <c:axId val="284267264"/>
        <c:scaling>
          <c:orientation val="minMax"/>
        </c:scaling>
        <c:axPos val="b"/>
        <c:numFmt formatCode="m/d;@" sourceLinked="0"/>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crossAx val="284269952"/>
        <c:crosses val="autoZero"/>
        <c:auto val="1"/>
        <c:lblAlgn val="ctr"/>
        <c:lblOffset val="100"/>
      </c:catAx>
      <c:valAx>
        <c:axId val="284269952"/>
        <c:scaling>
          <c:orientation val="minMax"/>
          <c:max val="550"/>
          <c:min val="0"/>
        </c:scaling>
        <c:axPos val="l"/>
        <c:numFmt formatCode="General" sourceLinked="1"/>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crossAx val="284267264"/>
        <c:crosses val="autoZero"/>
        <c:crossBetween val="between"/>
        <c:majorUnit val="100"/>
        <c:minorUnit val="50"/>
      </c:valAx>
    </c:plotArea>
    <c:legend>
      <c:legendPos val="b"/>
      <c:layout>
        <c:manualLayout>
          <c:xMode val="edge"/>
          <c:yMode val="edge"/>
          <c:x val="0.32104776182090039"/>
          <c:y val="0.73518756131227769"/>
          <c:w val="0.38262165011258997"/>
          <c:h val="5.9660557865768432E-2"/>
        </c:manualLayout>
      </c:layout>
      <c:txPr>
        <a:bodyPr rot="0" spcFirstLastPara="0" vertOverflow="ellipsis" vert="horz" wrap="square" anchor="ctr" anchorCtr="1"/>
        <a:lstStyle/>
        <a:p>
          <a:pPr>
            <a:defRPr lang="zh-CN" sz="800" b="0" i="0" u="none" strike="noStrike" kern="1200" baseline="0">
              <a:solidFill>
                <a:schemeClr val="tx1"/>
              </a:solidFill>
              <a:latin typeface="微软雅黑" panose="020B0503020204020204" pitchFamily="2" charset="-122"/>
              <a:ea typeface="微软雅黑" panose="020B0503020204020204" pitchFamily="2" charset="-122"/>
              <a:cs typeface="+mn-cs"/>
            </a:defRPr>
          </a:pPr>
          <a:endParaRPr lang="zh-CN"/>
        </a:p>
      </c:txPr>
    </c:legend>
    <c:plotVisOnly val="1"/>
    <c:dispBlanksAs val="gap"/>
  </c:chart>
  <c:txPr>
    <a:bodyPr/>
    <a:lstStyle/>
    <a:p>
      <a:pPr>
        <a:defRPr lang="zh-CN" sz="800">
          <a:latin typeface="微软雅黑" panose="020B0503020204020204" pitchFamily="2" charset="-122"/>
          <a:ea typeface="微软雅黑" panose="020B0503020204020204" pitchFamily="2" charset="-122"/>
        </a:defRPr>
      </a:pPr>
      <a:endParaRPr lang="zh-CN"/>
    </a:p>
  </c:txPr>
  <c:externalData r:id="rId1"/>
  <c:userShapes r:id="rId2"/>
</c:chartSpace>
</file>

<file path=word/charts/chart135.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en-US" sz="1200"/>
              <a:t>2017</a:t>
            </a:r>
            <a:r>
              <a:rPr lang="zh-CN" sz="1200"/>
              <a:t>年陕西省</a:t>
            </a:r>
            <a:r>
              <a:rPr lang="zh-CN" altLang="en-US" sz="1200"/>
              <a:t>感染飞客蠕虫主机</a:t>
            </a:r>
            <a:r>
              <a:rPr lang="en-US" altLang="zh-CN" sz="1200"/>
              <a:t>IP</a:t>
            </a:r>
            <a:r>
              <a:rPr lang="zh-CN" altLang="en-US" sz="1200"/>
              <a:t>数量月度统计</a:t>
            </a:r>
            <a:endParaRPr lang="zh-CN" sz="1200"/>
          </a:p>
        </c:rich>
      </c:tx>
    </c:title>
    <c:plotArea>
      <c:layout>
        <c:manualLayout>
          <c:layoutTarget val="inner"/>
          <c:xMode val="edge"/>
          <c:yMode val="edge"/>
          <c:x val="0.11554596982578999"/>
          <c:y val="0.1738697916666668"/>
          <c:w val="0.84644556972576457"/>
          <c:h val="0.45831805555555577"/>
        </c:manualLayout>
      </c:layout>
      <c:barChart>
        <c:barDir val="col"/>
        <c:grouping val="clustered"/>
        <c:ser>
          <c:idx val="0"/>
          <c:order val="0"/>
          <c:tx>
            <c:strRef>
              <c:f>网络安全!$A$160</c:f>
              <c:strCache>
                <c:ptCount val="1"/>
                <c:pt idx="0">
                  <c:v>感染飞客蠕虫主机IP数量（个）</c:v>
                </c:pt>
              </c:strCache>
            </c:strRef>
          </c:tx>
          <c:spPr>
            <a:solidFill>
              <a:srgbClr val="B2D234"/>
            </a:solidFill>
            <a:ln>
              <a:noFill/>
            </a:ln>
          </c:spPr>
          <c:dLbls>
            <c:dLbl>
              <c:idx val="0"/>
              <c:layout>
                <c:manualLayout>
                  <c:x val="5.2819833164418836E-3"/>
                  <c:y val="-1.3114754098360649E-2"/>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网络安全!$B$159:$M$159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网络安全!$B$160:$M$160</c:f>
              <c:numCache>
                <c:formatCode>General</c:formatCode>
                <c:ptCount val="12"/>
                <c:pt idx="0">
                  <c:v>12300</c:v>
                </c:pt>
                <c:pt idx="1">
                  <c:v>12068</c:v>
                </c:pt>
                <c:pt idx="2">
                  <c:v>10917</c:v>
                </c:pt>
                <c:pt idx="3">
                  <c:v>12947</c:v>
                </c:pt>
                <c:pt idx="4">
                  <c:v>13319</c:v>
                </c:pt>
                <c:pt idx="5">
                  <c:v>12016</c:v>
                </c:pt>
                <c:pt idx="6">
                  <c:v>9646</c:v>
                </c:pt>
                <c:pt idx="7">
                  <c:v>9634</c:v>
                </c:pt>
                <c:pt idx="8">
                  <c:v>10793</c:v>
                </c:pt>
                <c:pt idx="9">
                  <c:v>7811</c:v>
                </c:pt>
                <c:pt idx="10">
                  <c:v>12116</c:v>
                </c:pt>
                <c:pt idx="11">
                  <c:v>10015</c:v>
                </c:pt>
              </c:numCache>
            </c:numRef>
          </c:val>
        </c:ser>
        <c:gapWidth val="60"/>
        <c:axId val="283797376"/>
        <c:axId val="283798912"/>
      </c:barChart>
      <c:catAx>
        <c:axId val="283797376"/>
        <c:scaling>
          <c:orientation val="minMax"/>
        </c:scaling>
        <c:axPos val="b"/>
        <c:numFmt formatCode="m/d;@" sourceLinked="0"/>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3798912"/>
        <c:crosses val="autoZero"/>
        <c:auto val="1"/>
        <c:lblAlgn val="ctr"/>
        <c:lblOffset val="100"/>
      </c:catAx>
      <c:valAx>
        <c:axId val="283798912"/>
        <c:scaling>
          <c:orientation val="minMax"/>
          <c:min val="0"/>
        </c:scaling>
        <c:axPos val="l"/>
        <c:numFmt formatCode="General" sourceLinked="1"/>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3797376"/>
        <c:crosses val="autoZero"/>
        <c:crossBetween val="between"/>
        <c:majorUnit val="5000"/>
        <c:minorUnit val="1000"/>
      </c:valAx>
    </c:plotArea>
    <c:legend>
      <c:legendPos val="b"/>
      <c:layout>
        <c:manualLayout>
          <c:xMode val="edge"/>
          <c:yMode val="edge"/>
          <c:x val="0.28669660678642717"/>
          <c:y val="0.73624895833333404"/>
          <c:w val="0.490886767619853"/>
          <c:h val="5.5300694444444527E-2"/>
        </c:manualLayout>
      </c:layout>
      <c:txPr>
        <a:bodyPr rot="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legend>
    <c:plotVisOnly val="1"/>
    <c:dispBlanksAs val="gap"/>
  </c:chart>
  <c:txPr>
    <a:bodyPr/>
    <a:lstStyle/>
    <a:p>
      <a:pPr>
        <a:defRPr lang="zh-CN"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36.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en-US" sz="1200"/>
              <a:t>2017</a:t>
            </a:r>
            <a:r>
              <a:rPr lang="zh-CN" sz="1200"/>
              <a:t>年陕西省</a:t>
            </a:r>
            <a:r>
              <a:rPr lang="zh-CN" altLang="en-US" sz="1200"/>
              <a:t>网站被篡改数量月度统计</a:t>
            </a:r>
            <a:endParaRPr lang="zh-CN" sz="1200"/>
          </a:p>
        </c:rich>
      </c:tx>
    </c:title>
    <c:plotArea>
      <c:layout>
        <c:manualLayout>
          <c:layoutTarget val="inner"/>
          <c:xMode val="edge"/>
          <c:yMode val="edge"/>
          <c:x val="9.7020474104322976E-2"/>
          <c:y val="0.200328125"/>
          <c:w val="0.86497112999507242"/>
          <c:h val="0.44490312500000001"/>
        </c:manualLayout>
      </c:layout>
      <c:barChart>
        <c:barDir val="col"/>
        <c:grouping val="clustered"/>
        <c:ser>
          <c:idx val="0"/>
          <c:order val="0"/>
          <c:tx>
            <c:strRef>
              <c:f>网络安全!$A$62</c:f>
              <c:strCache>
                <c:ptCount val="1"/>
                <c:pt idx="0">
                  <c:v>网站被篡改数量（个）</c:v>
                </c:pt>
              </c:strCache>
            </c:strRef>
          </c:tx>
          <c:spPr>
            <a:solidFill>
              <a:srgbClr val="B2D234"/>
            </a:solidFill>
            <a:ln>
              <a:noFill/>
            </a:ln>
          </c:spPr>
          <c:dLbls>
            <c:dLbl>
              <c:idx val="0"/>
              <c:layout>
                <c:manualLayout>
                  <c:x val="1.0562450488513312E-2"/>
                  <c:y val="0"/>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网络安全!$B$61:$M$61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网络安全!$B$62:$M$62</c:f>
              <c:numCache>
                <c:formatCode>General</c:formatCode>
                <c:ptCount val="12"/>
                <c:pt idx="0">
                  <c:v>75</c:v>
                </c:pt>
                <c:pt idx="1">
                  <c:v>59</c:v>
                </c:pt>
                <c:pt idx="2">
                  <c:v>76</c:v>
                </c:pt>
                <c:pt idx="3">
                  <c:v>70</c:v>
                </c:pt>
                <c:pt idx="4">
                  <c:v>47</c:v>
                </c:pt>
                <c:pt idx="5">
                  <c:v>42</c:v>
                </c:pt>
                <c:pt idx="6">
                  <c:v>48</c:v>
                </c:pt>
                <c:pt idx="7">
                  <c:v>45</c:v>
                </c:pt>
                <c:pt idx="8">
                  <c:v>68</c:v>
                </c:pt>
                <c:pt idx="9">
                  <c:v>52</c:v>
                </c:pt>
                <c:pt idx="10">
                  <c:v>42</c:v>
                </c:pt>
                <c:pt idx="11">
                  <c:v>65</c:v>
                </c:pt>
              </c:numCache>
            </c:numRef>
          </c:val>
        </c:ser>
        <c:gapWidth val="60"/>
        <c:axId val="284324224"/>
        <c:axId val="284327296"/>
      </c:barChart>
      <c:catAx>
        <c:axId val="284324224"/>
        <c:scaling>
          <c:orientation val="minMax"/>
        </c:scaling>
        <c:axPos val="b"/>
        <c:numFmt formatCode="m/d;@" sourceLinked="0"/>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4327296"/>
        <c:crosses val="autoZero"/>
        <c:auto val="1"/>
        <c:lblAlgn val="ctr"/>
        <c:lblOffset val="100"/>
      </c:catAx>
      <c:valAx>
        <c:axId val="284327296"/>
        <c:scaling>
          <c:orientation val="minMax"/>
          <c:max val="80"/>
          <c:min val="0"/>
        </c:scaling>
        <c:axPos val="l"/>
        <c:numFmt formatCode="General" sourceLinked="1"/>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4324224"/>
        <c:crosses val="autoZero"/>
        <c:crossBetween val="between"/>
        <c:majorUnit val="20"/>
      </c:valAx>
    </c:plotArea>
    <c:legend>
      <c:legendPos val="b"/>
      <c:layout>
        <c:manualLayout>
          <c:xMode val="edge"/>
          <c:yMode val="edge"/>
          <c:x val="0.27613439787092481"/>
          <c:y val="0.7404729166666667"/>
          <c:w val="0.490886767619853"/>
          <c:h val="6.41201388888889E-2"/>
        </c:manualLayout>
      </c:layout>
      <c:txPr>
        <a:bodyPr rot="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legend>
    <c:plotVisOnly val="1"/>
    <c:dispBlanksAs val="gap"/>
  </c:chart>
  <c:txPr>
    <a:bodyPr/>
    <a:lstStyle/>
    <a:p>
      <a:pPr>
        <a:defRPr lang="zh-CN"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37.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chemeClr val="tx1"/>
                </a:solidFill>
                <a:latin typeface="微软雅黑" panose="020B0503020204020204" pitchFamily="34" charset="-122"/>
                <a:ea typeface="微软雅黑" panose="020B0503020204020204" pitchFamily="34" charset="-122"/>
                <a:cs typeface="+mn-cs"/>
              </a:defRPr>
            </a:pPr>
            <a:r>
              <a:rPr lang="en-US" sz="1200"/>
              <a:t>2017</a:t>
            </a:r>
            <a:r>
              <a:rPr lang="zh-CN" sz="1200"/>
              <a:t>年陕西省</a:t>
            </a:r>
            <a:r>
              <a:rPr lang="zh-CN" altLang="en-US" sz="1200"/>
              <a:t>被</a:t>
            </a:r>
            <a:r>
              <a:rPr lang="zh-CN" sz="1200"/>
              <a:t>植入</a:t>
            </a:r>
            <a:r>
              <a:rPr lang="zh-CN" altLang="en-US" sz="1200"/>
              <a:t>后门</a:t>
            </a:r>
            <a:r>
              <a:rPr lang="zh-CN" altLang="zh-CN" sz="1200" b="1" i="0" u="none" strike="noStrike" baseline="0">
                <a:effectLst/>
              </a:rPr>
              <a:t>网站</a:t>
            </a:r>
            <a:r>
              <a:rPr lang="zh-CN" altLang="en-US" sz="1200"/>
              <a:t>数量月度统计</a:t>
            </a:r>
            <a:endParaRPr lang="zh-CN" sz="1200"/>
          </a:p>
        </c:rich>
      </c:tx>
    </c:title>
    <c:plotArea>
      <c:layout>
        <c:manualLayout>
          <c:layoutTarget val="inner"/>
          <c:xMode val="edge"/>
          <c:yMode val="edge"/>
          <c:x val="9.7020474104322976E-2"/>
          <c:y val="0.1738697916666668"/>
          <c:w val="0.86497112999507242"/>
          <c:h val="0.45317222222222231"/>
        </c:manualLayout>
      </c:layout>
      <c:barChart>
        <c:barDir val="col"/>
        <c:grouping val="clustered"/>
        <c:ser>
          <c:idx val="0"/>
          <c:order val="0"/>
          <c:tx>
            <c:strRef>
              <c:f>网络安全!$A$57</c:f>
              <c:strCache>
                <c:ptCount val="1"/>
                <c:pt idx="0">
                  <c:v>网站被植入后门数量（个）</c:v>
                </c:pt>
              </c:strCache>
            </c:strRef>
          </c:tx>
          <c:spPr>
            <a:solidFill>
              <a:srgbClr val="B2D234"/>
            </a:solidFill>
            <a:ln>
              <a:noFill/>
            </a:ln>
          </c:spPr>
          <c:dLbls>
            <c:dLbl>
              <c:idx val="0"/>
              <c:layout>
                <c:manualLayout>
                  <c:x val="1.0562450488513312E-2"/>
                  <c:y val="0"/>
                </c:manualLayout>
              </c:layout>
              <c:dLblPos val="outEnd"/>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网络安全!$B$56:$M$56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网络安全!$B$57:$M$57</c:f>
              <c:numCache>
                <c:formatCode>General</c:formatCode>
                <c:ptCount val="12"/>
                <c:pt idx="0">
                  <c:v>38</c:v>
                </c:pt>
                <c:pt idx="1">
                  <c:v>35</c:v>
                </c:pt>
                <c:pt idx="2">
                  <c:v>63</c:v>
                </c:pt>
                <c:pt idx="3">
                  <c:v>43</c:v>
                </c:pt>
                <c:pt idx="4">
                  <c:v>53</c:v>
                </c:pt>
                <c:pt idx="5">
                  <c:v>32</c:v>
                </c:pt>
                <c:pt idx="6">
                  <c:v>58</c:v>
                </c:pt>
                <c:pt idx="7">
                  <c:v>56</c:v>
                </c:pt>
                <c:pt idx="8">
                  <c:v>41</c:v>
                </c:pt>
                <c:pt idx="9">
                  <c:v>18</c:v>
                </c:pt>
                <c:pt idx="10">
                  <c:v>24</c:v>
                </c:pt>
                <c:pt idx="11">
                  <c:v>45</c:v>
                </c:pt>
              </c:numCache>
            </c:numRef>
          </c:val>
        </c:ser>
        <c:gapWidth val="60"/>
        <c:axId val="284463104"/>
        <c:axId val="284464640"/>
      </c:barChart>
      <c:catAx>
        <c:axId val="284463104"/>
        <c:scaling>
          <c:orientation val="minMax"/>
        </c:scaling>
        <c:axPos val="b"/>
        <c:numFmt formatCode="m/d;@" sourceLinked="0"/>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4464640"/>
        <c:crosses val="autoZero"/>
        <c:auto val="1"/>
        <c:lblAlgn val="ctr"/>
        <c:lblOffset val="100"/>
      </c:catAx>
      <c:valAx>
        <c:axId val="284464640"/>
        <c:scaling>
          <c:orientation val="minMax"/>
          <c:max val="80"/>
          <c:min val="0"/>
        </c:scaling>
        <c:axPos val="l"/>
        <c:numFmt formatCode="General" sourceLinked="1"/>
        <c:maj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crossAx val="284463104"/>
        <c:crosses val="autoZero"/>
        <c:crossBetween val="between"/>
        <c:majorUnit val="20"/>
      </c:valAx>
    </c:plotArea>
    <c:legend>
      <c:legendPos val="b"/>
      <c:layout>
        <c:manualLayout>
          <c:xMode val="edge"/>
          <c:yMode val="edge"/>
          <c:x val="0.27611652913228335"/>
          <c:y val="0.73444479166666654"/>
          <c:w val="0.490886767619853"/>
          <c:h val="5.9710416666666731E-2"/>
        </c:manualLayout>
      </c:layout>
      <c:txPr>
        <a:bodyPr rot="0" spcFirstLastPara="0" vertOverflow="ellipsis" vert="horz" wrap="square" anchor="ctr" anchorCtr="1"/>
        <a:lstStyle/>
        <a:p>
          <a:pPr>
            <a:defRPr lang="zh-CN" sz="800" b="0" i="0" u="none" strike="noStrike" kern="1200" baseline="0">
              <a:solidFill>
                <a:schemeClr val="tx1"/>
              </a:solidFill>
              <a:latin typeface="微软雅黑" panose="020B0503020204020204" pitchFamily="34" charset="-122"/>
              <a:ea typeface="微软雅黑" panose="020B0503020204020204" pitchFamily="34" charset="-122"/>
              <a:cs typeface="+mn-cs"/>
            </a:defRPr>
          </a:pPr>
          <a:endParaRPr lang="zh-CN"/>
        </a:p>
      </c:txPr>
    </c:legend>
    <c:plotVisOnly val="1"/>
    <c:dispBlanksAs val="gap"/>
  </c:chart>
  <c:txPr>
    <a:bodyPr/>
    <a:lstStyle/>
    <a:p>
      <a:pPr>
        <a:defRPr lang="zh-CN"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sz="1200" b="1"/>
              <a:t>2013</a:t>
            </a:r>
            <a:r>
              <a:rPr lang="en-US" altLang="zh-CN" sz="1200" b="1"/>
              <a:t>-</a:t>
            </a:r>
            <a:r>
              <a:rPr lang="en-US" sz="1200" b="1"/>
              <a:t>2017</a:t>
            </a:r>
            <a:r>
              <a:rPr lang="zh-CN" sz="1200" b="1"/>
              <a:t>年</a:t>
            </a:r>
            <a:r>
              <a:rPr lang="zh-CN" altLang="en-US" sz="1200" b="1"/>
              <a:t>我国</a:t>
            </a:r>
            <a:r>
              <a:rPr lang="zh-CN" sz="1200" b="1"/>
              <a:t>网民</a:t>
            </a:r>
            <a:r>
              <a:rPr lang="zh-CN" altLang="en-US" sz="1200" b="1"/>
              <a:t>总体规模及渗透率</a:t>
            </a:r>
            <a:endParaRPr lang="zh-CN" sz="1200" b="1"/>
          </a:p>
        </c:rich>
      </c:tx>
      <c:spPr>
        <a:noFill/>
        <a:ln w="25400">
          <a:noFill/>
        </a:ln>
      </c:spPr>
    </c:title>
    <c:plotArea>
      <c:layout>
        <c:manualLayout>
          <c:layoutTarget val="inner"/>
          <c:xMode val="edge"/>
          <c:yMode val="edge"/>
          <c:x val="0.10063834099945428"/>
          <c:y val="0.19117849722878918"/>
          <c:w val="0.85274582261375864"/>
          <c:h val="0.45042091960727165"/>
        </c:manualLayout>
      </c:layout>
      <c:barChart>
        <c:barDir val="col"/>
        <c:grouping val="clustered"/>
        <c:ser>
          <c:idx val="1"/>
          <c:order val="0"/>
          <c:tx>
            <c:strRef>
              <c:f>'12--网络经济'!$B$11</c:f>
              <c:strCache>
                <c:ptCount val="1"/>
                <c:pt idx="0">
                  <c:v>网民规模（亿人）</c:v>
                </c:pt>
              </c:strCache>
            </c:strRef>
          </c:tx>
          <c:spPr>
            <a:solidFill>
              <a:srgbClr val="B2D234"/>
            </a:solidFill>
            <a:ln w="12700">
              <a:noFill/>
              <a:prstDash val="solid"/>
            </a:ln>
          </c:spPr>
          <c:dLbls>
            <c:dLbl>
              <c:idx val="4"/>
              <c:layout>
                <c:manualLayout>
                  <c:x val="-1.5841584158415859E-2"/>
                  <c:y val="0"/>
                </c:manualLayout>
              </c:layout>
              <c:showVal val="1"/>
            </c:dLbl>
            <c:numFmt formatCode="0.0_);[Red]\(0.0\)" sourceLinked="0"/>
            <c:showVal val="1"/>
          </c:dLbls>
          <c:cat>
            <c:numRef>
              <c:f>'12--网络经济'!$D$10:$H$10</c:f>
              <c:numCache>
                <c:formatCode>General</c:formatCode>
                <c:ptCount val="5"/>
                <c:pt idx="0">
                  <c:v>2013</c:v>
                </c:pt>
                <c:pt idx="1">
                  <c:v>2014</c:v>
                </c:pt>
                <c:pt idx="2">
                  <c:v>2015</c:v>
                </c:pt>
                <c:pt idx="3">
                  <c:v>2016</c:v>
                </c:pt>
                <c:pt idx="4">
                  <c:v>2017</c:v>
                </c:pt>
              </c:numCache>
            </c:numRef>
          </c:cat>
          <c:val>
            <c:numRef>
              <c:f>'12--网络经济'!$D$11:$H$11</c:f>
              <c:numCache>
                <c:formatCode>General</c:formatCode>
                <c:ptCount val="5"/>
                <c:pt idx="0">
                  <c:v>6.1757999999999997</c:v>
                </c:pt>
                <c:pt idx="1">
                  <c:v>6.4874999999999998</c:v>
                </c:pt>
                <c:pt idx="2">
                  <c:v>6.8826000000000001</c:v>
                </c:pt>
                <c:pt idx="3">
                  <c:v>7.3124999999999964</c:v>
                </c:pt>
                <c:pt idx="4">
                  <c:v>7.7198000000000002</c:v>
                </c:pt>
              </c:numCache>
            </c:numRef>
          </c:val>
          <c:extLst xmlns:c16r2="http://schemas.microsoft.com/office/drawing/2015/06/chart">
            <c:ext xmlns:c16="http://schemas.microsoft.com/office/drawing/2014/chart" uri="{C3380CC4-5D6E-409C-BE32-E72D297353CC}">
              <c16:uniqueId val="{00000000-949B-4F2E-A85A-6E46E4C2299B}"/>
            </c:ext>
          </c:extLst>
        </c:ser>
        <c:ser>
          <c:idx val="2"/>
          <c:order val="1"/>
          <c:tx>
            <c:strRef>
              <c:f>'12--网络经济'!$B$12</c:f>
              <c:strCache>
                <c:ptCount val="1"/>
                <c:pt idx="0">
                  <c:v>手机网民规模（亿人）</c:v>
                </c:pt>
              </c:strCache>
            </c:strRef>
          </c:tx>
          <c:spPr>
            <a:solidFill>
              <a:srgbClr val="FFF500"/>
            </a:solidFill>
            <a:ln>
              <a:solidFill>
                <a:srgbClr val="FFFF00"/>
              </a:solidFill>
            </a:ln>
          </c:spPr>
          <c:dLbls>
            <c:numFmt formatCode="0.0_);[Red]\(0.0\)" sourceLinked="0"/>
            <c:showVal val="1"/>
          </c:dLbls>
          <c:cat>
            <c:numRef>
              <c:f>'12--网络经济'!$D$10:$H$10</c:f>
              <c:numCache>
                <c:formatCode>General</c:formatCode>
                <c:ptCount val="5"/>
                <c:pt idx="0">
                  <c:v>2013</c:v>
                </c:pt>
                <c:pt idx="1">
                  <c:v>2014</c:v>
                </c:pt>
                <c:pt idx="2">
                  <c:v>2015</c:v>
                </c:pt>
                <c:pt idx="3">
                  <c:v>2016</c:v>
                </c:pt>
                <c:pt idx="4">
                  <c:v>2017</c:v>
                </c:pt>
              </c:numCache>
            </c:numRef>
          </c:cat>
          <c:val>
            <c:numRef>
              <c:f>'12--网络经济'!$D$12:$H$12</c:f>
              <c:numCache>
                <c:formatCode>General</c:formatCode>
                <c:ptCount val="5"/>
                <c:pt idx="0">
                  <c:v>5.0006000000000004</c:v>
                </c:pt>
                <c:pt idx="1">
                  <c:v>5.5677999999999965</c:v>
                </c:pt>
                <c:pt idx="2">
                  <c:v>6.1980999999999975</c:v>
                </c:pt>
                <c:pt idx="3">
                  <c:v>6.9531000000000001</c:v>
                </c:pt>
                <c:pt idx="4">
                  <c:v>7.5264999999999995</c:v>
                </c:pt>
              </c:numCache>
            </c:numRef>
          </c:val>
        </c:ser>
        <c:axId val="284593536"/>
        <c:axId val="284603520"/>
      </c:barChart>
      <c:lineChart>
        <c:grouping val="standard"/>
        <c:ser>
          <c:idx val="0"/>
          <c:order val="2"/>
          <c:tx>
            <c:strRef>
              <c:f>'12--网络经济'!$B$13</c:f>
              <c:strCache>
                <c:ptCount val="1"/>
                <c:pt idx="0">
                  <c:v>互联网普及率</c:v>
                </c:pt>
              </c:strCache>
            </c:strRef>
          </c:tx>
          <c:spPr>
            <a:ln w="25400">
              <a:solidFill>
                <a:srgbClr val="1EC8F3"/>
              </a:solidFill>
              <a:prstDash val="solid"/>
            </a:ln>
          </c:spPr>
          <c:marker>
            <c:symbol val="circle"/>
            <c:size val="5"/>
            <c:spPr>
              <a:solidFill>
                <a:srgbClr val="1EC8F3"/>
              </a:solidFill>
              <a:ln>
                <a:solidFill>
                  <a:srgbClr val="1EC8F3"/>
                </a:solidFill>
                <a:prstDash val="solid"/>
              </a:ln>
            </c:spPr>
          </c:marker>
          <c:dLbls>
            <c:numFmt formatCode="0.0%" sourceLinked="0"/>
            <c:dLblPos val="b"/>
            <c:showVal val="1"/>
          </c:dLbls>
          <c:cat>
            <c:numRef>
              <c:f>'12--网络经济'!$D$10:$H$10</c:f>
              <c:numCache>
                <c:formatCode>General</c:formatCode>
                <c:ptCount val="5"/>
                <c:pt idx="0">
                  <c:v>2013</c:v>
                </c:pt>
                <c:pt idx="1">
                  <c:v>2014</c:v>
                </c:pt>
                <c:pt idx="2">
                  <c:v>2015</c:v>
                </c:pt>
                <c:pt idx="3">
                  <c:v>2016</c:v>
                </c:pt>
                <c:pt idx="4">
                  <c:v>2017</c:v>
                </c:pt>
              </c:numCache>
            </c:numRef>
          </c:cat>
          <c:val>
            <c:numRef>
              <c:f>'12--网络经济'!$D$13:$H$13</c:f>
              <c:numCache>
                <c:formatCode>0.00%</c:formatCode>
                <c:ptCount val="5"/>
                <c:pt idx="0">
                  <c:v>0.45800000000000002</c:v>
                </c:pt>
                <c:pt idx="1">
                  <c:v>0.4790000000000002</c:v>
                </c:pt>
                <c:pt idx="2">
                  <c:v>0.503</c:v>
                </c:pt>
                <c:pt idx="3">
                  <c:v>0.53200000000000003</c:v>
                </c:pt>
                <c:pt idx="4">
                  <c:v>0.55800000000000005</c:v>
                </c:pt>
              </c:numCache>
            </c:numRef>
          </c:val>
          <c:extLst xmlns:c16r2="http://schemas.microsoft.com/office/drawing/2015/06/chart">
            <c:ext xmlns:c16="http://schemas.microsoft.com/office/drawing/2014/chart" uri="{C3380CC4-5D6E-409C-BE32-E72D297353CC}">
              <c16:uniqueId val="{00000001-949B-4F2E-A85A-6E46E4C2299B}"/>
            </c:ext>
          </c:extLst>
        </c:ser>
        <c:ser>
          <c:idx val="3"/>
          <c:order val="3"/>
          <c:tx>
            <c:strRef>
              <c:f>'12--网络经济'!$B$14</c:f>
              <c:strCache>
                <c:ptCount val="1"/>
                <c:pt idx="0">
                  <c:v>手机网民占比</c:v>
                </c:pt>
              </c:strCache>
            </c:strRef>
          </c:tx>
          <c:spPr>
            <a:ln>
              <a:solidFill>
                <a:srgbClr val="FFF500"/>
              </a:solidFill>
            </a:ln>
          </c:spPr>
          <c:marker>
            <c:symbol val="circle"/>
            <c:size val="5"/>
            <c:spPr>
              <a:solidFill>
                <a:srgbClr val="FFF500"/>
              </a:solidFill>
              <a:ln>
                <a:solidFill>
                  <a:srgbClr val="FFF500"/>
                </a:solidFill>
              </a:ln>
            </c:spPr>
          </c:marker>
          <c:dLbls>
            <c:numFmt formatCode="0.0%" sourceLinked="0"/>
            <c:dLblPos val="t"/>
            <c:showVal val="1"/>
          </c:dLbls>
          <c:cat>
            <c:numRef>
              <c:f>'12--网络经济'!$D$10:$H$10</c:f>
              <c:numCache>
                <c:formatCode>General</c:formatCode>
                <c:ptCount val="5"/>
                <c:pt idx="0">
                  <c:v>2013</c:v>
                </c:pt>
                <c:pt idx="1">
                  <c:v>2014</c:v>
                </c:pt>
                <c:pt idx="2">
                  <c:v>2015</c:v>
                </c:pt>
                <c:pt idx="3">
                  <c:v>2016</c:v>
                </c:pt>
                <c:pt idx="4">
                  <c:v>2017</c:v>
                </c:pt>
              </c:numCache>
            </c:numRef>
          </c:cat>
          <c:val>
            <c:numRef>
              <c:f>'12--网络经济'!$D$14:$H$14</c:f>
              <c:numCache>
                <c:formatCode>0.00%</c:formatCode>
                <c:ptCount val="5"/>
                <c:pt idx="0" formatCode="0%">
                  <c:v>0.81</c:v>
                </c:pt>
                <c:pt idx="1">
                  <c:v>0.85800000000000043</c:v>
                </c:pt>
                <c:pt idx="2">
                  <c:v>0.90100000000000002</c:v>
                </c:pt>
                <c:pt idx="3">
                  <c:v>0.9510000000000004</c:v>
                </c:pt>
                <c:pt idx="4">
                  <c:v>0.97500000000000042</c:v>
                </c:pt>
              </c:numCache>
            </c:numRef>
          </c:val>
        </c:ser>
        <c:dLbls>
          <c:showVal val="1"/>
        </c:dLbls>
        <c:marker val="1"/>
        <c:axId val="284605056"/>
        <c:axId val="284492160"/>
      </c:lineChart>
      <c:catAx>
        <c:axId val="2845935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4603520"/>
        <c:crosses val="autoZero"/>
        <c:lblAlgn val="ctr"/>
        <c:lblOffset val="100"/>
        <c:tickLblSkip val="1"/>
        <c:tickMarkSkip val="1"/>
      </c:catAx>
      <c:valAx>
        <c:axId val="284603520"/>
        <c:scaling>
          <c:orientation val="minMax"/>
          <c:max val="2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4593536"/>
        <c:crosses val="autoZero"/>
        <c:crossBetween val="between"/>
        <c:majorUnit val="5"/>
      </c:valAx>
      <c:catAx>
        <c:axId val="284605056"/>
        <c:scaling>
          <c:orientation val="minMax"/>
        </c:scaling>
        <c:delete val="1"/>
        <c:axPos val="b"/>
        <c:numFmt formatCode="General" sourceLinked="1"/>
        <c:tickLblPos val="none"/>
        <c:crossAx val="284492160"/>
        <c:crosses val="autoZero"/>
        <c:lblAlgn val="ctr"/>
        <c:lblOffset val="100"/>
      </c:catAx>
      <c:valAx>
        <c:axId val="284492160"/>
        <c:scaling>
          <c:orientation val="minMax"/>
          <c:max val="1.2"/>
          <c:min val="-3"/>
        </c:scaling>
        <c:axPos val="r"/>
        <c:numFmt formatCode="0.00%" sourceLinked="1"/>
        <c:majorTickMark val="none"/>
        <c:tickLblPos val="none"/>
        <c:spPr>
          <a:ln w="3175">
            <a:noFill/>
            <a:prstDash val="solid"/>
          </a:ln>
        </c:spPr>
        <c:crossAx val="284605056"/>
        <c:crosses val="max"/>
        <c:crossBetween val="between"/>
        <c:majorUnit val="0.29000000000000031"/>
        <c:minorUnit val="0.29000000000000031"/>
      </c:valAx>
      <c:spPr>
        <a:noFill/>
        <a:ln w="12700">
          <a:noFill/>
          <a:prstDash val="solid"/>
        </a:ln>
      </c:spPr>
    </c:plotArea>
    <c:legend>
      <c:legendPos val="r"/>
      <c:layout>
        <c:manualLayout>
          <c:xMode val="edge"/>
          <c:yMode val="edge"/>
          <c:x val="9.6405810659806163E-2"/>
          <c:y val="0.71886527502107789"/>
          <c:w val="0.83696369636963741"/>
          <c:h val="0.10915750313444185"/>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sz="1200" b="1"/>
              <a:t>2013</a:t>
            </a:r>
            <a:r>
              <a:rPr lang="en-US" altLang="zh-CN" sz="1200" b="1"/>
              <a:t>-</a:t>
            </a:r>
            <a:r>
              <a:rPr lang="en-US" sz="1200" b="1"/>
              <a:t>2017</a:t>
            </a:r>
            <a:r>
              <a:rPr lang="zh-CN" sz="1200" b="1"/>
              <a:t>年</a:t>
            </a:r>
            <a:r>
              <a:rPr lang="zh-CN" altLang="en-US" sz="1200" b="1"/>
              <a:t>我国</a:t>
            </a:r>
            <a:r>
              <a:rPr lang="en-US" altLang="zh-CN" sz="1200" b="1"/>
              <a:t>PC</a:t>
            </a:r>
            <a:r>
              <a:rPr lang="zh-CN" altLang="en-US" sz="1200" b="1"/>
              <a:t>和移动网络经济市场营收规模</a:t>
            </a:r>
            <a:endParaRPr lang="zh-CN" sz="1200" b="1"/>
          </a:p>
        </c:rich>
      </c:tx>
      <c:layout>
        <c:manualLayout>
          <c:xMode val="edge"/>
          <c:yMode val="edge"/>
          <c:x val="0.13774901899638795"/>
          <c:y val="2.0882576613980641E-2"/>
        </c:manualLayout>
      </c:layout>
      <c:spPr>
        <a:noFill/>
        <a:ln w="25400">
          <a:noFill/>
        </a:ln>
      </c:spPr>
    </c:title>
    <c:plotArea>
      <c:layout>
        <c:manualLayout>
          <c:layoutTarget val="inner"/>
          <c:xMode val="edge"/>
          <c:yMode val="edge"/>
          <c:x val="0.1296812452898832"/>
          <c:y val="0.19117849722878918"/>
          <c:w val="0.82370291832332865"/>
          <c:h val="0.45149078587398822"/>
        </c:manualLayout>
      </c:layout>
      <c:barChart>
        <c:barDir val="col"/>
        <c:grouping val="clustered"/>
        <c:ser>
          <c:idx val="1"/>
          <c:order val="0"/>
          <c:tx>
            <c:strRef>
              <c:f>'12--网络经济'!$A$33</c:f>
              <c:strCache>
                <c:ptCount val="1"/>
                <c:pt idx="0">
                  <c:v>PC网络经济市场营收规模（亿元）</c:v>
                </c:pt>
              </c:strCache>
            </c:strRef>
          </c:tx>
          <c:spPr>
            <a:solidFill>
              <a:srgbClr val="B2D234"/>
            </a:solidFill>
            <a:ln w="12700">
              <a:noFill/>
              <a:prstDash val="solid"/>
            </a:ln>
          </c:spPr>
          <c:dLbls>
            <c:dLbl>
              <c:idx val="3"/>
              <c:layout>
                <c:manualLayout>
                  <c:x val="-2.376237623762378E-2"/>
                  <c:y val="0"/>
                </c:manualLayout>
              </c:layout>
              <c:showVal val="1"/>
            </c:dLbl>
            <c:dLbl>
              <c:idx val="4"/>
              <c:layout>
                <c:manualLayout>
                  <c:x val="-1.5841584158415859E-2"/>
                  <c:y val="0"/>
                </c:manualLayout>
              </c:layout>
              <c:showVal val="1"/>
            </c:dLbl>
            <c:numFmt formatCode="0.0_);[Red]\(0.0\)" sourceLinked="0"/>
            <c:showVal val="1"/>
          </c:dLbls>
          <c:cat>
            <c:strRef>
              <c:f>'12--网络经济'!$B$32:$F$32</c:f>
              <c:strCache>
                <c:ptCount val="5"/>
                <c:pt idx="0">
                  <c:v>2013</c:v>
                </c:pt>
                <c:pt idx="1">
                  <c:v>2014</c:v>
                </c:pt>
                <c:pt idx="2">
                  <c:v>2015</c:v>
                </c:pt>
                <c:pt idx="3">
                  <c:v>2016</c:v>
                </c:pt>
                <c:pt idx="4">
                  <c:v>2017e</c:v>
                </c:pt>
              </c:strCache>
            </c:strRef>
          </c:cat>
          <c:val>
            <c:numRef>
              <c:f>'12--网络经济'!$B$33:$F$33</c:f>
              <c:numCache>
                <c:formatCode>General</c:formatCode>
                <c:ptCount val="5"/>
                <c:pt idx="0">
                  <c:v>4606</c:v>
                </c:pt>
                <c:pt idx="1">
                  <c:v>5854.1</c:v>
                </c:pt>
                <c:pt idx="2">
                  <c:v>6941.7</c:v>
                </c:pt>
                <c:pt idx="3">
                  <c:v>6799.5</c:v>
                </c:pt>
                <c:pt idx="4">
                  <c:v>7946.1</c:v>
                </c:pt>
              </c:numCache>
            </c:numRef>
          </c:val>
          <c:extLst xmlns:c16r2="http://schemas.microsoft.com/office/drawing/2015/06/chart">
            <c:ext xmlns:c16="http://schemas.microsoft.com/office/drawing/2014/chart" uri="{C3380CC4-5D6E-409C-BE32-E72D297353CC}">
              <c16:uniqueId val="{00000000-949B-4F2E-A85A-6E46E4C2299B}"/>
            </c:ext>
          </c:extLst>
        </c:ser>
        <c:ser>
          <c:idx val="2"/>
          <c:order val="1"/>
          <c:tx>
            <c:strRef>
              <c:f>'12--网络经济'!$A$34</c:f>
              <c:strCache>
                <c:ptCount val="1"/>
                <c:pt idx="0">
                  <c:v>移动网络经济市场营收规模（亿元）</c:v>
                </c:pt>
              </c:strCache>
            </c:strRef>
          </c:tx>
          <c:spPr>
            <a:solidFill>
              <a:srgbClr val="FFF500"/>
            </a:solidFill>
            <a:ln>
              <a:solidFill>
                <a:srgbClr val="FFFF00"/>
              </a:solidFill>
            </a:ln>
          </c:spPr>
          <c:dLbls>
            <c:dLbl>
              <c:idx val="2"/>
              <c:layout>
                <c:manualLayout>
                  <c:x val="2.1122112211221143E-2"/>
                  <c:y val="0"/>
                </c:manualLayout>
              </c:layout>
              <c:showVal val="1"/>
            </c:dLbl>
            <c:dLbl>
              <c:idx val="4"/>
              <c:layout>
                <c:manualLayout>
                  <c:x val="1.3201320132013311E-2"/>
                  <c:y val="0"/>
                </c:manualLayout>
              </c:layout>
              <c:showVal val="1"/>
            </c:dLbl>
            <c:numFmt formatCode="0.0_);[Red]\(0.0\)" sourceLinked="0"/>
            <c:showVal val="1"/>
          </c:dLbls>
          <c:cat>
            <c:strRef>
              <c:f>'12--网络经济'!$B$32:$F$32</c:f>
              <c:strCache>
                <c:ptCount val="5"/>
                <c:pt idx="0">
                  <c:v>2013</c:v>
                </c:pt>
                <c:pt idx="1">
                  <c:v>2014</c:v>
                </c:pt>
                <c:pt idx="2">
                  <c:v>2015</c:v>
                </c:pt>
                <c:pt idx="3">
                  <c:v>2016</c:v>
                </c:pt>
                <c:pt idx="4">
                  <c:v>2017e</c:v>
                </c:pt>
              </c:strCache>
            </c:strRef>
          </c:cat>
          <c:val>
            <c:numRef>
              <c:f>'12--网络经济'!$B$34:$F$34</c:f>
              <c:numCache>
                <c:formatCode>General</c:formatCode>
                <c:ptCount val="5"/>
                <c:pt idx="0">
                  <c:v>670.5</c:v>
                </c:pt>
                <c:pt idx="1">
                  <c:v>1767.8</c:v>
                </c:pt>
                <c:pt idx="2">
                  <c:v>4503.2</c:v>
                </c:pt>
                <c:pt idx="3">
                  <c:v>7907.4</c:v>
                </c:pt>
                <c:pt idx="4">
                  <c:v>10487.8</c:v>
                </c:pt>
              </c:numCache>
            </c:numRef>
          </c:val>
        </c:ser>
        <c:axId val="284534656"/>
        <c:axId val="284536192"/>
      </c:barChart>
      <c:lineChart>
        <c:grouping val="standard"/>
        <c:ser>
          <c:idx val="0"/>
          <c:order val="2"/>
          <c:tx>
            <c:strRef>
              <c:f>'12--网络经济'!$A$35</c:f>
              <c:strCache>
                <c:ptCount val="1"/>
                <c:pt idx="0">
                  <c:v>PC网络经济年增长率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4"/>
              <c:layout>
                <c:manualLayout>
                  <c:x val="-1.4531846885475948E-4"/>
                  <c:y val="3.4382685770836023E-2"/>
                </c:manualLayout>
              </c:layout>
              <c:dLblPos val="r"/>
              <c:showVal val="1"/>
            </c:dLbl>
            <c:numFmt formatCode="0.0%" sourceLinked="0"/>
            <c:dLblPos val="b"/>
            <c:showVal val="1"/>
          </c:dLbls>
          <c:cat>
            <c:strRef>
              <c:f>'12--网络经济'!$B$32:$F$32</c:f>
              <c:strCache>
                <c:ptCount val="5"/>
                <c:pt idx="0">
                  <c:v>2013</c:v>
                </c:pt>
                <c:pt idx="1">
                  <c:v>2014</c:v>
                </c:pt>
                <c:pt idx="2">
                  <c:v>2015</c:v>
                </c:pt>
                <c:pt idx="3">
                  <c:v>2016</c:v>
                </c:pt>
                <c:pt idx="4">
                  <c:v>2017e</c:v>
                </c:pt>
              </c:strCache>
            </c:strRef>
          </c:cat>
          <c:val>
            <c:numRef>
              <c:f>'12--网络经济'!$B$35:$F$35</c:f>
              <c:numCache>
                <c:formatCode>0.00%</c:formatCode>
                <c:ptCount val="5"/>
                <c:pt idx="0">
                  <c:v>0.49700000000000022</c:v>
                </c:pt>
                <c:pt idx="1">
                  <c:v>0.18600000000000011</c:v>
                </c:pt>
                <c:pt idx="2">
                  <c:v>0.18600000000000011</c:v>
                </c:pt>
                <c:pt idx="3">
                  <c:v>-2.0000000000000011E-2</c:v>
                </c:pt>
                <c:pt idx="4">
                  <c:v>0.16900000000000001</c:v>
                </c:pt>
              </c:numCache>
            </c:numRef>
          </c:val>
          <c:extLst xmlns:c16r2="http://schemas.microsoft.com/office/drawing/2015/06/chart">
            <c:ext xmlns:c16="http://schemas.microsoft.com/office/drawing/2014/chart" uri="{C3380CC4-5D6E-409C-BE32-E72D297353CC}">
              <c16:uniqueId val="{00000001-949B-4F2E-A85A-6E46E4C2299B}"/>
            </c:ext>
          </c:extLst>
        </c:ser>
        <c:ser>
          <c:idx val="3"/>
          <c:order val="3"/>
          <c:tx>
            <c:strRef>
              <c:f>'12--网络经济'!$A$36</c:f>
              <c:strCache>
                <c:ptCount val="1"/>
                <c:pt idx="0">
                  <c:v>移动网络经济年增长率</c:v>
                </c:pt>
              </c:strCache>
            </c:strRef>
          </c:tx>
          <c:spPr>
            <a:ln>
              <a:solidFill>
                <a:srgbClr val="FFF500"/>
              </a:solidFill>
            </a:ln>
          </c:spPr>
          <c:marker>
            <c:symbol val="circle"/>
            <c:size val="5"/>
            <c:spPr>
              <a:solidFill>
                <a:srgbClr val="FFF500"/>
              </a:solidFill>
              <a:ln>
                <a:solidFill>
                  <a:srgbClr val="FFF500"/>
                </a:solidFill>
              </a:ln>
            </c:spPr>
          </c:marker>
          <c:dLbls>
            <c:numFmt formatCode="0.0%" sourceLinked="0"/>
            <c:dLblPos val="t"/>
            <c:showVal val="1"/>
          </c:dLbls>
          <c:cat>
            <c:strRef>
              <c:f>'12--网络经济'!$B$32:$F$32</c:f>
              <c:strCache>
                <c:ptCount val="5"/>
                <c:pt idx="0">
                  <c:v>2013</c:v>
                </c:pt>
                <c:pt idx="1">
                  <c:v>2014</c:v>
                </c:pt>
                <c:pt idx="2">
                  <c:v>2015</c:v>
                </c:pt>
                <c:pt idx="3">
                  <c:v>2016</c:v>
                </c:pt>
                <c:pt idx="4">
                  <c:v>2017e</c:v>
                </c:pt>
              </c:strCache>
            </c:strRef>
          </c:cat>
          <c:val>
            <c:numRef>
              <c:f>'12--网络经济'!$B$36:$F$36</c:f>
              <c:numCache>
                <c:formatCode>0.00%</c:formatCode>
                <c:ptCount val="5"/>
                <c:pt idx="0" formatCode="0%">
                  <c:v>1.637</c:v>
                </c:pt>
                <c:pt idx="1">
                  <c:v>1.546999999999999</c:v>
                </c:pt>
                <c:pt idx="2">
                  <c:v>1.546999999999999</c:v>
                </c:pt>
                <c:pt idx="3">
                  <c:v>0.75600000000000045</c:v>
                </c:pt>
                <c:pt idx="4">
                  <c:v>0.32600000000000023</c:v>
                </c:pt>
              </c:numCache>
            </c:numRef>
          </c:val>
        </c:ser>
        <c:dLbls>
          <c:showVal val="1"/>
        </c:dLbls>
        <c:marker val="1"/>
        <c:axId val="284632192"/>
        <c:axId val="284633728"/>
      </c:lineChart>
      <c:catAx>
        <c:axId val="28453465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4536192"/>
        <c:crosses val="autoZero"/>
        <c:lblAlgn val="ctr"/>
        <c:lblOffset val="100"/>
        <c:tickLblSkip val="1"/>
        <c:tickMarkSkip val="1"/>
      </c:catAx>
      <c:valAx>
        <c:axId val="284536192"/>
        <c:scaling>
          <c:orientation val="minMax"/>
          <c:max val="2000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4534656"/>
        <c:crosses val="autoZero"/>
        <c:crossBetween val="between"/>
        <c:majorUnit val="5000"/>
      </c:valAx>
      <c:catAx>
        <c:axId val="284632192"/>
        <c:scaling>
          <c:orientation val="minMax"/>
        </c:scaling>
        <c:delete val="1"/>
        <c:axPos val="b"/>
        <c:numFmt formatCode="General" sourceLinked="1"/>
        <c:tickLblPos val="none"/>
        <c:crossAx val="284633728"/>
        <c:crosses val="autoZero"/>
        <c:lblAlgn val="ctr"/>
        <c:lblOffset val="100"/>
      </c:catAx>
      <c:valAx>
        <c:axId val="284633728"/>
        <c:scaling>
          <c:orientation val="minMax"/>
          <c:max val="2.2000000000000002"/>
          <c:min val="-12"/>
        </c:scaling>
        <c:axPos val="r"/>
        <c:numFmt formatCode="0.00%" sourceLinked="1"/>
        <c:majorTickMark val="none"/>
        <c:tickLblPos val="none"/>
        <c:spPr>
          <a:ln w="3175">
            <a:noFill/>
            <a:prstDash val="solid"/>
          </a:ln>
        </c:spPr>
        <c:crossAx val="284632192"/>
        <c:crosses val="max"/>
        <c:crossBetween val="between"/>
        <c:majorUnit val="0.29000000000000031"/>
        <c:minorUnit val="0.29000000000000031"/>
      </c:valAx>
      <c:spPr>
        <a:noFill/>
        <a:ln w="12700">
          <a:noFill/>
          <a:prstDash val="solid"/>
        </a:ln>
      </c:spPr>
    </c:plotArea>
    <c:legend>
      <c:legendPos val="r"/>
      <c:layout>
        <c:manualLayout>
          <c:xMode val="edge"/>
          <c:yMode val="edge"/>
          <c:x val="9.1125282607000854E-2"/>
          <c:y val="0.72680373852545244"/>
          <c:w val="0.83696369636963741"/>
          <c:h val="0.10915750313444185"/>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pPr>
            <a:r>
              <a:rPr lang="en-US" sz="1200"/>
              <a:t>2018</a:t>
            </a:r>
            <a:r>
              <a:rPr lang="zh-CN" sz="1200"/>
              <a:t>年</a:t>
            </a:r>
            <a:r>
              <a:rPr lang="en-US" altLang="zh-CN" sz="1200"/>
              <a:t>6</a:t>
            </a:r>
            <a:r>
              <a:rPr lang="zh-CN" altLang="en-US" sz="1200"/>
              <a:t>月全国新媒体用户</a:t>
            </a:r>
            <a:r>
              <a:rPr lang="zh-CN" sz="1200"/>
              <a:t>性别分布</a:t>
            </a:r>
          </a:p>
        </c:rich>
      </c:tx>
    </c:title>
    <c:plotArea>
      <c:layout>
        <c:manualLayout>
          <c:layoutTarget val="inner"/>
          <c:xMode val="edge"/>
          <c:yMode val="edge"/>
          <c:x val="0.34178114519418906"/>
          <c:y val="0.19296797115802627"/>
          <c:w val="0.32064730356025301"/>
          <c:h val="0.50406448259969983"/>
        </c:manualLayout>
      </c:layout>
      <c:pieChart>
        <c:varyColors val="1"/>
        <c:ser>
          <c:idx val="0"/>
          <c:order val="0"/>
          <c:tx>
            <c:strRef>
              <c:f>新媒体!$B$14</c:f>
              <c:strCache>
                <c:ptCount val="1"/>
                <c:pt idx="0">
                  <c:v>全国</c:v>
                </c:pt>
              </c:strCache>
            </c:strRef>
          </c:tx>
          <c:dPt>
            <c:idx val="0"/>
            <c:spPr>
              <a:solidFill>
                <a:srgbClr val="B2D234"/>
              </a:solidFill>
            </c:spPr>
            <c:extLst xmlns:c16r2="http://schemas.microsoft.com/office/drawing/2015/06/chart">
              <c:ext xmlns:c16="http://schemas.microsoft.com/office/drawing/2014/chart" uri="{C3380CC4-5D6E-409C-BE32-E72D297353CC}">
                <c16:uniqueId val="{00000001-24AB-4C9D-B7B6-93BF78D23BB9}"/>
              </c:ext>
            </c:extLst>
          </c:dPt>
          <c:dPt>
            <c:idx val="1"/>
            <c:spPr>
              <a:solidFill>
                <a:srgbClr val="FFFF00"/>
              </a:solidFill>
            </c:spPr>
            <c:extLst xmlns:c16r2="http://schemas.microsoft.com/office/drawing/2015/06/chart">
              <c:ext xmlns:c16="http://schemas.microsoft.com/office/drawing/2014/chart" uri="{C3380CC4-5D6E-409C-BE32-E72D297353CC}">
                <c16:uniqueId val="{00000003-24AB-4C9D-B7B6-93BF78D23BB9}"/>
              </c:ext>
            </c:extLst>
          </c:dPt>
          <c:dLbls>
            <c:dLbl>
              <c:idx val="0"/>
              <c:layout>
                <c:manualLayout>
                  <c:x val="7.5605930118110301E-2"/>
                  <c:y val="9.0604001602603512E-2"/>
                </c:manualLayout>
              </c:layout>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4AB-4C9D-B7B6-93BF78D23BB9}"/>
                </c:ext>
              </c:extLst>
            </c:dLbl>
            <c:dLbl>
              <c:idx val="1"/>
              <c:layout>
                <c:manualLayout>
                  <c:x val="-7.3689509514435717E-2"/>
                  <c:y val="-0.12833157537550779"/>
                </c:manualLayout>
              </c:layout>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4AB-4C9D-B7B6-93BF78D23BB9}"/>
                </c:ext>
              </c:extLst>
            </c:dLbl>
            <c:dLbl>
              <c:idx val="2"/>
              <c:layout>
                <c:manualLayout>
                  <c:x val="0.15577557755775578"/>
                  <c:y val="-9.1337168180543066E-3"/>
                </c:manualLayout>
              </c:layout>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AB-4C9D-B7B6-93BF78D23BB9}"/>
                </c:ext>
              </c:extLst>
            </c:dLbl>
            <c:dLbl>
              <c:idx val="3"/>
              <c:layout>
                <c:manualLayout>
                  <c:x val="-1.8481848184818506E-2"/>
                  <c:y val="1.0165182887915123E-2"/>
                </c:manualLayout>
              </c:layout>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AB-4C9D-B7B6-93BF78D23BB9}"/>
                </c:ext>
              </c:extLst>
            </c:dLbl>
            <c:numFmt formatCode="0.0%" sourceLinked="0"/>
            <c:spPr>
              <a:noFill/>
              <a:ln>
                <a:noFill/>
              </a:ln>
              <a:effectLst/>
            </c:spPr>
            <c:txPr>
              <a:bodyPr/>
              <a:lstStyle/>
              <a:p>
                <a:pPr>
                  <a:defRPr sz="800">
                    <a:solidFill>
                      <a:sysClr val="windowText" lastClr="000000"/>
                    </a:solidFill>
                  </a:defRPr>
                </a:pPr>
                <a:endParaRPr lang="zh-CN"/>
              </a:p>
            </c:txPr>
            <c:showCatName val="1"/>
            <c:showPercent val="1"/>
            <c:separator>
</c:separator>
            <c:showLeaderLines val="1"/>
            <c:extLst xmlns:c16r2="http://schemas.microsoft.com/office/drawing/2015/06/chart">
              <c:ext xmlns:c15="http://schemas.microsoft.com/office/drawing/2012/chart" uri="{CE6537A1-D6FC-4f65-9D91-7224C49458BB}"/>
            </c:extLst>
          </c:dLbls>
          <c:cat>
            <c:strRef>
              <c:f>新媒体!$A$15:$A$16</c:f>
              <c:strCache>
                <c:ptCount val="2"/>
                <c:pt idx="0">
                  <c:v>男性</c:v>
                </c:pt>
                <c:pt idx="1">
                  <c:v>女性</c:v>
                </c:pt>
              </c:strCache>
            </c:strRef>
          </c:cat>
          <c:val>
            <c:numRef>
              <c:f>新媒体!$B$15:$B$16</c:f>
              <c:numCache>
                <c:formatCode>0.0%</c:formatCode>
                <c:ptCount val="2"/>
                <c:pt idx="0">
                  <c:v>0.60200000000000042</c:v>
                </c:pt>
                <c:pt idx="1">
                  <c:v>0.39800000000000035</c:v>
                </c:pt>
              </c:numCache>
            </c:numRef>
          </c:val>
          <c:extLst xmlns:c16r2="http://schemas.microsoft.com/office/drawing/2015/06/chart">
            <c:ext xmlns:c16="http://schemas.microsoft.com/office/drawing/2014/chart" uri="{C3380CC4-5D6E-409C-BE32-E72D297353CC}">
              <c16:uniqueId val="{00000006-24AB-4C9D-B7B6-93BF78D23BB9}"/>
            </c:ext>
          </c:extLst>
        </c:ser>
        <c:firstSliceAng val="0"/>
      </c:pieChart>
    </c:plotArea>
    <c:plotVisOnly val="1"/>
    <c:dispBlanksAs val="zero"/>
  </c:chart>
  <c:txPr>
    <a:bodyPr/>
    <a:lstStyle/>
    <a:p>
      <a:pPr>
        <a:defRPr>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2013-2017</a:t>
            </a:r>
            <a:r>
              <a:rPr lang="zh-CN" altLang="en-US" sz="1200" b="1"/>
              <a:t>年陕西省网民人均月度访问天数对比</a:t>
            </a:r>
          </a:p>
        </c:rich>
      </c:tx>
      <c:spPr>
        <a:noFill/>
        <a:ln w="25400">
          <a:noFill/>
        </a:ln>
      </c:spPr>
    </c:title>
    <c:plotArea>
      <c:layout>
        <c:manualLayout>
          <c:layoutTarget val="inner"/>
          <c:xMode val="edge"/>
          <c:yMode val="edge"/>
          <c:x val="0.10063840822292425"/>
          <c:y val="0.19021284722222234"/>
          <c:w val="0.8527457421115785"/>
          <c:h val="0.39295142205584993"/>
        </c:manualLayout>
      </c:layout>
      <c:barChart>
        <c:barDir val="col"/>
        <c:grouping val="clustered"/>
        <c:ser>
          <c:idx val="0"/>
          <c:order val="0"/>
          <c:tx>
            <c:strRef>
              <c:f>对比分析数据处理2017!$A$73</c:f>
              <c:strCache>
                <c:ptCount val="1"/>
                <c:pt idx="0">
                  <c:v>人均月度访问天数(天)</c:v>
                </c:pt>
              </c:strCache>
            </c:strRef>
          </c:tx>
          <c:spPr>
            <a:solidFill>
              <a:srgbClr val="B2D234"/>
            </a:solidFill>
            <a:ln>
              <a:solidFill>
                <a:srgbClr val="B2D234"/>
              </a:solidFill>
            </a:ln>
          </c:spPr>
          <c:dLbls>
            <c:numFmt formatCode="0.0_);[Red]\(0.0\)" sourceLinked="0"/>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对比分析数据处理2017!$C$73:$G$73</c:f>
              <c:numCache>
                <c:formatCode>0.00</c:formatCode>
                <c:ptCount val="5"/>
                <c:pt idx="0">
                  <c:v>15.2</c:v>
                </c:pt>
                <c:pt idx="1">
                  <c:v>15.19</c:v>
                </c:pt>
                <c:pt idx="2">
                  <c:v>14.55</c:v>
                </c:pt>
                <c:pt idx="3">
                  <c:v>13.11</c:v>
                </c:pt>
                <c:pt idx="4">
                  <c:v>13.23</c:v>
                </c:pt>
              </c:numCache>
            </c:numRef>
          </c:val>
        </c:ser>
        <c:dLbls>
          <c:showVal val="1"/>
        </c:dLbls>
        <c:gapWidth val="60"/>
        <c:axId val="284673536"/>
        <c:axId val="284675072"/>
      </c:barChart>
      <c:lineChart>
        <c:grouping val="standard"/>
        <c:ser>
          <c:idx val="1"/>
          <c:order val="1"/>
          <c:tx>
            <c:strRef>
              <c:f>对比分析数据处理2017!$A$74</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对比分析数据处理2017!$C$74:$G$74</c:f>
              <c:numCache>
                <c:formatCode>0.00%</c:formatCode>
                <c:ptCount val="5"/>
                <c:pt idx="0">
                  <c:v>-8.1015719467956493E-2</c:v>
                </c:pt>
                <c:pt idx="1">
                  <c:v>-6.5789473684207999E-4</c:v>
                </c:pt>
                <c:pt idx="2">
                  <c:v>-4.2132982225148122E-2</c:v>
                </c:pt>
                <c:pt idx="3">
                  <c:v>-9.8969072164948615E-2</c:v>
                </c:pt>
                <c:pt idx="4">
                  <c:v>9.1533180778031742E-3</c:v>
                </c:pt>
              </c:numCache>
            </c:numRef>
          </c:val>
        </c:ser>
        <c:marker val="1"/>
        <c:axId val="284694784"/>
        <c:axId val="284693248"/>
      </c:lineChart>
      <c:catAx>
        <c:axId val="2846735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4675072"/>
        <c:crosses val="autoZero"/>
        <c:lblAlgn val="ctr"/>
        <c:lblOffset val="100"/>
        <c:tickLblSkip val="1"/>
        <c:tickMarkSkip val="1"/>
      </c:catAx>
      <c:valAx>
        <c:axId val="284675072"/>
        <c:scaling>
          <c:orientation val="minMax"/>
          <c:max val="3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4673536"/>
        <c:crosses val="autoZero"/>
        <c:crossBetween val="between"/>
        <c:majorUnit val="10"/>
        <c:minorUnit val="1"/>
      </c:valAx>
      <c:valAx>
        <c:axId val="284693248"/>
        <c:scaling>
          <c:orientation val="minMax"/>
          <c:max val="0.1"/>
          <c:min val="-1"/>
        </c:scaling>
        <c:axPos val="r"/>
        <c:numFmt formatCode="0.00%" sourceLinked="1"/>
        <c:majorTickMark val="none"/>
        <c:tickLblPos val="none"/>
        <c:spPr>
          <a:solidFill>
            <a:schemeClr val="bg1"/>
          </a:solidFill>
          <a:ln>
            <a:solidFill>
              <a:schemeClr val="bg1"/>
            </a:solidFill>
          </a:ln>
        </c:spPr>
        <c:crossAx val="284694784"/>
        <c:crosses val="max"/>
        <c:crossBetween val="between"/>
      </c:valAx>
      <c:catAx>
        <c:axId val="284694784"/>
        <c:scaling>
          <c:orientation val="minMax"/>
        </c:scaling>
        <c:delete val="1"/>
        <c:axPos val="b"/>
        <c:numFmt formatCode="General" sourceLinked="1"/>
        <c:tickLblPos val="none"/>
        <c:crossAx val="284693248"/>
        <c:crosses val="autoZero"/>
        <c:auto val="1"/>
        <c:lblAlgn val="ctr"/>
        <c:lblOffset val="100"/>
      </c:catAx>
      <c:spPr>
        <a:noFill/>
        <a:ln w="12700">
          <a:noFill/>
          <a:prstDash val="solid"/>
        </a:ln>
      </c:spPr>
    </c:plotArea>
    <c:legend>
      <c:legendPos val="r"/>
      <c:layout>
        <c:manualLayout>
          <c:xMode val="edge"/>
          <c:yMode val="edge"/>
          <c:x val="0.1096493334372808"/>
          <c:y val="0.68096780074486252"/>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2013-2017</a:t>
            </a:r>
            <a:r>
              <a:rPr lang="zh-CN" altLang="en-US" sz="1200" b="1"/>
              <a:t>年陕西省与四川省、安徽省</a:t>
            </a:r>
            <a:endParaRPr lang="en-US" altLang="zh-CN" sz="1200" b="1"/>
          </a:p>
          <a:p>
            <a:pPr>
              <a:defRPr sz="1200" b="1"/>
            </a:pPr>
            <a:r>
              <a:rPr lang="zh-CN" altLang="en-US" sz="1200" b="1"/>
              <a:t>网民人均月度访问天数对比（天）</a:t>
            </a:r>
          </a:p>
        </c:rich>
      </c:tx>
      <c:spPr>
        <a:noFill/>
        <a:ln w="25400">
          <a:noFill/>
        </a:ln>
      </c:spPr>
    </c:title>
    <c:plotArea>
      <c:layout>
        <c:manualLayout>
          <c:layoutTarget val="inner"/>
          <c:xMode val="edge"/>
          <c:yMode val="edge"/>
          <c:x val="0.10063840822292425"/>
          <c:y val="0.26517812500000021"/>
          <c:w val="0.8527457421115785"/>
          <c:h val="0.35733055555555576"/>
        </c:manualLayout>
      </c:layout>
      <c:lineChart>
        <c:grouping val="standard"/>
        <c:ser>
          <c:idx val="0"/>
          <c:order val="0"/>
          <c:tx>
            <c:strRef>
              <c:f>对比分析数据处理2017!$A$125</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0"/>
              <c:layout>
                <c:manualLayout>
                  <c:x val="-5.2811044577511434E-3"/>
                  <c:y val="4.4097222222221899E-3"/>
                </c:manualLayout>
              </c:layout>
              <c:showVal val="1"/>
            </c:dLbl>
            <c:dLbl>
              <c:idx val="3"/>
              <c:layout>
                <c:manualLayout>
                  <c:x val="-5.2811044577511703E-3"/>
                  <c:y val="-2.204861111111114E-2"/>
                </c:manualLayout>
              </c:layout>
              <c:showVal val="1"/>
            </c:dLbl>
            <c:dLbl>
              <c:idx val="4"/>
              <c:layout>
                <c:manualLayout>
                  <c:x val="0"/>
                  <c:y val="0"/>
                </c:manualLayout>
              </c:layout>
              <c:showVal val="1"/>
            </c:dLbl>
            <c:numFmt formatCode="0.0_);[Red]\(0.0\)" sourceLinked="0"/>
            <c:showVal val="1"/>
          </c:dLbls>
          <c:cat>
            <c:strRef>
              <c:f>对比分析数据处理2017!$B$124:$F$124</c:f>
              <c:strCache>
                <c:ptCount val="5"/>
                <c:pt idx="0">
                  <c:v> 2013-12</c:v>
                </c:pt>
                <c:pt idx="1">
                  <c:v> 2014-12</c:v>
                </c:pt>
                <c:pt idx="2">
                  <c:v> 2015-12</c:v>
                </c:pt>
                <c:pt idx="3">
                  <c:v> 2016-12</c:v>
                </c:pt>
                <c:pt idx="4">
                  <c:v> 2017-12</c:v>
                </c:pt>
              </c:strCache>
            </c:strRef>
          </c:cat>
          <c:val>
            <c:numRef>
              <c:f>对比分析数据处理2017!$B$125:$F$125</c:f>
              <c:numCache>
                <c:formatCode>0.00</c:formatCode>
                <c:ptCount val="5"/>
                <c:pt idx="0">
                  <c:v>15.2</c:v>
                </c:pt>
                <c:pt idx="1">
                  <c:v>15.19</c:v>
                </c:pt>
                <c:pt idx="2">
                  <c:v>14.55</c:v>
                </c:pt>
                <c:pt idx="3">
                  <c:v>13.11</c:v>
                </c:pt>
                <c:pt idx="4">
                  <c:v>13.23</c:v>
                </c:pt>
              </c:numCache>
            </c:numRef>
          </c:val>
        </c:ser>
        <c:ser>
          <c:idx val="1"/>
          <c:order val="1"/>
          <c:tx>
            <c:strRef>
              <c:f>对比分析数据处理2017!$A$126</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对比分析数据处理2017!$B$124:$F$124</c:f>
              <c:strCache>
                <c:ptCount val="5"/>
                <c:pt idx="0">
                  <c:v> 2013-12</c:v>
                </c:pt>
                <c:pt idx="1">
                  <c:v> 2014-12</c:v>
                </c:pt>
                <c:pt idx="2">
                  <c:v> 2015-12</c:v>
                </c:pt>
                <c:pt idx="3">
                  <c:v> 2016-12</c:v>
                </c:pt>
                <c:pt idx="4">
                  <c:v> 2017-12</c:v>
                </c:pt>
              </c:strCache>
            </c:strRef>
          </c:cat>
          <c:val>
            <c:numRef>
              <c:f>对比分析数据处理2017!$B$126:$F$126</c:f>
              <c:numCache>
                <c:formatCode>0.00</c:formatCode>
                <c:ptCount val="5"/>
                <c:pt idx="0">
                  <c:v>14.84</c:v>
                </c:pt>
                <c:pt idx="1">
                  <c:v>14.67</c:v>
                </c:pt>
                <c:pt idx="2">
                  <c:v>13.870000000000006</c:v>
                </c:pt>
                <c:pt idx="3">
                  <c:v>12.76</c:v>
                </c:pt>
                <c:pt idx="4">
                  <c:v>13.07</c:v>
                </c:pt>
              </c:numCache>
            </c:numRef>
          </c:val>
        </c:ser>
        <c:ser>
          <c:idx val="2"/>
          <c:order val="2"/>
          <c:tx>
            <c:strRef>
              <c:f>对比分析数据处理2017!$A$127</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对比分析数据处理2017!$B$124:$F$124</c:f>
              <c:strCache>
                <c:ptCount val="5"/>
                <c:pt idx="0">
                  <c:v> 2013-12</c:v>
                </c:pt>
                <c:pt idx="1">
                  <c:v> 2014-12</c:v>
                </c:pt>
                <c:pt idx="2">
                  <c:v> 2015-12</c:v>
                </c:pt>
                <c:pt idx="3">
                  <c:v> 2016-12</c:v>
                </c:pt>
                <c:pt idx="4">
                  <c:v> 2017-12</c:v>
                </c:pt>
              </c:strCache>
            </c:strRef>
          </c:cat>
          <c:val>
            <c:numRef>
              <c:f>对比分析数据处理2017!$B$127:$F$127</c:f>
              <c:numCache>
                <c:formatCode>0.00</c:formatCode>
                <c:ptCount val="5"/>
                <c:pt idx="0">
                  <c:v>15.56</c:v>
                </c:pt>
                <c:pt idx="1">
                  <c:v>15.06</c:v>
                </c:pt>
                <c:pt idx="2">
                  <c:v>15.31</c:v>
                </c:pt>
                <c:pt idx="3">
                  <c:v>14.41</c:v>
                </c:pt>
                <c:pt idx="4">
                  <c:v>13.48</c:v>
                </c:pt>
              </c:numCache>
            </c:numRef>
          </c:val>
        </c:ser>
        <c:dLbls>
          <c:showVal val="1"/>
        </c:dLbls>
        <c:marker val="1"/>
        <c:axId val="284716416"/>
        <c:axId val="284751360"/>
      </c:lineChart>
      <c:catAx>
        <c:axId val="28471641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4751360"/>
        <c:crosses val="autoZero"/>
        <c:lblAlgn val="ctr"/>
        <c:lblOffset val="100"/>
        <c:tickLblSkip val="1"/>
        <c:tickMarkSkip val="1"/>
      </c:catAx>
      <c:valAx>
        <c:axId val="284751360"/>
        <c:scaling>
          <c:orientation val="minMax"/>
          <c:max val="16"/>
          <c:min val="12"/>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4716416"/>
        <c:crosses val="autoZero"/>
        <c:crossBetween val="between"/>
        <c:majorUnit val="2"/>
        <c:minorUnit val="1"/>
      </c:valAx>
      <c:spPr>
        <a:noFill/>
        <a:ln w="12700">
          <a:noFill/>
          <a:prstDash val="solid"/>
        </a:ln>
      </c:spPr>
    </c:plotArea>
    <c:legend>
      <c:legendPos val="r"/>
      <c:layout>
        <c:manualLayout>
          <c:xMode val="edge"/>
          <c:yMode val="edge"/>
          <c:x val="0.10964925791461705"/>
          <c:y val="0.70820937233406278"/>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2013-2017</a:t>
            </a:r>
            <a:r>
              <a:rPr lang="zh-CN" altLang="en-US" sz="1200" b="1"/>
              <a:t>年陕西省网民人均月度访问次数对比</a:t>
            </a:r>
          </a:p>
        </c:rich>
      </c:tx>
      <c:spPr>
        <a:noFill/>
        <a:ln w="25400">
          <a:noFill/>
        </a:ln>
      </c:spPr>
    </c:title>
    <c:plotArea>
      <c:layout>
        <c:manualLayout>
          <c:layoutTarget val="inner"/>
          <c:xMode val="edge"/>
          <c:yMode val="edge"/>
          <c:x val="0.10063840822292425"/>
          <c:y val="0.19903324102127823"/>
          <c:w val="0.8527457421115785"/>
          <c:h val="0.4014148893639955"/>
        </c:manualLayout>
      </c:layout>
      <c:barChart>
        <c:barDir val="col"/>
        <c:grouping val="clustered"/>
        <c:ser>
          <c:idx val="0"/>
          <c:order val="0"/>
          <c:tx>
            <c:strRef>
              <c:f>对比分析数据处理2017!$A$75</c:f>
              <c:strCache>
                <c:ptCount val="1"/>
                <c:pt idx="0">
                  <c:v>人均月度访问次数(次)</c:v>
                </c:pt>
              </c:strCache>
            </c:strRef>
          </c:tx>
          <c:spPr>
            <a:solidFill>
              <a:srgbClr val="B2D234"/>
            </a:solidFill>
            <a:ln>
              <a:solidFill>
                <a:srgbClr val="B2D234"/>
              </a:solidFill>
            </a:ln>
          </c:spPr>
          <c:dLbls>
            <c:numFmt formatCode="0.0_);[Red]\(0.0\)" sourceLinked="0"/>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对比分析数据处理2017!$C$75:$G$75</c:f>
              <c:numCache>
                <c:formatCode>0.00</c:formatCode>
                <c:ptCount val="5"/>
                <c:pt idx="0">
                  <c:v>298.41999999999979</c:v>
                </c:pt>
                <c:pt idx="1">
                  <c:v>316.72999999999979</c:v>
                </c:pt>
                <c:pt idx="2">
                  <c:v>310.32</c:v>
                </c:pt>
                <c:pt idx="3">
                  <c:v>248.09</c:v>
                </c:pt>
                <c:pt idx="4">
                  <c:v>254.43</c:v>
                </c:pt>
              </c:numCache>
            </c:numRef>
          </c:val>
        </c:ser>
        <c:dLbls>
          <c:showVal val="1"/>
        </c:dLbls>
        <c:gapWidth val="60"/>
        <c:axId val="285069312"/>
        <c:axId val="285070848"/>
      </c:barChart>
      <c:lineChart>
        <c:grouping val="standard"/>
        <c:ser>
          <c:idx val="1"/>
          <c:order val="1"/>
          <c:tx>
            <c:strRef>
              <c:f>对比分析数据处理2017!$A$76</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对比分析数据处理2017!$C$76:$G$76</c:f>
              <c:numCache>
                <c:formatCode>0.00%</c:formatCode>
                <c:ptCount val="5"/>
                <c:pt idx="0">
                  <c:v>-3.1009513913692891E-2</c:v>
                </c:pt>
                <c:pt idx="1">
                  <c:v>6.1356477447892362E-2</c:v>
                </c:pt>
                <c:pt idx="2">
                  <c:v>-2.0238057651627686E-2</c:v>
                </c:pt>
                <c:pt idx="3">
                  <c:v>-0.20053493168342368</c:v>
                </c:pt>
                <c:pt idx="4">
                  <c:v>2.5555242049256428E-2</c:v>
                </c:pt>
              </c:numCache>
            </c:numRef>
          </c:val>
        </c:ser>
        <c:marker val="1"/>
        <c:axId val="285078272"/>
        <c:axId val="285072384"/>
      </c:lineChart>
      <c:catAx>
        <c:axId val="2850693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5070848"/>
        <c:crosses val="autoZero"/>
        <c:lblAlgn val="ctr"/>
        <c:lblOffset val="100"/>
        <c:tickLblSkip val="1"/>
        <c:tickMarkSkip val="1"/>
      </c:catAx>
      <c:valAx>
        <c:axId val="285070848"/>
        <c:scaling>
          <c:orientation val="minMax"/>
          <c:max val="50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5069312"/>
        <c:crosses val="autoZero"/>
        <c:crossBetween val="between"/>
        <c:majorUnit val="100"/>
        <c:minorUnit val="50"/>
      </c:valAx>
      <c:valAx>
        <c:axId val="285072384"/>
        <c:scaling>
          <c:orientation val="minMax"/>
          <c:max val="0.30000000000000027"/>
          <c:min val="-3"/>
        </c:scaling>
        <c:axPos val="r"/>
        <c:numFmt formatCode="0.00%" sourceLinked="1"/>
        <c:majorTickMark val="none"/>
        <c:tickLblPos val="none"/>
        <c:spPr>
          <a:solidFill>
            <a:schemeClr val="bg1"/>
          </a:solidFill>
          <a:ln>
            <a:solidFill>
              <a:schemeClr val="bg1"/>
            </a:solidFill>
          </a:ln>
        </c:spPr>
        <c:crossAx val="285078272"/>
        <c:crosses val="max"/>
        <c:crossBetween val="between"/>
      </c:valAx>
      <c:catAx>
        <c:axId val="285078272"/>
        <c:scaling>
          <c:orientation val="minMax"/>
        </c:scaling>
        <c:delete val="1"/>
        <c:axPos val="b"/>
        <c:numFmt formatCode="General" sourceLinked="1"/>
        <c:tickLblPos val="none"/>
        <c:crossAx val="285072384"/>
        <c:crosses val="autoZero"/>
        <c:auto val="1"/>
        <c:lblAlgn val="ctr"/>
        <c:lblOffset val="100"/>
      </c:catAx>
      <c:spPr>
        <a:noFill/>
        <a:ln w="12700">
          <a:noFill/>
          <a:prstDash val="solid"/>
        </a:ln>
      </c:spPr>
    </c:plotArea>
    <c:legend>
      <c:legendPos val="r"/>
      <c:layout>
        <c:manualLayout>
          <c:xMode val="edge"/>
          <c:yMode val="edge"/>
          <c:x val="0.10172854135807292"/>
          <c:y val="0.69419823073383802"/>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2013-2017</a:t>
            </a:r>
            <a:r>
              <a:rPr lang="zh-CN" altLang="en-US" sz="1200" b="1"/>
              <a:t>年陕西省与四川省、安徽省</a:t>
            </a:r>
            <a:endParaRPr lang="en-US" altLang="zh-CN" sz="1200" b="1"/>
          </a:p>
          <a:p>
            <a:pPr>
              <a:defRPr sz="1200" b="1"/>
            </a:pPr>
            <a:r>
              <a:rPr lang="zh-CN" altLang="en-US" sz="1200" b="1"/>
              <a:t>网民人均月度访问次数对比（次）</a:t>
            </a:r>
          </a:p>
        </c:rich>
      </c:tx>
      <c:spPr>
        <a:noFill/>
        <a:ln w="25400">
          <a:noFill/>
        </a:ln>
      </c:spPr>
    </c:title>
    <c:plotArea>
      <c:layout>
        <c:manualLayout>
          <c:layoutTarget val="inner"/>
          <c:xMode val="edge"/>
          <c:yMode val="edge"/>
          <c:x val="0.10063840822292425"/>
          <c:y val="0.26958784722222251"/>
          <c:w val="0.8527457421115785"/>
          <c:h val="0.30894439519563405"/>
        </c:manualLayout>
      </c:layout>
      <c:lineChart>
        <c:grouping val="standard"/>
        <c:ser>
          <c:idx val="0"/>
          <c:order val="0"/>
          <c:tx>
            <c:strRef>
              <c:f>对比分析数据处理2017!$A$133</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0"/>
              <c:layout>
                <c:manualLayout>
                  <c:x val="-2.9046074517631391E-2"/>
                  <c:y val="3.5277777777777831E-2"/>
                </c:manualLayout>
              </c:layout>
              <c:showVal val="1"/>
            </c:dLbl>
            <c:dLbl>
              <c:idx val="1"/>
              <c:layout>
                <c:manualLayout>
                  <c:x val="-3.6967731204258149E-2"/>
                  <c:y val="-5.2916666666666723E-2"/>
                </c:manualLayout>
              </c:layout>
              <c:showVal val="1"/>
            </c:dLbl>
            <c:dLbl>
              <c:idx val="3"/>
              <c:layout>
                <c:manualLayout>
                  <c:x val="-1.3202761144377925E-2"/>
                  <c:y val="-3.5277777777777831E-2"/>
                </c:manualLayout>
              </c:layout>
              <c:showVal val="1"/>
            </c:dLbl>
            <c:dLbl>
              <c:idx val="4"/>
              <c:layout>
                <c:manualLayout>
                  <c:x val="-3.9608283433133745E-2"/>
                  <c:y val="-6.6145833333333334E-2"/>
                </c:manualLayout>
              </c:layout>
              <c:showVal val="1"/>
            </c:dLbl>
            <c:numFmt formatCode="0.0_);[Red]\(0.0\)" sourceLinked="0"/>
            <c:showVal val="1"/>
          </c:dLbls>
          <c:cat>
            <c:strRef>
              <c:f>对比分析数据处理2017!$B$132:$F$132</c:f>
              <c:strCache>
                <c:ptCount val="5"/>
                <c:pt idx="0">
                  <c:v> 2013-12</c:v>
                </c:pt>
                <c:pt idx="1">
                  <c:v> 2014-12</c:v>
                </c:pt>
                <c:pt idx="2">
                  <c:v> 2015-12</c:v>
                </c:pt>
                <c:pt idx="3">
                  <c:v> 2016-12</c:v>
                </c:pt>
                <c:pt idx="4">
                  <c:v> 2017-12</c:v>
                </c:pt>
              </c:strCache>
            </c:strRef>
          </c:cat>
          <c:val>
            <c:numRef>
              <c:f>对比分析数据处理2017!$B$133:$F$133</c:f>
              <c:numCache>
                <c:formatCode>0.00</c:formatCode>
                <c:ptCount val="5"/>
                <c:pt idx="0">
                  <c:v>298.41999999999979</c:v>
                </c:pt>
                <c:pt idx="1">
                  <c:v>316.72999999999979</c:v>
                </c:pt>
                <c:pt idx="2">
                  <c:v>310.32</c:v>
                </c:pt>
                <c:pt idx="3">
                  <c:v>248.09</c:v>
                </c:pt>
                <c:pt idx="4">
                  <c:v>254.43</c:v>
                </c:pt>
              </c:numCache>
            </c:numRef>
          </c:val>
        </c:ser>
        <c:ser>
          <c:idx val="1"/>
          <c:order val="1"/>
          <c:tx>
            <c:strRef>
              <c:f>对比分析数据处理2017!$A$134</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对比分析数据处理2017!$B$132:$F$132</c:f>
              <c:strCache>
                <c:ptCount val="5"/>
                <c:pt idx="0">
                  <c:v> 2013-12</c:v>
                </c:pt>
                <c:pt idx="1">
                  <c:v> 2014-12</c:v>
                </c:pt>
                <c:pt idx="2">
                  <c:v> 2015-12</c:v>
                </c:pt>
                <c:pt idx="3">
                  <c:v> 2016-12</c:v>
                </c:pt>
                <c:pt idx="4">
                  <c:v> 2017-12</c:v>
                </c:pt>
              </c:strCache>
            </c:strRef>
          </c:cat>
          <c:val>
            <c:numRef>
              <c:f>对比分析数据处理2017!$B$134:$F$134</c:f>
              <c:numCache>
                <c:formatCode>0.00</c:formatCode>
                <c:ptCount val="5"/>
                <c:pt idx="0">
                  <c:v>253.96</c:v>
                </c:pt>
                <c:pt idx="1">
                  <c:v>271.83</c:v>
                </c:pt>
                <c:pt idx="2">
                  <c:v>279.5</c:v>
                </c:pt>
                <c:pt idx="3">
                  <c:v>237.4</c:v>
                </c:pt>
                <c:pt idx="4">
                  <c:v>233.81</c:v>
                </c:pt>
              </c:numCache>
            </c:numRef>
          </c:val>
        </c:ser>
        <c:ser>
          <c:idx val="2"/>
          <c:order val="2"/>
          <c:tx>
            <c:strRef>
              <c:f>对比分析数据处理2017!$A$135</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对比分析数据处理2017!$B$132:$F$132</c:f>
              <c:strCache>
                <c:ptCount val="5"/>
                <c:pt idx="0">
                  <c:v> 2013-12</c:v>
                </c:pt>
                <c:pt idx="1">
                  <c:v> 2014-12</c:v>
                </c:pt>
                <c:pt idx="2">
                  <c:v> 2015-12</c:v>
                </c:pt>
                <c:pt idx="3">
                  <c:v> 2016-12</c:v>
                </c:pt>
                <c:pt idx="4">
                  <c:v> 2017-12</c:v>
                </c:pt>
              </c:strCache>
            </c:strRef>
          </c:cat>
          <c:val>
            <c:numRef>
              <c:f>对比分析数据处理2017!$B$135:$F$135</c:f>
              <c:numCache>
                <c:formatCode>0.00</c:formatCode>
                <c:ptCount val="5"/>
                <c:pt idx="0">
                  <c:v>315.66000000000008</c:v>
                </c:pt>
                <c:pt idx="1">
                  <c:v>290.88</c:v>
                </c:pt>
                <c:pt idx="2">
                  <c:v>334.87</c:v>
                </c:pt>
                <c:pt idx="3">
                  <c:v>278.87</c:v>
                </c:pt>
                <c:pt idx="4">
                  <c:v>250.9</c:v>
                </c:pt>
              </c:numCache>
            </c:numRef>
          </c:val>
        </c:ser>
        <c:dLbls>
          <c:showVal val="1"/>
        </c:dLbls>
        <c:marker val="1"/>
        <c:axId val="285124480"/>
        <c:axId val="285134848"/>
      </c:lineChart>
      <c:catAx>
        <c:axId val="28512448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85134848"/>
        <c:crosses val="autoZero"/>
        <c:lblAlgn val="ctr"/>
        <c:lblOffset val="100"/>
        <c:tickLblSkip val="1"/>
        <c:tickMarkSkip val="1"/>
      </c:catAx>
      <c:valAx>
        <c:axId val="285134848"/>
        <c:scaling>
          <c:orientation val="minMax"/>
          <c:max val="350"/>
          <c:min val="20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85124480"/>
        <c:crosses val="autoZero"/>
        <c:crossBetween val="between"/>
        <c:majorUnit val="50"/>
        <c:minorUnit val="10"/>
      </c:valAx>
      <c:spPr>
        <a:noFill/>
        <a:ln w="12700">
          <a:noFill/>
          <a:prstDash val="solid"/>
        </a:ln>
      </c:spPr>
    </c:plotArea>
    <c:legend>
      <c:legendPos val="r"/>
      <c:layout>
        <c:manualLayout>
          <c:xMode val="edge"/>
          <c:yMode val="edge"/>
          <c:x val="0.10172854135807292"/>
          <c:y val="0.67655765741520513"/>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2013-2017</a:t>
            </a:r>
            <a:r>
              <a:rPr lang="zh-CN" altLang="en-US" sz="1200" b="1"/>
              <a:t>年陕西省网民人均单日有效浏览时间对比</a:t>
            </a:r>
          </a:p>
        </c:rich>
      </c:tx>
      <c:spPr>
        <a:noFill/>
        <a:ln w="25400">
          <a:noFill/>
        </a:ln>
      </c:spPr>
    </c:title>
    <c:plotArea>
      <c:layout>
        <c:manualLayout>
          <c:layoutTarget val="inner"/>
          <c:xMode val="edge"/>
          <c:yMode val="edge"/>
          <c:x val="0.10063840822292425"/>
          <c:y val="0.19021284722222234"/>
          <c:w val="0.8527457421115785"/>
          <c:h val="0.43229583333333327"/>
        </c:manualLayout>
      </c:layout>
      <c:barChart>
        <c:barDir val="col"/>
        <c:grouping val="clustered"/>
        <c:ser>
          <c:idx val="0"/>
          <c:order val="0"/>
          <c:tx>
            <c:strRef>
              <c:f>对比分析数据处理2017!$A$77</c:f>
              <c:strCache>
                <c:ptCount val="1"/>
                <c:pt idx="0">
                  <c:v>人均单日有效浏览时间(分)</c:v>
                </c:pt>
              </c:strCache>
            </c:strRef>
          </c:tx>
          <c:spPr>
            <a:solidFill>
              <a:srgbClr val="B2D234"/>
            </a:solidFill>
            <a:ln>
              <a:solidFill>
                <a:srgbClr val="B2D234"/>
              </a:solidFill>
            </a:ln>
          </c:spPr>
          <c:dLbls>
            <c:numFmt formatCode="0.0_);[Red]\(0.0\)" sourceLinked="0"/>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对比分析数据处理2017!$C$77:$G$77</c:f>
              <c:numCache>
                <c:formatCode>0.00</c:formatCode>
                <c:ptCount val="5"/>
                <c:pt idx="0">
                  <c:v>76</c:v>
                </c:pt>
                <c:pt idx="1">
                  <c:v>79.266666670000077</c:v>
                </c:pt>
                <c:pt idx="2">
                  <c:v>90.05</c:v>
                </c:pt>
                <c:pt idx="3">
                  <c:v>86.683333329999925</c:v>
                </c:pt>
                <c:pt idx="4">
                  <c:v>83.55</c:v>
                </c:pt>
              </c:numCache>
            </c:numRef>
          </c:val>
        </c:ser>
        <c:dLbls>
          <c:showVal val="1"/>
        </c:dLbls>
        <c:gapWidth val="60"/>
        <c:axId val="334280960"/>
        <c:axId val="334290944"/>
      </c:barChart>
      <c:lineChart>
        <c:grouping val="standard"/>
        <c:ser>
          <c:idx val="1"/>
          <c:order val="1"/>
          <c:tx>
            <c:strRef>
              <c:f>对比分析数据处理2017!$A$78</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对比分析数据处理2017!$C$78:$G$78</c:f>
              <c:numCache>
                <c:formatCode>0.00%</c:formatCode>
                <c:ptCount val="5"/>
                <c:pt idx="0">
                  <c:v>4.4912923970894372E-2</c:v>
                </c:pt>
                <c:pt idx="1">
                  <c:v>4.2982456184210739E-2</c:v>
                </c:pt>
                <c:pt idx="2">
                  <c:v>0.13603868792531371</c:v>
                </c:pt>
                <c:pt idx="3">
                  <c:v>-3.7386637090505291E-2</c:v>
                </c:pt>
                <c:pt idx="4">
                  <c:v>-3.6146894790853541E-2</c:v>
                </c:pt>
              </c:numCache>
            </c:numRef>
          </c:val>
        </c:ser>
        <c:marker val="1"/>
        <c:axId val="334294016"/>
        <c:axId val="334292480"/>
      </c:lineChart>
      <c:catAx>
        <c:axId val="33428096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290944"/>
        <c:crosses val="autoZero"/>
        <c:lblAlgn val="ctr"/>
        <c:lblOffset val="100"/>
        <c:tickLblSkip val="1"/>
        <c:tickMarkSkip val="1"/>
      </c:catAx>
      <c:valAx>
        <c:axId val="334290944"/>
        <c:scaling>
          <c:orientation val="minMax"/>
          <c:max val="15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280960"/>
        <c:crosses val="autoZero"/>
        <c:crossBetween val="between"/>
        <c:majorUnit val="50"/>
        <c:minorUnit val="10"/>
      </c:valAx>
      <c:valAx>
        <c:axId val="334292480"/>
        <c:scaling>
          <c:orientation val="minMax"/>
          <c:max val="0.30000000000000027"/>
          <c:min val="-2"/>
        </c:scaling>
        <c:axPos val="r"/>
        <c:numFmt formatCode="0.00%" sourceLinked="1"/>
        <c:majorTickMark val="none"/>
        <c:tickLblPos val="none"/>
        <c:spPr>
          <a:solidFill>
            <a:schemeClr val="bg1"/>
          </a:solidFill>
          <a:ln>
            <a:solidFill>
              <a:schemeClr val="bg1"/>
            </a:solidFill>
          </a:ln>
        </c:spPr>
        <c:crossAx val="334294016"/>
        <c:crosses val="max"/>
        <c:crossBetween val="between"/>
      </c:valAx>
      <c:catAx>
        <c:axId val="334294016"/>
        <c:scaling>
          <c:orientation val="minMax"/>
        </c:scaling>
        <c:delete val="1"/>
        <c:axPos val="b"/>
        <c:numFmt formatCode="General" sourceLinked="1"/>
        <c:tickLblPos val="none"/>
        <c:crossAx val="334292480"/>
        <c:crosses val="autoZero"/>
        <c:auto val="1"/>
        <c:lblAlgn val="ctr"/>
        <c:lblOffset val="100"/>
      </c:catAx>
      <c:spPr>
        <a:noFill/>
        <a:ln w="12700">
          <a:noFill/>
          <a:prstDash val="solid"/>
        </a:ln>
      </c:spPr>
    </c:plotArea>
    <c:legend>
      <c:legendPos val="r"/>
      <c:layout>
        <c:manualLayout>
          <c:xMode val="edge"/>
          <c:yMode val="edge"/>
          <c:x val="0.10964925791461705"/>
          <c:y val="0.70820937233406278"/>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2013-2017</a:t>
            </a:r>
            <a:r>
              <a:rPr lang="zh-CN" altLang="en-US" sz="1200" b="1"/>
              <a:t>年陕西省与四川省、安徽省</a:t>
            </a:r>
            <a:endParaRPr lang="en-US" altLang="zh-CN" sz="1200" b="1"/>
          </a:p>
          <a:p>
            <a:pPr>
              <a:defRPr sz="1200" b="1"/>
            </a:pPr>
            <a:r>
              <a:rPr lang="zh-CN" altLang="en-US" sz="1200" b="1"/>
              <a:t>网民人均单日有效浏览时间对比（分钟）</a:t>
            </a:r>
          </a:p>
        </c:rich>
      </c:tx>
      <c:spPr>
        <a:noFill/>
        <a:ln w="25400">
          <a:noFill/>
        </a:ln>
      </c:spPr>
    </c:title>
    <c:plotArea>
      <c:layout>
        <c:manualLayout>
          <c:layoutTarget val="inner"/>
          <c:xMode val="edge"/>
          <c:yMode val="edge"/>
          <c:x val="0.10063840822292425"/>
          <c:y val="0.27840729166666689"/>
          <c:w val="0.8527457421115785"/>
          <c:h val="0.34410138888888886"/>
        </c:manualLayout>
      </c:layout>
      <c:lineChart>
        <c:grouping val="standard"/>
        <c:ser>
          <c:idx val="0"/>
          <c:order val="0"/>
          <c:tx>
            <c:strRef>
              <c:f>对比分析数据处理2017!$A$141</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0"/>
              <c:layout>
                <c:manualLayout>
                  <c:x val="-2.9046074517631391E-2"/>
                  <c:y val="3.5277777777777831E-2"/>
                </c:manualLayout>
              </c:layout>
              <c:showVal val="1"/>
            </c:dLbl>
            <c:dLbl>
              <c:idx val="1"/>
              <c:layout>
                <c:manualLayout>
                  <c:x val="-3.6967731204258149E-2"/>
                  <c:y val="-5.2916666666666723E-2"/>
                </c:manualLayout>
              </c:layout>
              <c:showVal val="1"/>
            </c:dLbl>
            <c:dLbl>
              <c:idx val="3"/>
              <c:layout>
                <c:manualLayout>
                  <c:x val="-1.3202761144377925E-2"/>
                  <c:y val="-3.5277777777777831E-2"/>
                </c:manualLayout>
              </c:layout>
              <c:showVal val="1"/>
            </c:dLbl>
            <c:dLbl>
              <c:idx val="4"/>
              <c:layout>
                <c:manualLayout>
                  <c:x val="-3.9608534081754632E-2"/>
                  <c:y val="7.3744847467837091E-2"/>
                </c:manualLayout>
              </c:layout>
              <c:showVal val="1"/>
            </c:dLbl>
            <c:numFmt formatCode="0.0_);[Red]\(0.0\)" sourceLinked="0"/>
            <c:showVal val="1"/>
          </c:dLbls>
          <c:cat>
            <c:strRef>
              <c:f>对比分析数据处理2017!$B$140:$F$140</c:f>
              <c:strCache>
                <c:ptCount val="5"/>
                <c:pt idx="0">
                  <c:v> 2013-12</c:v>
                </c:pt>
                <c:pt idx="1">
                  <c:v> 2014-12</c:v>
                </c:pt>
                <c:pt idx="2">
                  <c:v> 2015-12</c:v>
                </c:pt>
                <c:pt idx="3">
                  <c:v> 2016-12</c:v>
                </c:pt>
                <c:pt idx="4">
                  <c:v> 2017-12</c:v>
                </c:pt>
              </c:strCache>
            </c:strRef>
          </c:cat>
          <c:val>
            <c:numRef>
              <c:f>对比分析数据处理2017!$B$141:$F$141</c:f>
              <c:numCache>
                <c:formatCode>0.00</c:formatCode>
                <c:ptCount val="5"/>
                <c:pt idx="0">
                  <c:v>76</c:v>
                </c:pt>
                <c:pt idx="1">
                  <c:v>79.266666670000077</c:v>
                </c:pt>
                <c:pt idx="2">
                  <c:v>90.05</c:v>
                </c:pt>
                <c:pt idx="3">
                  <c:v>86.683333329999925</c:v>
                </c:pt>
                <c:pt idx="4">
                  <c:v>83.55</c:v>
                </c:pt>
              </c:numCache>
            </c:numRef>
          </c:val>
        </c:ser>
        <c:ser>
          <c:idx val="1"/>
          <c:order val="1"/>
          <c:tx>
            <c:strRef>
              <c:f>对比分析数据处理2017!$A$142</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对比分析数据处理2017!$B$140:$F$140</c:f>
              <c:strCache>
                <c:ptCount val="5"/>
                <c:pt idx="0">
                  <c:v> 2013-12</c:v>
                </c:pt>
                <c:pt idx="1">
                  <c:v> 2014-12</c:v>
                </c:pt>
                <c:pt idx="2">
                  <c:v> 2015-12</c:v>
                </c:pt>
                <c:pt idx="3">
                  <c:v> 2016-12</c:v>
                </c:pt>
                <c:pt idx="4">
                  <c:v> 2017-12</c:v>
                </c:pt>
              </c:strCache>
            </c:strRef>
          </c:cat>
          <c:val>
            <c:numRef>
              <c:f>对比分析数据处理2017!$B$142:$F$142</c:f>
              <c:numCache>
                <c:formatCode>0.00</c:formatCode>
                <c:ptCount val="5"/>
                <c:pt idx="0">
                  <c:v>69.816666670000075</c:v>
                </c:pt>
                <c:pt idx="1">
                  <c:v>73.533333329999948</c:v>
                </c:pt>
                <c:pt idx="2">
                  <c:v>83.533333329999948</c:v>
                </c:pt>
                <c:pt idx="3">
                  <c:v>85.183333329999925</c:v>
                </c:pt>
                <c:pt idx="4">
                  <c:v>86.333333329999988</c:v>
                </c:pt>
              </c:numCache>
            </c:numRef>
          </c:val>
        </c:ser>
        <c:ser>
          <c:idx val="2"/>
          <c:order val="2"/>
          <c:tx>
            <c:strRef>
              <c:f>对比分析数据处理2017!$A$143</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对比分析数据处理2017!$B$140:$F$140</c:f>
              <c:strCache>
                <c:ptCount val="5"/>
                <c:pt idx="0">
                  <c:v> 2013-12</c:v>
                </c:pt>
                <c:pt idx="1">
                  <c:v> 2014-12</c:v>
                </c:pt>
                <c:pt idx="2">
                  <c:v> 2015-12</c:v>
                </c:pt>
                <c:pt idx="3">
                  <c:v> 2016-12</c:v>
                </c:pt>
                <c:pt idx="4">
                  <c:v> 2017-12</c:v>
                </c:pt>
              </c:strCache>
            </c:strRef>
          </c:cat>
          <c:val>
            <c:numRef>
              <c:f>对比分析数据处理2017!$B$143:$F$143</c:f>
              <c:numCache>
                <c:formatCode>0.00</c:formatCode>
                <c:ptCount val="5"/>
                <c:pt idx="0">
                  <c:v>74.483333329999979</c:v>
                </c:pt>
                <c:pt idx="1">
                  <c:v>72.55</c:v>
                </c:pt>
                <c:pt idx="2">
                  <c:v>86.233333329999979</c:v>
                </c:pt>
                <c:pt idx="3">
                  <c:v>83.016666670000077</c:v>
                </c:pt>
                <c:pt idx="4">
                  <c:v>87.633333329999942</c:v>
                </c:pt>
              </c:numCache>
            </c:numRef>
          </c:val>
        </c:ser>
        <c:dLbls>
          <c:showVal val="1"/>
        </c:dLbls>
        <c:marker val="1"/>
        <c:axId val="334205312"/>
        <c:axId val="334207232"/>
      </c:lineChart>
      <c:catAx>
        <c:axId val="3342053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207232"/>
        <c:crosses val="autoZero"/>
        <c:lblAlgn val="ctr"/>
        <c:lblOffset val="100"/>
        <c:tickLblSkip val="1"/>
        <c:tickMarkSkip val="1"/>
      </c:catAx>
      <c:valAx>
        <c:axId val="334207232"/>
        <c:scaling>
          <c:orientation val="minMax"/>
          <c:max val="92"/>
          <c:min val="6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205312"/>
        <c:crosses val="autoZero"/>
        <c:crossBetween val="between"/>
        <c:majorUnit val="10"/>
        <c:minorUnit val="1"/>
      </c:valAx>
      <c:spPr>
        <a:noFill/>
        <a:ln w="12700">
          <a:noFill/>
          <a:prstDash val="solid"/>
        </a:ln>
      </c:spPr>
    </c:plotArea>
    <c:legend>
      <c:legendPos val="r"/>
      <c:layout>
        <c:manualLayout>
          <c:xMode val="edge"/>
          <c:yMode val="edge"/>
          <c:x val="0.10964925791461705"/>
          <c:y val="0.70820937233406278"/>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2013-2017</a:t>
            </a:r>
            <a:r>
              <a:rPr lang="zh-CN" altLang="en-US" sz="1200" b="1"/>
              <a:t>年陕西省网民人均月度访问天数对比</a:t>
            </a:r>
          </a:p>
        </c:rich>
      </c:tx>
      <c:spPr>
        <a:noFill/>
        <a:ln w="25400">
          <a:noFill/>
        </a:ln>
      </c:spPr>
    </c:title>
    <c:plotArea>
      <c:layout>
        <c:manualLayout>
          <c:layoutTarget val="inner"/>
          <c:xMode val="edge"/>
          <c:yMode val="edge"/>
          <c:x val="0.10063840822292425"/>
          <c:y val="0.19021284722222234"/>
          <c:w val="0.8527457421115785"/>
          <c:h val="0.43229583333333327"/>
        </c:manualLayout>
      </c:layout>
      <c:barChart>
        <c:barDir val="col"/>
        <c:grouping val="clustered"/>
        <c:ser>
          <c:idx val="0"/>
          <c:order val="0"/>
          <c:tx>
            <c:strRef>
              <c:f>对比分析数据处理2017!$A$79</c:f>
              <c:strCache>
                <c:ptCount val="1"/>
                <c:pt idx="0">
                  <c:v>人均单次浏览页面(页)</c:v>
                </c:pt>
              </c:strCache>
            </c:strRef>
          </c:tx>
          <c:spPr>
            <a:solidFill>
              <a:srgbClr val="B2D234"/>
            </a:solidFill>
            <a:ln>
              <a:solidFill>
                <a:srgbClr val="B2D234"/>
              </a:solidFill>
            </a:ln>
          </c:spPr>
          <c:dLbls>
            <c:numFmt formatCode="#,##0.00_);[Red]\(#,##0.00\)" sourceLinked="0"/>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对比分析数据处理2017!$C$79:$G$79</c:f>
              <c:numCache>
                <c:formatCode>0.00</c:formatCode>
                <c:ptCount val="5"/>
                <c:pt idx="0">
                  <c:v>2.73</c:v>
                </c:pt>
                <c:pt idx="1">
                  <c:v>2.8099999999999987</c:v>
                </c:pt>
                <c:pt idx="2">
                  <c:v>2.74</c:v>
                </c:pt>
                <c:pt idx="3">
                  <c:v>2.75</c:v>
                </c:pt>
                <c:pt idx="4">
                  <c:v>2.75</c:v>
                </c:pt>
              </c:numCache>
            </c:numRef>
          </c:val>
        </c:ser>
        <c:dLbls>
          <c:showVal val="1"/>
        </c:dLbls>
        <c:gapWidth val="60"/>
        <c:axId val="334394112"/>
        <c:axId val="334395648"/>
      </c:barChart>
      <c:lineChart>
        <c:grouping val="standard"/>
        <c:ser>
          <c:idx val="1"/>
          <c:order val="1"/>
          <c:tx>
            <c:strRef>
              <c:f>对比分析数据处理2017!$A$80</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对比分析数据处理2017!$C$68:$G$68</c:f>
              <c:strCache>
                <c:ptCount val="5"/>
                <c:pt idx="0">
                  <c:v> 2013-12</c:v>
                </c:pt>
                <c:pt idx="1">
                  <c:v> 2014-12</c:v>
                </c:pt>
                <c:pt idx="2">
                  <c:v> 2015-12</c:v>
                </c:pt>
                <c:pt idx="3">
                  <c:v> 2016-12</c:v>
                </c:pt>
                <c:pt idx="4">
                  <c:v> 2017-12</c:v>
                </c:pt>
              </c:strCache>
            </c:strRef>
          </c:cat>
          <c:val>
            <c:numRef>
              <c:f>对比分析数据处理2017!$C$80:$G$80</c:f>
              <c:numCache>
                <c:formatCode>0.00%</c:formatCode>
                <c:ptCount val="5"/>
                <c:pt idx="0">
                  <c:v>-7.4576271186440793E-2</c:v>
                </c:pt>
                <c:pt idx="1">
                  <c:v>2.9304029304029422E-2</c:v>
                </c:pt>
                <c:pt idx="2">
                  <c:v>-2.4911032028469698E-2</c:v>
                </c:pt>
                <c:pt idx="3">
                  <c:v>3.6496350364962921E-3</c:v>
                </c:pt>
                <c:pt idx="4">
                  <c:v>0</c:v>
                </c:pt>
              </c:numCache>
            </c:numRef>
          </c:val>
        </c:ser>
        <c:marker val="1"/>
        <c:axId val="334411264"/>
        <c:axId val="334409728"/>
      </c:lineChart>
      <c:catAx>
        <c:axId val="3343941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395648"/>
        <c:crosses val="autoZero"/>
        <c:lblAlgn val="ctr"/>
        <c:lblOffset val="100"/>
        <c:tickLblSkip val="1"/>
        <c:tickMarkSkip val="1"/>
      </c:catAx>
      <c:valAx>
        <c:axId val="334395648"/>
        <c:scaling>
          <c:orientation val="minMax"/>
          <c:max val="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394112"/>
        <c:crosses val="autoZero"/>
        <c:crossBetween val="between"/>
        <c:majorUnit val="1"/>
        <c:minorUnit val="0.1"/>
      </c:valAx>
      <c:valAx>
        <c:axId val="334409728"/>
        <c:scaling>
          <c:orientation val="minMax"/>
          <c:max val="0.1"/>
          <c:min val="-1"/>
        </c:scaling>
        <c:axPos val="r"/>
        <c:numFmt formatCode="0.00%" sourceLinked="1"/>
        <c:majorTickMark val="none"/>
        <c:tickLblPos val="none"/>
        <c:spPr>
          <a:solidFill>
            <a:schemeClr val="bg1"/>
          </a:solidFill>
          <a:ln>
            <a:solidFill>
              <a:schemeClr val="bg1"/>
            </a:solidFill>
          </a:ln>
        </c:spPr>
        <c:crossAx val="334411264"/>
        <c:crosses val="max"/>
        <c:crossBetween val="between"/>
      </c:valAx>
      <c:catAx>
        <c:axId val="334411264"/>
        <c:scaling>
          <c:orientation val="minMax"/>
        </c:scaling>
        <c:delete val="1"/>
        <c:axPos val="b"/>
        <c:numFmt formatCode="General" sourceLinked="1"/>
        <c:tickLblPos val="none"/>
        <c:crossAx val="334409728"/>
        <c:crosses val="autoZero"/>
        <c:auto val="1"/>
        <c:lblAlgn val="ctr"/>
        <c:lblOffset val="100"/>
      </c:catAx>
      <c:spPr>
        <a:noFill/>
        <a:ln w="12700">
          <a:noFill/>
          <a:prstDash val="solid"/>
        </a:ln>
      </c:spPr>
    </c:plotArea>
    <c:legend>
      <c:legendPos val="r"/>
      <c:layout>
        <c:manualLayout>
          <c:xMode val="edge"/>
          <c:yMode val="edge"/>
          <c:x val="0.10964925791461705"/>
          <c:y val="0.70820937233406278"/>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2013-2017</a:t>
            </a:r>
            <a:r>
              <a:rPr lang="zh-CN" altLang="en-US" sz="1200" b="1"/>
              <a:t>年陕西省与四川省、安徽省</a:t>
            </a:r>
            <a:endParaRPr lang="en-US" altLang="zh-CN" sz="1200" b="1"/>
          </a:p>
          <a:p>
            <a:pPr>
              <a:defRPr sz="1200" b="1"/>
            </a:pPr>
            <a:r>
              <a:rPr lang="zh-CN" altLang="en-US" sz="1200" b="1"/>
              <a:t>网民人均单次浏览页面对比（页）</a:t>
            </a:r>
          </a:p>
        </c:rich>
      </c:tx>
      <c:spPr>
        <a:noFill/>
        <a:ln w="25400">
          <a:noFill/>
        </a:ln>
      </c:spPr>
    </c:title>
    <c:plotArea>
      <c:layout>
        <c:manualLayout>
          <c:layoutTarget val="inner"/>
          <c:xMode val="edge"/>
          <c:yMode val="edge"/>
          <c:x val="0.10063840822292425"/>
          <c:y val="0.26958784722222251"/>
          <c:w val="0.8527457421115785"/>
          <c:h val="0.35292083333333357"/>
        </c:manualLayout>
      </c:layout>
      <c:lineChart>
        <c:grouping val="standard"/>
        <c:ser>
          <c:idx val="0"/>
          <c:order val="0"/>
          <c:tx>
            <c:strRef>
              <c:f>对比分析数据处理2017!$A$149</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0"/>
              <c:layout>
                <c:manualLayout>
                  <c:x val="-2.9046074517631391E-2"/>
                  <c:y val="3.5277777777777831E-2"/>
                </c:manualLayout>
              </c:layout>
              <c:showVal val="1"/>
            </c:dLbl>
            <c:dLbl>
              <c:idx val="1"/>
              <c:layout>
                <c:manualLayout>
                  <c:x val="-3.6967731204258149E-2"/>
                  <c:y val="-5.2916666666666723E-2"/>
                </c:manualLayout>
              </c:layout>
              <c:showVal val="1"/>
            </c:dLbl>
            <c:dLbl>
              <c:idx val="2"/>
              <c:layout>
                <c:manualLayout>
                  <c:x val="2.6405522288755856E-3"/>
                  <c:y val="5.2916319444444498E-2"/>
                </c:manualLayout>
              </c:layout>
              <c:showVal val="1"/>
            </c:dLbl>
            <c:dLbl>
              <c:idx val="3"/>
              <c:layout>
                <c:manualLayout>
                  <c:x val="-2.9046074517631405E-2"/>
                  <c:y val="5.7326388888888927E-2"/>
                </c:manualLayout>
              </c:layout>
              <c:showVal val="1"/>
            </c:dLbl>
            <c:dLbl>
              <c:idx val="4"/>
              <c:layout>
                <c:manualLayout>
                  <c:x val="-3.1686626746506984E-2"/>
                  <c:y val="5.2916319444444498E-2"/>
                </c:manualLayout>
              </c:layout>
              <c:showVal val="1"/>
            </c:dLbl>
            <c:numFmt formatCode="#,##0.00_);[Red]\(#,##0.00\)" sourceLinked="0"/>
            <c:showVal val="1"/>
          </c:dLbls>
          <c:cat>
            <c:strRef>
              <c:f>对比分析数据处理2017!$B$148:$F$148</c:f>
              <c:strCache>
                <c:ptCount val="5"/>
                <c:pt idx="0">
                  <c:v> 2013-12</c:v>
                </c:pt>
                <c:pt idx="1">
                  <c:v> 2014-12</c:v>
                </c:pt>
                <c:pt idx="2">
                  <c:v> 2015-12</c:v>
                </c:pt>
                <c:pt idx="3">
                  <c:v> 2016-12</c:v>
                </c:pt>
                <c:pt idx="4">
                  <c:v> 2017-12</c:v>
                </c:pt>
              </c:strCache>
            </c:strRef>
          </c:cat>
          <c:val>
            <c:numRef>
              <c:f>对比分析数据处理2017!$B$149:$F$149</c:f>
              <c:numCache>
                <c:formatCode>0.00</c:formatCode>
                <c:ptCount val="5"/>
                <c:pt idx="0">
                  <c:v>2.73</c:v>
                </c:pt>
                <c:pt idx="1">
                  <c:v>2.8099999999999987</c:v>
                </c:pt>
                <c:pt idx="2">
                  <c:v>2.74</c:v>
                </c:pt>
                <c:pt idx="3">
                  <c:v>2.75</c:v>
                </c:pt>
                <c:pt idx="4">
                  <c:v>2.75</c:v>
                </c:pt>
              </c:numCache>
            </c:numRef>
          </c:val>
        </c:ser>
        <c:ser>
          <c:idx val="1"/>
          <c:order val="1"/>
          <c:tx>
            <c:strRef>
              <c:f>对比分析数据处理2017!$A$150</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对比分析数据处理2017!$B$148:$F$148</c:f>
              <c:strCache>
                <c:ptCount val="5"/>
                <c:pt idx="0">
                  <c:v> 2013-12</c:v>
                </c:pt>
                <c:pt idx="1">
                  <c:v> 2014-12</c:v>
                </c:pt>
                <c:pt idx="2">
                  <c:v> 2015-12</c:v>
                </c:pt>
                <c:pt idx="3">
                  <c:v> 2016-12</c:v>
                </c:pt>
                <c:pt idx="4">
                  <c:v> 2017-12</c:v>
                </c:pt>
              </c:strCache>
            </c:strRef>
          </c:cat>
          <c:val>
            <c:numRef>
              <c:f>对比分析数据处理2017!$B$150:$F$150</c:f>
              <c:numCache>
                <c:formatCode>0.00</c:formatCode>
                <c:ptCount val="5"/>
                <c:pt idx="0">
                  <c:v>2.72</c:v>
                </c:pt>
                <c:pt idx="1">
                  <c:v>2.77</c:v>
                </c:pt>
                <c:pt idx="2">
                  <c:v>2.69</c:v>
                </c:pt>
                <c:pt idx="3">
                  <c:v>2.82</c:v>
                </c:pt>
                <c:pt idx="4">
                  <c:v>2.8099999999999987</c:v>
                </c:pt>
              </c:numCache>
            </c:numRef>
          </c:val>
        </c:ser>
        <c:ser>
          <c:idx val="2"/>
          <c:order val="2"/>
          <c:tx>
            <c:strRef>
              <c:f>对比分析数据处理2017!$A$151</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对比分析数据处理2017!$B$148:$F$148</c:f>
              <c:strCache>
                <c:ptCount val="5"/>
                <c:pt idx="0">
                  <c:v> 2013-12</c:v>
                </c:pt>
                <c:pt idx="1">
                  <c:v> 2014-12</c:v>
                </c:pt>
                <c:pt idx="2">
                  <c:v> 2015-12</c:v>
                </c:pt>
                <c:pt idx="3">
                  <c:v> 2016-12</c:v>
                </c:pt>
                <c:pt idx="4">
                  <c:v> 2017-12</c:v>
                </c:pt>
              </c:strCache>
            </c:strRef>
          </c:cat>
          <c:val>
            <c:numRef>
              <c:f>对比分析数据处理2017!$B$151:$F$151</c:f>
              <c:numCache>
                <c:formatCode>0.00</c:formatCode>
                <c:ptCount val="5"/>
                <c:pt idx="0">
                  <c:v>2.7600000000000002</c:v>
                </c:pt>
                <c:pt idx="1">
                  <c:v>2.71</c:v>
                </c:pt>
                <c:pt idx="2">
                  <c:v>2.74</c:v>
                </c:pt>
                <c:pt idx="3">
                  <c:v>2.7800000000000002</c:v>
                </c:pt>
                <c:pt idx="4">
                  <c:v>2.82</c:v>
                </c:pt>
              </c:numCache>
            </c:numRef>
          </c:val>
        </c:ser>
        <c:dLbls>
          <c:showVal val="1"/>
        </c:dLbls>
        <c:marker val="1"/>
        <c:axId val="334457472"/>
        <c:axId val="334459648"/>
      </c:lineChart>
      <c:catAx>
        <c:axId val="33445747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459648"/>
        <c:crosses val="autoZero"/>
        <c:lblAlgn val="ctr"/>
        <c:lblOffset val="100"/>
        <c:tickLblSkip val="1"/>
        <c:tickMarkSkip val="1"/>
      </c:catAx>
      <c:valAx>
        <c:axId val="334459648"/>
        <c:scaling>
          <c:orientation val="minMax"/>
          <c:max val="2.9"/>
          <c:min val="2.6"/>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457472"/>
        <c:crosses val="autoZero"/>
        <c:crossBetween val="between"/>
        <c:majorUnit val="0.1"/>
        <c:minorUnit val="5.0000000000000024E-2"/>
      </c:valAx>
      <c:spPr>
        <a:noFill/>
        <a:ln w="12700">
          <a:noFill/>
          <a:prstDash val="solid"/>
        </a:ln>
      </c:spPr>
    </c:plotArea>
    <c:legend>
      <c:legendPos val="r"/>
      <c:layout>
        <c:manualLayout>
          <c:xMode val="edge"/>
          <c:yMode val="edge"/>
          <c:x val="0.10964925791461705"/>
          <c:y val="0.70820937233406278"/>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8.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年陕西省移动端月独立设备数</a:t>
            </a:r>
          </a:p>
        </c:rich>
      </c:tx>
      <c:spPr>
        <a:noFill/>
        <a:ln w="25400">
          <a:noFill/>
        </a:ln>
      </c:spPr>
    </c:title>
    <c:plotArea>
      <c:layout>
        <c:manualLayout>
          <c:layoutTarget val="inner"/>
          <c:xMode val="edge"/>
          <c:yMode val="edge"/>
          <c:x val="0.10063840822292425"/>
          <c:y val="0.19021284722222234"/>
          <c:w val="0.8527457421115785"/>
          <c:h val="0.445525"/>
        </c:manualLayout>
      </c:layout>
      <c:barChart>
        <c:barDir val="col"/>
        <c:grouping val="clustered"/>
        <c:ser>
          <c:idx val="0"/>
          <c:order val="0"/>
          <c:tx>
            <c:strRef>
              <c:f>'2016-2017年移动端网络使用粘性数据处理'!$A$5</c:f>
              <c:strCache>
                <c:ptCount val="1"/>
                <c:pt idx="0">
                  <c:v>月独立设备数（万台）</c:v>
                </c:pt>
              </c:strCache>
            </c:strRef>
          </c:tx>
          <c:spPr>
            <a:solidFill>
              <a:srgbClr val="B2D234"/>
            </a:solidFill>
            <a:ln>
              <a:solidFill>
                <a:srgbClr val="B2D234"/>
              </a:solidFill>
            </a:ln>
          </c:spPr>
          <c:dLbls>
            <c:numFmt formatCode="0.0_);[Red]\(0.0\)" sourceLinked="0"/>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'2016-2017年移动端网络使用粘性数据处理'!$B$5:$I$5</c:f>
              <c:numCache>
                <c:formatCode>#,##0.00</c:formatCode>
                <c:ptCount val="8"/>
                <c:pt idx="0">
                  <c:v>2643.24</c:v>
                </c:pt>
                <c:pt idx="1">
                  <c:v>3146.3300000000017</c:v>
                </c:pt>
                <c:pt idx="2">
                  <c:v>3229.53</c:v>
                </c:pt>
                <c:pt idx="3">
                  <c:v>3275.3900000000012</c:v>
                </c:pt>
                <c:pt idx="4">
                  <c:v>3368.2799999999997</c:v>
                </c:pt>
                <c:pt idx="5">
                  <c:v>3475.16</c:v>
                </c:pt>
                <c:pt idx="6">
                  <c:v>3596.69</c:v>
                </c:pt>
                <c:pt idx="7">
                  <c:v>3717.8100000000018</c:v>
                </c:pt>
              </c:numCache>
            </c:numRef>
          </c:val>
        </c:ser>
        <c:dLbls>
          <c:showVal val="1"/>
        </c:dLbls>
        <c:gapWidth val="60"/>
        <c:axId val="334310400"/>
        <c:axId val="334316288"/>
      </c:barChart>
      <c:lineChart>
        <c:grouping val="standard"/>
        <c:ser>
          <c:idx val="1"/>
          <c:order val="1"/>
          <c:tx>
            <c:strRef>
              <c:f>'2016-2017年移动端网络使用粘性数据处理'!$A$6</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'2016-2017年移动端网络使用粘性数据处理'!$B$6:$I$6</c:f>
              <c:numCache>
                <c:formatCode>0.00%</c:formatCode>
                <c:ptCount val="8"/>
                <c:pt idx="1">
                  <c:v>0.19033080613186848</c:v>
                </c:pt>
                <c:pt idx="2">
                  <c:v>2.6443507197274431E-2</c:v>
                </c:pt>
                <c:pt idx="3">
                  <c:v>1.4200208699098441E-2</c:v>
                </c:pt>
                <c:pt idx="4">
                  <c:v>2.835998155944797E-2</c:v>
                </c:pt>
                <c:pt idx="5">
                  <c:v>3.1731328749391247E-2</c:v>
                </c:pt>
                <c:pt idx="6">
                  <c:v>3.4971051692584076E-2</c:v>
                </c:pt>
                <c:pt idx="7">
                  <c:v>3.3675407110426631E-2</c:v>
                </c:pt>
              </c:numCache>
            </c:numRef>
          </c:val>
        </c:ser>
        <c:marker val="1"/>
        <c:axId val="334327808"/>
        <c:axId val="334317824"/>
      </c:lineChart>
      <c:catAx>
        <c:axId val="33431040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316288"/>
        <c:crosses val="autoZero"/>
        <c:lblAlgn val="ctr"/>
        <c:lblOffset val="100"/>
        <c:tickLblSkip val="1"/>
        <c:tickMarkSkip val="1"/>
      </c:catAx>
      <c:valAx>
        <c:axId val="334316288"/>
        <c:scaling>
          <c:orientation val="minMax"/>
          <c:max val="600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310400"/>
        <c:crosses val="autoZero"/>
        <c:crossBetween val="between"/>
        <c:majorUnit val="2000"/>
        <c:minorUnit val="500"/>
      </c:valAx>
      <c:valAx>
        <c:axId val="334317824"/>
        <c:scaling>
          <c:orientation val="minMax"/>
          <c:max val="0.5"/>
          <c:min val="-3"/>
        </c:scaling>
        <c:axPos val="r"/>
        <c:numFmt formatCode="General" sourceLinked="1"/>
        <c:majorTickMark val="none"/>
        <c:tickLblPos val="none"/>
        <c:spPr>
          <a:solidFill>
            <a:schemeClr val="bg1"/>
          </a:solidFill>
          <a:ln>
            <a:solidFill>
              <a:schemeClr val="bg1"/>
            </a:solidFill>
          </a:ln>
        </c:spPr>
        <c:crossAx val="334327808"/>
        <c:crosses val="max"/>
        <c:crossBetween val="between"/>
      </c:valAx>
      <c:catAx>
        <c:axId val="334327808"/>
        <c:scaling>
          <c:orientation val="minMax"/>
        </c:scaling>
        <c:delete val="1"/>
        <c:axPos val="b"/>
        <c:numFmt formatCode="General" sourceLinked="1"/>
        <c:tickLblPos val="none"/>
        <c:crossAx val="334317824"/>
        <c:crosses val="autoZero"/>
        <c:auto val="1"/>
        <c:lblAlgn val="ctr"/>
        <c:lblOffset val="100"/>
      </c:catAx>
      <c:spPr>
        <a:noFill/>
        <a:ln w="12700">
          <a:noFill/>
          <a:prstDash val="solid"/>
        </a:ln>
      </c:spPr>
    </c:plotArea>
    <c:legend>
      <c:legendPos val="r"/>
      <c:layout>
        <c:manualLayout>
          <c:xMode val="edge"/>
          <c:yMode val="edge"/>
          <c:x val="0.10964924318030611"/>
          <c:y val="0.73466770833333361"/>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49.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年陕西省与四川省、安徽省</a:t>
            </a:r>
            <a:endParaRPr lang="en-US" altLang="zh-CN" sz="1200" b="1"/>
          </a:p>
          <a:p>
            <a:pPr>
              <a:defRPr sz="1200" b="1"/>
            </a:pPr>
            <a:r>
              <a:rPr lang="zh-CN" altLang="en-US" sz="1200" b="1"/>
              <a:t>月独立设备数对比（万台）</a:t>
            </a:r>
          </a:p>
        </c:rich>
      </c:tx>
      <c:spPr>
        <a:noFill/>
        <a:ln w="25400">
          <a:noFill/>
        </a:ln>
      </c:spPr>
    </c:title>
    <c:plotArea>
      <c:layout>
        <c:manualLayout>
          <c:layoutTarget val="inner"/>
          <c:xMode val="edge"/>
          <c:yMode val="edge"/>
          <c:x val="0.10063840822292425"/>
          <c:y val="0.26517812500000021"/>
          <c:w val="0.8527457421115785"/>
          <c:h val="0.35733055555555576"/>
        </c:manualLayout>
      </c:layout>
      <c:lineChart>
        <c:grouping val="standard"/>
        <c:ser>
          <c:idx val="0"/>
          <c:order val="0"/>
          <c:tx>
            <c:strRef>
              <c:f>'2016-2017年移动端网络使用粘性数据处理'!$A$47</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numFmt formatCode="0.0_);[Red]\(0.0\)" sourceLinked="0"/>
            <c:dLblPos val="b"/>
            <c:showVal val="1"/>
          </c:dLbls>
          <c:cat>
            <c:strRef>
              <c:f>'2016-2017年移动端网络使用粘性数据处理'!$B$46:$I$46</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'2016-2017年移动端网络使用粘性数据处理'!$B$47:$I$47</c:f>
              <c:numCache>
                <c:formatCode>#,##0.00</c:formatCode>
                <c:ptCount val="8"/>
                <c:pt idx="0">
                  <c:v>2643.24</c:v>
                </c:pt>
                <c:pt idx="1">
                  <c:v>3146.3300000000017</c:v>
                </c:pt>
                <c:pt idx="2">
                  <c:v>3229.53</c:v>
                </c:pt>
                <c:pt idx="3">
                  <c:v>3275.3900000000012</c:v>
                </c:pt>
                <c:pt idx="4">
                  <c:v>3368.2799999999997</c:v>
                </c:pt>
                <c:pt idx="5">
                  <c:v>3475.16</c:v>
                </c:pt>
                <c:pt idx="6">
                  <c:v>3596.69</c:v>
                </c:pt>
                <c:pt idx="7">
                  <c:v>3717.8100000000018</c:v>
                </c:pt>
              </c:numCache>
            </c:numRef>
          </c:val>
        </c:ser>
        <c:ser>
          <c:idx val="1"/>
          <c:order val="1"/>
          <c:tx>
            <c:strRef>
              <c:f>'2016-2017年移动端网络使用粘性数据处理'!$A$48</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'2016-2017年移动端网络使用粘性数据处理'!$B$46:$I$46</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'2016-2017年移动端网络使用粘性数据处理'!$B$48:$I$48</c:f>
              <c:numCache>
                <c:formatCode>#,##0.00</c:formatCode>
                <c:ptCount val="8"/>
                <c:pt idx="0">
                  <c:v>4520.4000000000005</c:v>
                </c:pt>
                <c:pt idx="1">
                  <c:v>6291.6900000000014</c:v>
                </c:pt>
                <c:pt idx="2">
                  <c:v>6439.7</c:v>
                </c:pt>
                <c:pt idx="3">
                  <c:v>6516.1600000000035</c:v>
                </c:pt>
                <c:pt idx="4">
                  <c:v>6661.14</c:v>
                </c:pt>
                <c:pt idx="5">
                  <c:v>6985.48</c:v>
                </c:pt>
                <c:pt idx="6">
                  <c:v>7100.08</c:v>
                </c:pt>
                <c:pt idx="7">
                  <c:v>7371.04</c:v>
                </c:pt>
              </c:numCache>
            </c:numRef>
          </c:val>
        </c:ser>
        <c:ser>
          <c:idx val="2"/>
          <c:order val="2"/>
          <c:tx>
            <c:strRef>
              <c:f>'2016-2017年移动端网络使用粘性数据处理'!$A$49</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'2016-2017年移动端网络使用粘性数据处理'!$B$46:$I$46</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'2016-2017年移动端网络使用粘性数据处理'!$B$49:$I$49</c:f>
              <c:numCache>
                <c:formatCode>#,##0.00</c:formatCode>
                <c:ptCount val="8"/>
                <c:pt idx="0">
                  <c:v>2923.3900000000012</c:v>
                </c:pt>
                <c:pt idx="1">
                  <c:v>3163.21</c:v>
                </c:pt>
                <c:pt idx="2">
                  <c:v>3243.4500000000012</c:v>
                </c:pt>
                <c:pt idx="3">
                  <c:v>3306.65</c:v>
                </c:pt>
                <c:pt idx="4">
                  <c:v>3339.52</c:v>
                </c:pt>
                <c:pt idx="5">
                  <c:v>3490.4900000000002</c:v>
                </c:pt>
                <c:pt idx="6">
                  <c:v>3601.36</c:v>
                </c:pt>
                <c:pt idx="7">
                  <c:v>3713.61</c:v>
                </c:pt>
              </c:numCache>
            </c:numRef>
          </c:val>
        </c:ser>
        <c:dLbls>
          <c:showVal val="1"/>
        </c:dLbls>
        <c:marker val="1"/>
        <c:axId val="334505472"/>
        <c:axId val="334507008"/>
      </c:lineChart>
      <c:catAx>
        <c:axId val="33450547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507008"/>
        <c:crosses val="autoZero"/>
        <c:lblAlgn val="ctr"/>
        <c:lblOffset val="100"/>
        <c:tickLblSkip val="1"/>
        <c:tickMarkSkip val="1"/>
      </c:catAx>
      <c:valAx>
        <c:axId val="334507008"/>
        <c:scaling>
          <c:orientation val="minMax"/>
          <c:max val="800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505472"/>
        <c:crosses val="autoZero"/>
        <c:crossBetween val="between"/>
        <c:majorUnit val="2000"/>
        <c:minorUnit val="1000"/>
      </c:valAx>
      <c:spPr>
        <a:noFill/>
        <a:ln w="25400">
          <a:noFill/>
        </a:ln>
      </c:spPr>
    </c:plotArea>
    <c:legend>
      <c:legendPos val="r"/>
      <c:layout>
        <c:manualLayout>
          <c:xMode val="edge"/>
          <c:yMode val="edge"/>
          <c:x val="0.10700906941087808"/>
          <c:y val="0.72506923404144541"/>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pPr>
            <a:r>
              <a:rPr lang="en-US" sz="1200"/>
              <a:t>2018</a:t>
            </a:r>
            <a:r>
              <a:rPr lang="zh-CN" sz="1200"/>
              <a:t>年</a:t>
            </a:r>
            <a:r>
              <a:rPr lang="en-US" altLang="zh-CN" sz="1200"/>
              <a:t>6</a:t>
            </a:r>
            <a:r>
              <a:rPr lang="zh-CN" altLang="en-US" sz="1200"/>
              <a:t>月</a:t>
            </a:r>
            <a:r>
              <a:rPr lang="zh-CN" sz="1200"/>
              <a:t>陕西省</a:t>
            </a:r>
            <a:r>
              <a:rPr lang="zh-CN" altLang="en-US" sz="1200"/>
              <a:t>新媒体用户</a:t>
            </a:r>
            <a:r>
              <a:rPr lang="zh-CN" sz="1200"/>
              <a:t>性别分布</a:t>
            </a:r>
          </a:p>
        </c:rich>
      </c:tx>
    </c:title>
    <c:plotArea>
      <c:layout>
        <c:manualLayout>
          <c:layoutTarget val="inner"/>
          <c:xMode val="edge"/>
          <c:yMode val="edge"/>
          <c:x val="0.34178114519418906"/>
          <c:y val="0.19296797115802627"/>
          <c:w val="0.32064730356025301"/>
          <c:h val="0.50406448259969983"/>
        </c:manualLayout>
      </c:layout>
      <c:pieChart>
        <c:varyColors val="1"/>
        <c:ser>
          <c:idx val="0"/>
          <c:order val="0"/>
          <c:tx>
            <c:strRef>
              <c:f>新媒体!$C$14</c:f>
              <c:strCache>
                <c:ptCount val="1"/>
                <c:pt idx="0">
                  <c:v>陕西</c:v>
                </c:pt>
              </c:strCache>
            </c:strRef>
          </c:tx>
          <c:dPt>
            <c:idx val="0"/>
            <c:spPr>
              <a:solidFill>
                <a:srgbClr val="B2D234"/>
              </a:solidFill>
            </c:spPr>
            <c:extLst xmlns:c16r2="http://schemas.microsoft.com/office/drawing/2015/06/chart">
              <c:ext xmlns:c16="http://schemas.microsoft.com/office/drawing/2014/chart" uri="{C3380CC4-5D6E-409C-BE32-E72D297353CC}">
                <c16:uniqueId val="{00000001-24AB-4C9D-B7B6-93BF78D23BB9}"/>
              </c:ext>
            </c:extLst>
          </c:dPt>
          <c:dPt>
            <c:idx val="1"/>
            <c:spPr>
              <a:solidFill>
                <a:srgbClr val="FFFF00"/>
              </a:solidFill>
            </c:spPr>
            <c:extLst xmlns:c16r2="http://schemas.microsoft.com/office/drawing/2015/06/chart">
              <c:ext xmlns:c16="http://schemas.microsoft.com/office/drawing/2014/chart" uri="{C3380CC4-5D6E-409C-BE32-E72D297353CC}">
                <c16:uniqueId val="{00000003-24AB-4C9D-B7B6-93BF78D23BB9}"/>
              </c:ext>
            </c:extLst>
          </c:dPt>
          <c:dLbls>
            <c:dLbl>
              <c:idx val="0"/>
              <c:layout>
                <c:manualLayout>
                  <c:x val="7.5605930118110301E-2"/>
                  <c:y val="9.0604001602603512E-2"/>
                </c:manualLayout>
              </c:layout>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4AB-4C9D-B7B6-93BF78D23BB9}"/>
                </c:ext>
              </c:extLst>
            </c:dLbl>
            <c:dLbl>
              <c:idx val="1"/>
              <c:layout>
                <c:manualLayout>
                  <c:x val="-7.3689509514435717E-2"/>
                  <c:y val="-0.12833157537550779"/>
                </c:manualLayout>
              </c:layout>
              <c:showCatName val="1"/>
              <c:showPercent val="1"/>
              <c:separator>
</c:separator>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4AB-4C9D-B7B6-93BF78D23BB9}"/>
                </c:ext>
              </c:extLst>
            </c:dLbl>
            <c:dLbl>
              <c:idx val="2"/>
              <c:layout>
                <c:manualLayout>
                  <c:x val="0.15577557755775578"/>
                  <c:y val="-9.1337168180543066E-3"/>
                </c:manualLayout>
              </c:layout>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AB-4C9D-B7B6-93BF78D23BB9}"/>
                </c:ext>
              </c:extLst>
            </c:dLbl>
            <c:dLbl>
              <c:idx val="3"/>
              <c:layout>
                <c:manualLayout>
                  <c:x val="-1.8481848184818506E-2"/>
                  <c:y val="1.0165182887915123E-2"/>
                </c:manualLayout>
              </c:layout>
              <c:showCatName val="1"/>
              <c:showPercent val="1"/>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AB-4C9D-B7B6-93BF78D23BB9}"/>
                </c:ext>
              </c:extLst>
            </c:dLbl>
            <c:numFmt formatCode="0.0%" sourceLinked="0"/>
            <c:spPr>
              <a:noFill/>
              <a:ln>
                <a:noFill/>
              </a:ln>
              <a:effectLst/>
            </c:spPr>
            <c:txPr>
              <a:bodyPr/>
              <a:lstStyle/>
              <a:p>
                <a:pPr>
                  <a:defRPr sz="800">
                    <a:solidFill>
                      <a:sysClr val="windowText" lastClr="000000"/>
                    </a:solidFill>
                  </a:defRPr>
                </a:pPr>
                <a:endParaRPr lang="zh-CN"/>
              </a:p>
            </c:txPr>
            <c:showCatName val="1"/>
            <c:showPercent val="1"/>
            <c:separator>
</c:separator>
            <c:showLeaderLines val="1"/>
            <c:extLst xmlns:c16r2="http://schemas.microsoft.com/office/drawing/2015/06/chart">
              <c:ext xmlns:c15="http://schemas.microsoft.com/office/drawing/2012/chart" uri="{CE6537A1-D6FC-4f65-9D91-7224C49458BB}"/>
            </c:extLst>
          </c:dLbls>
          <c:cat>
            <c:strRef>
              <c:f>新媒体!$A$15:$A$16</c:f>
              <c:strCache>
                <c:ptCount val="2"/>
                <c:pt idx="0">
                  <c:v>男性</c:v>
                </c:pt>
                <c:pt idx="1">
                  <c:v>女性</c:v>
                </c:pt>
              </c:strCache>
            </c:strRef>
          </c:cat>
          <c:val>
            <c:numRef>
              <c:f>新媒体!$C$15:$C$16</c:f>
              <c:numCache>
                <c:formatCode>0.0%</c:formatCode>
                <c:ptCount val="2"/>
                <c:pt idx="0">
                  <c:v>0.54900000000000004</c:v>
                </c:pt>
                <c:pt idx="1">
                  <c:v>0.45100000000000001</c:v>
                </c:pt>
              </c:numCache>
            </c:numRef>
          </c:val>
          <c:extLst xmlns:c16r2="http://schemas.microsoft.com/office/drawing/2015/06/chart">
            <c:ext xmlns:c16="http://schemas.microsoft.com/office/drawing/2014/chart" uri="{C3380CC4-5D6E-409C-BE32-E72D297353CC}">
              <c16:uniqueId val="{00000006-24AB-4C9D-B7B6-93BF78D23BB9}"/>
            </c:ext>
          </c:extLst>
        </c:ser>
        <c:firstSliceAng val="0"/>
      </c:pieChart>
    </c:plotArea>
    <c:plotVisOnly val="1"/>
    <c:dispBlanksAs val="zero"/>
  </c:chart>
  <c:txPr>
    <a:bodyPr/>
    <a:lstStyle/>
    <a:p>
      <a:pPr>
        <a:defRPr>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5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年陕西省移动端单机使用天数</a:t>
            </a:r>
          </a:p>
        </c:rich>
      </c:tx>
      <c:spPr>
        <a:noFill/>
        <a:ln w="25400">
          <a:noFill/>
        </a:ln>
      </c:spPr>
    </c:title>
    <c:plotArea>
      <c:layout>
        <c:manualLayout>
          <c:layoutTarget val="inner"/>
          <c:xMode val="edge"/>
          <c:yMode val="edge"/>
          <c:x val="0.10063840822292425"/>
          <c:y val="0.19021284722222234"/>
          <c:w val="0.8527457421115785"/>
          <c:h val="0.445525"/>
        </c:manualLayout>
      </c:layout>
      <c:barChart>
        <c:barDir val="col"/>
        <c:grouping val="clustered"/>
        <c:ser>
          <c:idx val="0"/>
          <c:order val="0"/>
          <c:tx>
            <c:strRef>
              <c:f>'2016-2017年移动端网络使用粘性数据处理'!$A$7</c:f>
              <c:strCache>
                <c:ptCount val="1"/>
                <c:pt idx="0">
                  <c:v>单机使用天数（天）</c:v>
                </c:pt>
              </c:strCache>
            </c:strRef>
          </c:tx>
          <c:spPr>
            <a:solidFill>
              <a:srgbClr val="B2D234"/>
            </a:solidFill>
            <a:ln>
              <a:solidFill>
                <a:srgbClr val="B2D234"/>
              </a:solidFill>
            </a:ln>
          </c:spPr>
          <c:dLbls>
            <c:numFmt formatCode="0.0_);[Red]\(0.0\)" sourceLinked="0"/>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'2016-2017年移动端网络使用粘性数据处理'!$B$7:$I$7</c:f>
              <c:numCache>
                <c:formatCode>General</c:formatCode>
                <c:ptCount val="8"/>
                <c:pt idx="0">
                  <c:v>24.67</c:v>
                </c:pt>
                <c:pt idx="1">
                  <c:v>23.71</c:v>
                </c:pt>
                <c:pt idx="2">
                  <c:v>24.66</c:v>
                </c:pt>
                <c:pt idx="3">
                  <c:v>25.86</c:v>
                </c:pt>
                <c:pt idx="4">
                  <c:v>26.27</c:v>
                </c:pt>
                <c:pt idx="5">
                  <c:v>25.06</c:v>
                </c:pt>
                <c:pt idx="6">
                  <c:v>25.87</c:v>
                </c:pt>
                <c:pt idx="7">
                  <c:v>27.05</c:v>
                </c:pt>
              </c:numCache>
            </c:numRef>
          </c:val>
        </c:ser>
        <c:dLbls>
          <c:showVal val="1"/>
        </c:dLbls>
        <c:gapWidth val="60"/>
        <c:axId val="334562816"/>
        <c:axId val="334564352"/>
      </c:barChart>
      <c:lineChart>
        <c:grouping val="standard"/>
        <c:ser>
          <c:idx val="1"/>
          <c:order val="1"/>
          <c:tx>
            <c:strRef>
              <c:f>'2016-2017年移动端网络使用粘性数据处理'!$A$8</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'2016-2017年移动端网络使用粘性数据处理'!$B$8:$I$8</c:f>
              <c:numCache>
                <c:formatCode>0.00%</c:formatCode>
                <c:ptCount val="8"/>
                <c:pt idx="1">
                  <c:v>-3.8913660316173521E-2</c:v>
                </c:pt>
                <c:pt idx="2">
                  <c:v>4.0067482075073733E-2</c:v>
                </c:pt>
                <c:pt idx="3">
                  <c:v>4.8661800486617904E-2</c:v>
                </c:pt>
                <c:pt idx="4">
                  <c:v>1.5854601701469361E-2</c:v>
                </c:pt>
                <c:pt idx="5">
                  <c:v>-4.6060144651693953E-2</c:v>
                </c:pt>
                <c:pt idx="6">
                  <c:v>3.2322426177174846E-2</c:v>
                </c:pt>
                <c:pt idx="7">
                  <c:v>4.5612678778507817E-2</c:v>
                </c:pt>
              </c:numCache>
            </c:numRef>
          </c:val>
        </c:ser>
        <c:marker val="1"/>
        <c:axId val="334600448"/>
        <c:axId val="334598912"/>
      </c:lineChart>
      <c:catAx>
        <c:axId val="33456281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564352"/>
        <c:crosses val="autoZero"/>
        <c:lblAlgn val="ctr"/>
        <c:lblOffset val="100"/>
        <c:tickLblSkip val="1"/>
        <c:tickMarkSkip val="1"/>
      </c:catAx>
      <c:valAx>
        <c:axId val="334564352"/>
        <c:scaling>
          <c:orientation val="minMax"/>
          <c:max val="35"/>
          <c:min val="15"/>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562816"/>
        <c:crosses val="autoZero"/>
        <c:crossBetween val="between"/>
        <c:majorUnit val="5"/>
        <c:minorUnit val="1"/>
      </c:valAx>
      <c:valAx>
        <c:axId val="334598912"/>
        <c:scaling>
          <c:orientation val="minMax"/>
          <c:max val="0.5"/>
          <c:min val="-3"/>
        </c:scaling>
        <c:axPos val="r"/>
        <c:numFmt formatCode="General" sourceLinked="1"/>
        <c:majorTickMark val="none"/>
        <c:tickLblPos val="none"/>
        <c:spPr>
          <a:solidFill>
            <a:schemeClr val="bg1"/>
          </a:solidFill>
          <a:ln>
            <a:solidFill>
              <a:schemeClr val="bg1"/>
            </a:solidFill>
          </a:ln>
        </c:spPr>
        <c:crossAx val="334600448"/>
        <c:crosses val="max"/>
        <c:crossBetween val="between"/>
      </c:valAx>
      <c:catAx>
        <c:axId val="334600448"/>
        <c:scaling>
          <c:orientation val="minMax"/>
        </c:scaling>
        <c:delete val="1"/>
        <c:axPos val="b"/>
        <c:numFmt formatCode="General" sourceLinked="1"/>
        <c:tickLblPos val="none"/>
        <c:crossAx val="334598912"/>
        <c:crosses val="autoZero"/>
        <c:auto val="1"/>
        <c:lblAlgn val="ctr"/>
        <c:lblOffset val="100"/>
      </c:catAx>
      <c:spPr>
        <a:noFill/>
        <a:ln w="12700">
          <a:noFill/>
          <a:prstDash val="solid"/>
        </a:ln>
      </c:spPr>
    </c:plotArea>
    <c:legend>
      <c:legendPos val="r"/>
      <c:layout>
        <c:manualLayout>
          <c:xMode val="edge"/>
          <c:yMode val="edge"/>
          <c:x val="0.10964924318030611"/>
          <c:y val="0.73466770833333361"/>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51.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年陕西省与四川省、安徽省</a:t>
            </a:r>
            <a:endParaRPr lang="en-US" altLang="zh-CN" sz="1200" b="1"/>
          </a:p>
          <a:p>
            <a:pPr>
              <a:defRPr sz="1200" b="1"/>
            </a:pPr>
            <a:r>
              <a:rPr lang="zh-CN" altLang="en-US" sz="1200" b="1"/>
              <a:t>单机使用天数对比（天）</a:t>
            </a:r>
          </a:p>
        </c:rich>
      </c:tx>
      <c:spPr>
        <a:noFill/>
        <a:ln w="25400">
          <a:noFill/>
        </a:ln>
      </c:spPr>
    </c:title>
    <c:plotArea>
      <c:layout>
        <c:manualLayout>
          <c:layoutTarget val="inner"/>
          <c:xMode val="edge"/>
          <c:yMode val="edge"/>
          <c:x val="0.10063840822292425"/>
          <c:y val="0.26517812500000021"/>
          <c:w val="0.8527457421115785"/>
          <c:h val="0.35733055555555576"/>
        </c:manualLayout>
      </c:layout>
      <c:lineChart>
        <c:grouping val="standard"/>
        <c:ser>
          <c:idx val="0"/>
          <c:order val="0"/>
          <c:tx>
            <c:strRef>
              <c:f>'2016-2017年移动端网络使用粘性数据处理'!$A$55</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numFmt formatCode="0.0_);[Red]\(0.0\)" sourceLinked="0"/>
            <c:dLblPos val="t"/>
            <c:showVal val="1"/>
          </c:dLbls>
          <c:cat>
            <c:strRef>
              <c:f>'2016-2017年移动端网络使用粘性数据处理'!$B$54:$I$54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'2016-2017年移动端网络使用粘性数据处理'!$B$55:$I$55</c:f>
              <c:numCache>
                <c:formatCode>General</c:formatCode>
                <c:ptCount val="8"/>
                <c:pt idx="0">
                  <c:v>24.67</c:v>
                </c:pt>
                <c:pt idx="1">
                  <c:v>23.71</c:v>
                </c:pt>
                <c:pt idx="2">
                  <c:v>24.66</c:v>
                </c:pt>
                <c:pt idx="3">
                  <c:v>25.86</c:v>
                </c:pt>
                <c:pt idx="4">
                  <c:v>26.27</c:v>
                </c:pt>
                <c:pt idx="5">
                  <c:v>25.06</c:v>
                </c:pt>
                <c:pt idx="6">
                  <c:v>25.87</c:v>
                </c:pt>
                <c:pt idx="7">
                  <c:v>27.05</c:v>
                </c:pt>
              </c:numCache>
            </c:numRef>
          </c:val>
        </c:ser>
        <c:ser>
          <c:idx val="1"/>
          <c:order val="1"/>
          <c:tx>
            <c:strRef>
              <c:f>'2016-2017年移动端网络使用粘性数据处理'!$A$56</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'2016-2017年移动端网络使用粘性数据处理'!$B$54:$I$54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'2016-2017年移动端网络使用粘性数据处理'!$B$56:$I$56</c:f>
              <c:numCache>
                <c:formatCode>General</c:formatCode>
                <c:ptCount val="8"/>
                <c:pt idx="0">
                  <c:v>24.259999999999987</c:v>
                </c:pt>
                <c:pt idx="1">
                  <c:v>23.55</c:v>
                </c:pt>
                <c:pt idx="2">
                  <c:v>24.630000000000013</c:v>
                </c:pt>
                <c:pt idx="3">
                  <c:v>25.9</c:v>
                </c:pt>
                <c:pt idx="4">
                  <c:v>26.14</c:v>
                </c:pt>
                <c:pt idx="5">
                  <c:v>25.05</c:v>
                </c:pt>
                <c:pt idx="6">
                  <c:v>25.8</c:v>
                </c:pt>
                <c:pt idx="7">
                  <c:v>26.97</c:v>
                </c:pt>
              </c:numCache>
            </c:numRef>
          </c:val>
        </c:ser>
        <c:ser>
          <c:idx val="2"/>
          <c:order val="2"/>
          <c:tx>
            <c:strRef>
              <c:f>'2016-2017年移动端网络使用粘性数据处理'!$A$57</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'2016-2017年移动端网络使用粘性数据处理'!$B$54:$I$54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'2016-2017年移动端网络使用粘性数据处理'!$B$57:$I$57</c:f>
              <c:numCache>
                <c:formatCode>General</c:formatCode>
                <c:ptCount val="8"/>
                <c:pt idx="0">
                  <c:v>24.25</c:v>
                </c:pt>
                <c:pt idx="1">
                  <c:v>23.67</c:v>
                </c:pt>
                <c:pt idx="2">
                  <c:v>24.67</c:v>
                </c:pt>
                <c:pt idx="3">
                  <c:v>25.830000000000005</c:v>
                </c:pt>
                <c:pt idx="4">
                  <c:v>26.130000000000013</c:v>
                </c:pt>
                <c:pt idx="5">
                  <c:v>25.16</c:v>
                </c:pt>
                <c:pt idx="6">
                  <c:v>25.89</c:v>
                </c:pt>
                <c:pt idx="7">
                  <c:v>26.87</c:v>
                </c:pt>
              </c:numCache>
            </c:numRef>
          </c:val>
        </c:ser>
        <c:dLbls>
          <c:showVal val="1"/>
        </c:dLbls>
        <c:marker val="1"/>
        <c:axId val="334634368"/>
        <c:axId val="334665216"/>
      </c:lineChart>
      <c:catAx>
        <c:axId val="33463436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665216"/>
        <c:crosses val="autoZero"/>
        <c:lblAlgn val="ctr"/>
        <c:lblOffset val="100"/>
        <c:tickLblSkip val="1"/>
        <c:tickMarkSkip val="1"/>
      </c:catAx>
      <c:valAx>
        <c:axId val="334665216"/>
        <c:scaling>
          <c:orientation val="minMax"/>
          <c:max val="28"/>
          <c:min val="22"/>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634368"/>
        <c:crosses val="autoZero"/>
        <c:crossBetween val="between"/>
        <c:majorUnit val="2"/>
        <c:minorUnit val="1"/>
      </c:valAx>
      <c:spPr>
        <a:noFill/>
        <a:ln w="25400">
          <a:noFill/>
        </a:ln>
      </c:spPr>
    </c:plotArea>
    <c:legend>
      <c:legendPos val="r"/>
      <c:layout>
        <c:manualLayout>
          <c:xMode val="edge"/>
          <c:yMode val="edge"/>
          <c:x val="0.10964925791461705"/>
          <c:y val="0.70820937233406278"/>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5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年陕西省移动端单机单日使用次数</a:t>
            </a:r>
          </a:p>
        </c:rich>
      </c:tx>
      <c:spPr>
        <a:noFill/>
        <a:ln w="25400">
          <a:noFill/>
        </a:ln>
      </c:spPr>
    </c:title>
    <c:plotArea>
      <c:layout>
        <c:manualLayout>
          <c:layoutTarget val="inner"/>
          <c:xMode val="edge"/>
          <c:yMode val="edge"/>
          <c:x val="0.10063840822292425"/>
          <c:y val="0.19021284722222234"/>
          <c:w val="0.8527457421115785"/>
          <c:h val="0.445525"/>
        </c:manualLayout>
      </c:layout>
      <c:barChart>
        <c:barDir val="col"/>
        <c:grouping val="clustered"/>
        <c:ser>
          <c:idx val="0"/>
          <c:order val="0"/>
          <c:tx>
            <c:strRef>
              <c:f>'2016-2017年移动端网络使用粘性数据处理'!$A$9</c:f>
              <c:strCache>
                <c:ptCount val="1"/>
                <c:pt idx="0">
                  <c:v>单机单日使用次数（次）</c:v>
                </c:pt>
              </c:strCache>
            </c:strRef>
          </c:tx>
          <c:spPr>
            <a:solidFill>
              <a:srgbClr val="B2D234"/>
            </a:solidFill>
            <a:ln>
              <a:solidFill>
                <a:srgbClr val="B2D234"/>
              </a:solidFill>
            </a:ln>
          </c:spPr>
          <c:dLbls>
            <c:dLbl>
              <c:idx val="7"/>
              <c:layout>
                <c:manualLayout>
                  <c:x val="0"/>
                  <c:y val="1.3229166666666677E-2"/>
                </c:manualLayout>
              </c:layout>
              <c:showVal val="1"/>
            </c:dLbl>
            <c:numFmt formatCode="0.0_);[Red]\(0.0\)" sourceLinked="0"/>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'2016-2017年移动端网络使用粘性数据处理'!$B$9:$I$9</c:f>
              <c:numCache>
                <c:formatCode>General</c:formatCode>
                <c:ptCount val="8"/>
                <c:pt idx="0">
                  <c:v>19.03</c:v>
                </c:pt>
                <c:pt idx="1">
                  <c:v>19.5</c:v>
                </c:pt>
                <c:pt idx="2">
                  <c:v>19.91</c:v>
                </c:pt>
                <c:pt idx="3">
                  <c:v>20.34</c:v>
                </c:pt>
                <c:pt idx="4">
                  <c:v>20.5</c:v>
                </c:pt>
                <c:pt idx="5">
                  <c:v>21.05</c:v>
                </c:pt>
                <c:pt idx="6">
                  <c:v>23.03</c:v>
                </c:pt>
                <c:pt idx="7">
                  <c:v>25.17</c:v>
                </c:pt>
              </c:numCache>
            </c:numRef>
          </c:val>
        </c:ser>
        <c:dLbls>
          <c:showVal val="1"/>
        </c:dLbls>
        <c:gapWidth val="60"/>
        <c:axId val="334700544"/>
        <c:axId val="334702080"/>
      </c:barChart>
      <c:lineChart>
        <c:grouping val="standard"/>
        <c:ser>
          <c:idx val="1"/>
          <c:order val="1"/>
          <c:tx>
            <c:strRef>
              <c:f>'2016-2017年移动端网络使用粘性数据处理'!$A$10</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'2016-2017年移动端网络使用粘性数据处理'!$B$10:$I$10</c:f>
              <c:numCache>
                <c:formatCode>0.00%</c:formatCode>
                <c:ptCount val="8"/>
                <c:pt idx="1">
                  <c:v>2.4697845507094109E-2</c:v>
                </c:pt>
                <c:pt idx="2">
                  <c:v>2.1025641025641091E-2</c:v>
                </c:pt>
                <c:pt idx="3">
                  <c:v>2.1597187343043608E-2</c:v>
                </c:pt>
                <c:pt idx="4">
                  <c:v>7.8662733529990606E-3</c:v>
                </c:pt>
                <c:pt idx="5">
                  <c:v>2.6829268292682951E-2</c:v>
                </c:pt>
                <c:pt idx="6">
                  <c:v>9.4061757719714909E-2</c:v>
                </c:pt>
                <c:pt idx="7">
                  <c:v>9.2922275293096115E-2</c:v>
                </c:pt>
              </c:numCache>
            </c:numRef>
          </c:val>
        </c:ser>
        <c:marker val="1"/>
        <c:axId val="334721792"/>
        <c:axId val="334703616"/>
      </c:lineChart>
      <c:catAx>
        <c:axId val="33470054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702080"/>
        <c:crosses val="autoZero"/>
        <c:lblAlgn val="ctr"/>
        <c:lblOffset val="100"/>
        <c:tickLblSkip val="1"/>
        <c:tickMarkSkip val="1"/>
      </c:catAx>
      <c:valAx>
        <c:axId val="334702080"/>
        <c:scaling>
          <c:orientation val="minMax"/>
          <c:max val="30"/>
          <c:min val="15"/>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700544"/>
        <c:crosses val="autoZero"/>
        <c:crossBetween val="between"/>
        <c:majorUnit val="5"/>
        <c:minorUnit val="1"/>
      </c:valAx>
      <c:valAx>
        <c:axId val="334703616"/>
        <c:scaling>
          <c:orientation val="minMax"/>
          <c:max val="0.5"/>
          <c:min val="-3"/>
        </c:scaling>
        <c:axPos val="r"/>
        <c:numFmt formatCode="General" sourceLinked="1"/>
        <c:majorTickMark val="none"/>
        <c:tickLblPos val="none"/>
        <c:spPr>
          <a:solidFill>
            <a:schemeClr val="bg1"/>
          </a:solidFill>
          <a:ln>
            <a:solidFill>
              <a:schemeClr val="bg1"/>
            </a:solidFill>
          </a:ln>
        </c:spPr>
        <c:crossAx val="334721792"/>
        <c:crosses val="max"/>
        <c:crossBetween val="between"/>
      </c:valAx>
      <c:catAx>
        <c:axId val="334721792"/>
        <c:scaling>
          <c:orientation val="minMax"/>
        </c:scaling>
        <c:delete val="1"/>
        <c:axPos val="b"/>
        <c:numFmt formatCode="General" sourceLinked="1"/>
        <c:tickLblPos val="none"/>
        <c:crossAx val="334703616"/>
        <c:crosses val="autoZero"/>
        <c:auto val="1"/>
        <c:lblAlgn val="ctr"/>
        <c:lblOffset val="100"/>
      </c:catAx>
      <c:spPr>
        <a:noFill/>
        <a:ln w="12700">
          <a:noFill/>
          <a:prstDash val="solid"/>
        </a:ln>
      </c:spPr>
    </c:plotArea>
    <c:legend>
      <c:legendPos val="r"/>
      <c:layout>
        <c:manualLayout>
          <c:xMode val="edge"/>
          <c:yMode val="edge"/>
          <c:x val="0.10964924318030611"/>
          <c:y val="0.73466770833333361"/>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5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年陕西省与四川省、安徽省</a:t>
            </a:r>
            <a:endParaRPr lang="en-US" altLang="zh-CN" sz="1200" b="1"/>
          </a:p>
          <a:p>
            <a:pPr>
              <a:defRPr sz="1200" b="1"/>
            </a:pPr>
            <a:r>
              <a:rPr lang="zh-CN" altLang="en-US" sz="1200" b="1"/>
              <a:t>单机单日使用次数对比（次）</a:t>
            </a:r>
          </a:p>
        </c:rich>
      </c:tx>
      <c:spPr>
        <a:noFill/>
        <a:ln w="25400">
          <a:noFill/>
        </a:ln>
      </c:spPr>
    </c:title>
    <c:plotArea>
      <c:layout>
        <c:manualLayout>
          <c:layoutTarget val="inner"/>
          <c:xMode val="edge"/>
          <c:yMode val="edge"/>
          <c:x val="0.10063840822292425"/>
          <c:y val="0.26517812500000021"/>
          <c:w val="0.8527457421115785"/>
          <c:h val="0.35733055555555576"/>
        </c:manualLayout>
      </c:layout>
      <c:lineChart>
        <c:grouping val="standard"/>
        <c:ser>
          <c:idx val="0"/>
          <c:order val="0"/>
          <c:tx>
            <c:strRef>
              <c:f>'2016-2017年移动端网络使用粘性数据处理'!$A$63</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numFmt formatCode="0.0_);[Red]\(0.0\)" sourceLinked="0"/>
            <c:dLblPos val="t"/>
            <c:showVal val="1"/>
          </c:dLbls>
          <c:cat>
            <c:strRef>
              <c:f>'2016-2017年移动端网络使用粘性数据处理'!$B$62:$I$62</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'2016-2017年移动端网络使用粘性数据处理'!$B$63:$I$63</c:f>
              <c:numCache>
                <c:formatCode>General</c:formatCode>
                <c:ptCount val="8"/>
                <c:pt idx="0">
                  <c:v>19.03</c:v>
                </c:pt>
                <c:pt idx="1">
                  <c:v>19.5</c:v>
                </c:pt>
                <c:pt idx="2">
                  <c:v>19.91</c:v>
                </c:pt>
                <c:pt idx="3">
                  <c:v>20.34</c:v>
                </c:pt>
                <c:pt idx="4">
                  <c:v>20.5</c:v>
                </c:pt>
                <c:pt idx="5">
                  <c:v>21.05</c:v>
                </c:pt>
                <c:pt idx="6">
                  <c:v>23.03</c:v>
                </c:pt>
                <c:pt idx="7">
                  <c:v>25.17</c:v>
                </c:pt>
              </c:numCache>
            </c:numRef>
          </c:val>
        </c:ser>
        <c:ser>
          <c:idx val="1"/>
          <c:order val="1"/>
          <c:tx>
            <c:strRef>
              <c:f>'2016-2017年移动端网络使用粘性数据处理'!$A$64</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'2016-2017年移动端网络使用粘性数据处理'!$B$62:$I$62</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'2016-2017年移动端网络使用粘性数据处理'!$B$64:$I$64</c:f>
              <c:numCache>
                <c:formatCode>General</c:formatCode>
                <c:ptCount val="8"/>
                <c:pt idx="0">
                  <c:v>18.920000000000002</c:v>
                </c:pt>
                <c:pt idx="1">
                  <c:v>19.3</c:v>
                </c:pt>
                <c:pt idx="2">
                  <c:v>19.5</c:v>
                </c:pt>
                <c:pt idx="3">
                  <c:v>19.600000000000001</c:v>
                </c:pt>
                <c:pt idx="4">
                  <c:v>19.829999999999988</c:v>
                </c:pt>
                <c:pt idx="5">
                  <c:v>20.86</c:v>
                </c:pt>
                <c:pt idx="6">
                  <c:v>23.8</c:v>
                </c:pt>
                <c:pt idx="7">
                  <c:v>25.21</c:v>
                </c:pt>
              </c:numCache>
            </c:numRef>
          </c:val>
        </c:ser>
        <c:ser>
          <c:idx val="2"/>
          <c:order val="2"/>
          <c:tx>
            <c:strRef>
              <c:f>'2016-2017年移动端网络使用粘性数据处理'!$A$65</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'2016-2017年移动端网络使用粘性数据处理'!$B$62:$I$62</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'2016-2017年移动端网络使用粘性数据处理'!$B$65:$I$65</c:f>
              <c:numCache>
                <c:formatCode>General</c:formatCode>
                <c:ptCount val="8"/>
                <c:pt idx="0">
                  <c:v>19.130000000000013</c:v>
                </c:pt>
                <c:pt idx="1">
                  <c:v>19.57</c:v>
                </c:pt>
                <c:pt idx="2">
                  <c:v>19.77</c:v>
                </c:pt>
                <c:pt idx="3">
                  <c:v>19.82</c:v>
                </c:pt>
                <c:pt idx="4">
                  <c:v>19.72</c:v>
                </c:pt>
                <c:pt idx="5">
                  <c:v>20.71</c:v>
                </c:pt>
                <c:pt idx="6">
                  <c:v>23.150000000000013</c:v>
                </c:pt>
                <c:pt idx="7">
                  <c:v>23.79</c:v>
                </c:pt>
              </c:numCache>
            </c:numRef>
          </c:val>
        </c:ser>
        <c:dLbls>
          <c:showVal val="1"/>
        </c:dLbls>
        <c:marker val="1"/>
        <c:axId val="334776192"/>
        <c:axId val="334786560"/>
      </c:lineChart>
      <c:catAx>
        <c:axId val="33477619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4786560"/>
        <c:crosses val="autoZero"/>
        <c:lblAlgn val="ctr"/>
        <c:lblOffset val="100"/>
        <c:tickLblSkip val="1"/>
        <c:tickMarkSkip val="1"/>
      </c:catAx>
      <c:valAx>
        <c:axId val="334786560"/>
        <c:scaling>
          <c:orientation val="minMax"/>
          <c:max val="27"/>
          <c:min val="15"/>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4776192"/>
        <c:crosses val="autoZero"/>
        <c:crossBetween val="between"/>
        <c:majorUnit val="5"/>
        <c:minorUnit val="1"/>
      </c:valAx>
      <c:spPr>
        <a:noFill/>
        <a:ln w="25400">
          <a:noFill/>
        </a:ln>
      </c:spPr>
    </c:plotArea>
    <c:legend>
      <c:legendPos val="r"/>
      <c:layout>
        <c:manualLayout>
          <c:xMode val="edge"/>
          <c:yMode val="edge"/>
          <c:x val="0.10964925791461705"/>
          <c:y val="0.70820937233406278"/>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5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年陕西省移动端单机单次有效时间</a:t>
            </a:r>
          </a:p>
        </c:rich>
      </c:tx>
      <c:spPr>
        <a:noFill/>
        <a:ln w="25400">
          <a:noFill/>
        </a:ln>
      </c:spPr>
    </c:title>
    <c:plotArea>
      <c:layout>
        <c:manualLayout>
          <c:layoutTarget val="inner"/>
          <c:xMode val="edge"/>
          <c:yMode val="edge"/>
          <c:x val="0.10063840822292425"/>
          <c:y val="0.19021284722222234"/>
          <c:w val="0.8527457421115785"/>
          <c:h val="0.445525"/>
        </c:manualLayout>
      </c:layout>
      <c:barChart>
        <c:barDir val="col"/>
        <c:grouping val="clustered"/>
        <c:ser>
          <c:idx val="0"/>
          <c:order val="0"/>
          <c:tx>
            <c:strRef>
              <c:f>'2016-2017年移动端网络使用粘性数据处理'!$A$11</c:f>
              <c:strCache>
                <c:ptCount val="1"/>
                <c:pt idx="0">
                  <c:v>单机单次有效时间（分钟）</c:v>
                </c:pt>
              </c:strCache>
            </c:strRef>
          </c:tx>
          <c:spPr>
            <a:solidFill>
              <a:srgbClr val="B2D234"/>
            </a:solidFill>
            <a:ln>
              <a:solidFill>
                <a:srgbClr val="B2D234"/>
              </a:solidFill>
            </a:ln>
          </c:spPr>
          <c:dLbls>
            <c:numFmt formatCode="0.0_);[Red]\(0.0\)" sourceLinked="0"/>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'2016-2017年移动端网络使用粘性数据处理'!$B$11:$I$11</c:f>
              <c:numCache>
                <c:formatCode>General</c:formatCode>
                <c:ptCount val="8"/>
                <c:pt idx="0">
                  <c:v>7.23</c:v>
                </c:pt>
                <c:pt idx="1">
                  <c:v>7.22</c:v>
                </c:pt>
                <c:pt idx="2">
                  <c:v>7.29</c:v>
                </c:pt>
                <c:pt idx="3">
                  <c:v>7.44</c:v>
                </c:pt>
                <c:pt idx="4">
                  <c:v>7.75</c:v>
                </c:pt>
                <c:pt idx="5">
                  <c:v>7.6599999999999975</c:v>
                </c:pt>
                <c:pt idx="6">
                  <c:v>6.81</c:v>
                </c:pt>
                <c:pt idx="7">
                  <c:v>6.57</c:v>
                </c:pt>
              </c:numCache>
            </c:numRef>
          </c:val>
        </c:ser>
        <c:dLbls>
          <c:showVal val="1"/>
        </c:dLbls>
        <c:gapWidth val="60"/>
        <c:axId val="335882496"/>
        <c:axId val="335884288"/>
      </c:barChart>
      <c:lineChart>
        <c:grouping val="standard"/>
        <c:ser>
          <c:idx val="1"/>
          <c:order val="1"/>
          <c:tx>
            <c:strRef>
              <c:f>'2016-2017年移动端网络使用粘性数据处理'!$A$12</c:f>
              <c:strCache>
                <c:ptCount val="1"/>
                <c:pt idx="0">
                  <c:v>增长率</c:v>
                </c:pt>
              </c:strCache>
            </c:strRef>
          </c:tx>
          <c:spPr>
            <a:ln>
              <a:solidFill>
                <a:srgbClr val="1EC8F3"/>
              </a:solidFill>
            </a:ln>
          </c:spPr>
          <c:marker>
            <c:symbol val="circle"/>
            <c:size val="5"/>
            <c:spPr>
              <a:solidFill>
                <a:srgbClr val="1EC8F3"/>
              </a:solidFill>
              <a:ln>
                <a:solidFill>
                  <a:srgbClr val="1EC8F3"/>
                </a:solidFill>
              </a:ln>
            </c:spPr>
          </c:marker>
          <c:dLbls>
            <c:numFmt formatCode="0.0%" sourceLinked="0"/>
            <c:dLblPos val="t"/>
            <c:showVal val="1"/>
          </c:dLbls>
          <c:cat>
            <c:strRef>
              <c:f>'2016-2017年移动端网络使用粘性数据处理'!$B$4:$I$4</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'2016-2017年移动端网络使用粘性数据处理'!$B$12:$I$12</c:f>
              <c:numCache>
                <c:formatCode>0.00%</c:formatCode>
                <c:ptCount val="8"/>
                <c:pt idx="1">
                  <c:v>-1.3831258644537733E-3</c:v>
                </c:pt>
                <c:pt idx="2">
                  <c:v>9.6952908587257941E-3</c:v>
                </c:pt>
                <c:pt idx="3">
                  <c:v>2.0576131687242809E-2</c:v>
                </c:pt>
                <c:pt idx="4">
                  <c:v>4.1666666666666505E-2</c:v>
                </c:pt>
                <c:pt idx="5">
                  <c:v>-1.161290322580644E-2</c:v>
                </c:pt>
                <c:pt idx="6">
                  <c:v>-0.11096605744125344</c:v>
                </c:pt>
                <c:pt idx="7">
                  <c:v>-3.5242290748898619E-2</c:v>
                </c:pt>
              </c:numCache>
            </c:numRef>
          </c:val>
        </c:ser>
        <c:marker val="1"/>
        <c:axId val="335887360"/>
        <c:axId val="335885824"/>
      </c:lineChart>
      <c:catAx>
        <c:axId val="33588249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5884288"/>
        <c:crosses val="autoZero"/>
        <c:lblAlgn val="ctr"/>
        <c:lblOffset val="100"/>
        <c:tickLblSkip val="1"/>
        <c:tickMarkSkip val="1"/>
      </c:catAx>
      <c:valAx>
        <c:axId val="335884288"/>
        <c:scaling>
          <c:orientation val="minMax"/>
          <c:max val="10"/>
          <c:min val="4"/>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5882496"/>
        <c:crosses val="autoZero"/>
        <c:crossBetween val="between"/>
        <c:majorUnit val="2"/>
        <c:minorUnit val="1"/>
      </c:valAx>
      <c:valAx>
        <c:axId val="335885824"/>
        <c:scaling>
          <c:orientation val="minMax"/>
          <c:max val="0.5"/>
          <c:min val="-3"/>
        </c:scaling>
        <c:axPos val="r"/>
        <c:numFmt formatCode="General" sourceLinked="1"/>
        <c:majorTickMark val="none"/>
        <c:tickLblPos val="none"/>
        <c:spPr>
          <a:solidFill>
            <a:schemeClr val="bg1"/>
          </a:solidFill>
          <a:ln>
            <a:solidFill>
              <a:schemeClr val="bg1"/>
            </a:solidFill>
          </a:ln>
        </c:spPr>
        <c:crossAx val="335887360"/>
        <c:crosses val="max"/>
        <c:crossBetween val="between"/>
      </c:valAx>
      <c:catAx>
        <c:axId val="335887360"/>
        <c:scaling>
          <c:orientation val="minMax"/>
        </c:scaling>
        <c:delete val="1"/>
        <c:axPos val="b"/>
        <c:numFmt formatCode="General" sourceLinked="1"/>
        <c:tickLblPos val="none"/>
        <c:crossAx val="335885824"/>
        <c:crosses val="autoZero"/>
        <c:auto val="1"/>
        <c:lblAlgn val="ctr"/>
        <c:lblOffset val="100"/>
      </c:catAx>
      <c:spPr>
        <a:noFill/>
        <a:ln w="12700">
          <a:noFill/>
          <a:prstDash val="solid"/>
        </a:ln>
      </c:spPr>
    </c:plotArea>
    <c:legend>
      <c:legendPos val="r"/>
      <c:layout>
        <c:manualLayout>
          <c:xMode val="edge"/>
          <c:yMode val="edge"/>
          <c:x val="0.10964924318030611"/>
          <c:y val="0.73466770833333361"/>
          <c:w val="0.80638722554890219"/>
          <c:h val="5.933656622594334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5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2016-2017</a:t>
            </a:r>
            <a:r>
              <a:rPr lang="zh-CN" altLang="en-US" sz="1200" b="1"/>
              <a:t>年陕西省与四川省、安徽省</a:t>
            </a:r>
            <a:endParaRPr lang="en-US" altLang="zh-CN" sz="1200" b="1"/>
          </a:p>
          <a:p>
            <a:pPr>
              <a:defRPr sz="1200" b="1"/>
            </a:pPr>
            <a:r>
              <a:rPr lang="zh-CN" altLang="en-US" sz="1200" b="1"/>
              <a:t>单机单次有效时间对比（分钟）</a:t>
            </a:r>
          </a:p>
        </c:rich>
      </c:tx>
      <c:spPr>
        <a:noFill/>
        <a:ln w="25400">
          <a:noFill/>
        </a:ln>
      </c:spPr>
    </c:title>
    <c:plotArea>
      <c:layout>
        <c:manualLayout>
          <c:layoutTarget val="inner"/>
          <c:xMode val="edge"/>
          <c:yMode val="edge"/>
          <c:x val="0.10063840822292425"/>
          <c:y val="0.26517812500000021"/>
          <c:w val="0.8527457421115785"/>
          <c:h val="0.35733055555555576"/>
        </c:manualLayout>
      </c:layout>
      <c:lineChart>
        <c:grouping val="standard"/>
        <c:ser>
          <c:idx val="0"/>
          <c:order val="0"/>
          <c:tx>
            <c:strRef>
              <c:f>'2016-2017年移动端网络使用粘性数据处理'!$A$71</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5"/>
              <c:layout>
                <c:manualLayout>
                  <c:x val="-3.4729915169660695E-2"/>
                  <c:y val="-4.7911458333333407E-2"/>
                </c:manualLayout>
              </c:layout>
              <c:dLblPos val="r"/>
              <c:showVal val="1"/>
            </c:dLbl>
            <c:numFmt formatCode="0.0_);[Red]\(0.0\)" sourceLinked="0"/>
            <c:dLblPos val="t"/>
            <c:showVal val="1"/>
          </c:dLbls>
          <c:cat>
            <c:strRef>
              <c:f>'2016-2017年移动端网络使用粘性数据处理'!$B$70:$I$70</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'2016-2017年移动端网络使用粘性数据处理'!$B$71:$I$71</c:f>
              <c:numCache>
                <c:formatCode>General</c:formatCode>
                <c:ptCount val="8"/>
                <c:pt idx="0">
                  <c:v>7.23</c:v>
                </c:pt>
                <c:pt idx="1">
                  <c:v>7.22</c:v>
                </c:pt>
                <c:pt idx="2">
                  <c:v>7.29</c:v>
                </c:pt>
                <c:pt idx="3">
                  <c:v>7.44</c:v>
                </c:pt>
                <c:pt idx="4">
                  <c:v>7.75</c:v>
                </c:pt>
                <c:pt idx="5">
                  <c:v>7.6599999999999975</c:v>
                </c:pt>
                <c:pt idx="6">
                  <c:v>6.81</c:v>
                </c:pt>
                <c:pt idx="7">
                  <c:v>6.57</c:v>
                </c:pt>
              </c:numCache>
            </c:numRef>
          </c:val>
        </c:ser>
        <c:ser>
          <c:idx val="1"/>
          <c:order val="1"/>
          <c:tx>
            <c:strRef>
              <c:f>'2016-2017年移动端网络使用粘性数据处理'!$A$72</c:f>
              <c:strCache>
                <c:ptCount val="1"/>
                <c:pt idx="0">
                  <c:v>四川</c:v>
                </c:pt>
              </c:strCache>
            </c:strRef>
          </c:tx>
          <c:spPr>
            <a:ln>
              <a:solidFill>
                <a:srgbClr val="F59B9B"/>
              </a:solidFill>
            </a:ln>
          </c:spPr>
          <c:marker>
            <c:symbol val="circle"/>
            <c:size val="5"/>
            <c:spPr>
              <a:solidFill>
                <a:srgbClr val="F59B9B"/>
              </a:solidFill>
              <a:ln>
                <a:solidFill>
                  <a:srgbClr val="F59B9B"/>
                </a:solidFill>
              </a:ln>
            </c:spPr>
          </c:marker>
          <c:dLbls>
            <c:delete val="1"/>
          </c:dLbls>
          <c:cat>
            <c:strRef>
              <c:f>'2016-2017年移动端网络使用粘性数据处理'!$B$70:$I$70</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'2016-2017年移动端网络使用粘性数据处理'!$B$72:$I$72</c:f>
              <c:numCache>
                <c:formatCode>General</c:formatCode>
                <c:ptCount val="8"/>
                <c:pt idx="0">
                  <c:v>7.24</c:v>
                </c:pt>
                <c:pt idx="1">
                  <c:v>7.26</c:v>
                </c:pt>
                <c:pt idx="2">
                  <c:v>7.26</c:v>
                </c:pt>
                <c:pt idx="3">
                  <c:v>7.34</c:v>
                </c:pt>
                <c:pt idx="4">
                  <c:v>7.79</c:v>
                </c:pt>
                <c:pt idx="5">
                  <c:v>7.87</c:v>
                </c:pt>
                <c:pt idx="6">
                  <c:v>6.83</c:v>
                </c:pt>
                <c:pt idx="7">
                  <c:v>6.3199999999999985</c:v>
                </c:pt>
              </c:numCache>
            </c:numRef>
          </c:val>
        </c:ser>
        <c:ser>
          <c:idx val="2"/>
          <c:order val="2"/>
          <c:tx>
            <c:strRef>
              <c:f>'2016-2017年移动端网络使用粘性数据处理'!$A$73</c:f>
              <c:strCache>
                <c:ptCount val="1"/>
                <c:pt idx="0">
                  <c:v>安徽</c:v>
                </c:pt>
              </c:strCache>
            </c:strRef>
          </c:tx>
          <c:spPr>
            <a:ln>
              <a:solidFill>
                <a:srgbClr val="1EC8F3"/>
              </a:solidFill>
            </a:ln>
          </c:spPr>
          <c:marker>
            <c:symbol val="circle"/>
            <c:size val="5"/>
            <c:spPr>
              <a:solidFill>
                <a:srgbClr val="1EC8F3"/>
              </a:solidFill>
              <a:ln>
                <a:solidFill>
                  <a:srgbClr val="1EC8F3"/>
                </a:solidFill>
              </a:ln>
            </c:spPr>
          </c:marker>
          <c:dLbls>
            <c:delete val="1"/>
          </c:dLbls>
          <c:cat>
            <c:strRef>
              <c:f>'2016-2017年移动端网络使用粘性数据处理'!$B$70:$I$70</c:f>
              <c:strCache>
                <c:ptCount val="8"/>
                <c:pt idx="0">
                  <c:v> 2016-03</c:v>
                </c:pt>
                <c:pt idx="1">
                  <c:v> 2016-06</c:v>
                </c:pt>
                <c:pt idx="2">
                  <c:v> 2016-09</c:v>
                </c:pt>
                <c:pt idx="3">
                  <c:v> 2016-12</c:v>
                </c:pt>
                <c:pt idx="4">
                  <c:v> 2017-03</c:v>
                </c:pt>
                <c:pt idx="5">
                  <c:v> 2017-06</c:v>
                </c:pt>
                <c:pt idx="6">
                  <c:v> 2017-09</c:v>
                </c:pt>
                <c:pt idx="7">
                  <c:v> 2017-12</c:v>
                </c:pt>
              </c:strCache>
            </c:strRef>
          </c:cat>
          <c:val>
            <c:numRef>
              <c:f>'2016-2017年移动端网络使用粘性数据处理'!$B$73:$I$73</c:f>
              <c:numCache>
                <c:formatCode>General</c:formatCode>
                <c:ptCount val="8"/>
                <c:pt idx="0">
                  <c:v>7.23</c:v>
                </c:pt>
                <c:pt idx="1">
                  <c:v>7.25</c:v>
                </c:pt>
                <c:pt idx="2">
                  <c:v>7.22</c:v>
                </c:pt>
                <c:pt idx="3">
                  <c:v>7.41</c:v>
                </c:pt>
                <c:pt idx="4">
                  <c:v>7.81</c:v>
                </c:pt>
                <c:pt idx="5">
                  <c:v>8.11</c:v>
                </c:pt>
                <c:pt idx="6">
                  <c:v>7.06</c:v>
                </c:pt>
                <c:pt idx="7">
                  <c:v>6.7700000000000014</c:v>
                </c:pt>
              </c:numCache>
            </c:numRef>
          </c:val>
        </c:ser>
        <c:dLbls>
          <c:showVal val="1"/>
        </c:dLbls>
        <c:marker val="1"/>
        <c:axId val="336011648"/>
        <c:axId val="336013568"/>
      </c:lineChart>
      <c:catAx>
        <c:axId val="33601164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336013568"/>
        <c:crosses val="autoZero"/>
        <c:lblAlgn val="ctr"/>
        <c:lblOffset val="100"/>
        <c:tickLblSkip val="1"/>
        <c:tickMarkSkip val="1"/>
      </c:catAx>
      <c:valAx>
        <c:axId val="336013568"/>
        <c:scaling>
          <c:orientation val="minMax"/>
          <c:max val="9"/>
          <c:min val="6"/>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336011648"/>
        <c:crosses val="autoZero"/>
        <c:crossBetween val="between"/>
        <c:majorUnit val="1"/>
        <c:minorUnit val="0.1"/>
      </c:valAx>
      <c:spPr>
        <a:noFill/>
        <a:ln w="25400">
          <a:noFill/>
        </a:ln>
      </c:spPr>
    </c:plotArea>
    <c:legend>
      <c:legendPos val="r"/>
      <c:layout>
        <c:manualLayout>
          <c:xMode val="edge"/>
          <c:yMode val="edge"/>
          <c:x val="0.10964925791461705"/>
          <c:y val="0.70820937233406278"/>
          <c:w val="0.83225860778443161"/>
          <c:h val="5.45184027777777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156.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a:defRPr lang="zh-CN" sz="1200" b="1"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r>
              <a:rPr lang="zh-CN" altLang="en-US" sz="1200" b="1"/>
              <a:t>陕西省</a:t>
            </a:r>
            <a:r>
              <a:rPr lang="en-US" altLang="zh-CN" sz="1200" b="1"/>
              <a:t>4G</a:t>
            </a:r>
            <a:r>
              <a:rPr lang="zh-CN" altLang="en-US" sz="1200" b="1"/>
              <a:t>用户和移动宽带覆盖情况比较</a:t>
            </a:r>
            <a:endParaRPr lang="zh-CN" sz="1200" b="1"/>
          </a:p>
        </c:rich>
      </c:tx>
      <c:spPr>
        <a:noFill/>
        <a:ln w="25400">
          <a:noFill/>
        </a:ln>
      </c:spPr>
    </c:title>
    <c:plotArea>
      <c:layout>
        <c:manualLayout>
          <c:layoutTarget val="inner"/>
          <c:xMode val="edge"/>
          <c:yMode val="edge"/>
          <c:x val="0.10327860502585702"/>
          <c:y val="0.19945550356370834"/>
          <c:w val="0.8527458226137582"/>
          <c:h val="0.40752996153258647"/>
        </c:manualLayout>
      </c:layout>
      <c:barChart>
        <c:barDir val="col"/>
        <c:grouping val="clustered"/>
        <c:ser>
          <c:idx val="0"/>
          <c:order val="0"/>
          <c:tx>
            <c:strRef>
              <c:f>其他数据!$I$4</c:f>
              <c:strCache>
                <c:ptCount val="1"/>
                <c:pt idx="0">
                  <c:v>2017年第四季度移动宽带普及率</c:v>
                </c:pt>
              </c:strCache>
            </c:strRef>
          </c:tx>
          <c:spPr>
            <a:solidFill>
              <a:srgbClr val="B2D234"/>
            </a:solidFill>
          </c:spPr>
          <c:dLbls>
            <c:numFmt formatCode="0.0%" sourceLinked="0"/>
            <c:showVal val="1"/>
          </c:dLbls>
          <c:cat>
            <c:strRef>
              <c:f>其他数据!$B$5:$B$7</c:f>
              <c:strCache>
                <c:ptCount val="3"/>
                <c:pt idx="0">
                  <c:v>陕西</c:v>
                </c:pt>
                <c:pt idx="1">
                  <c:v>四川</c:v>
                </c:pt>
                <c:pt idx="2">
                  <c:v>安徽</c:v>
                </c:pt>
              </c:strCache>
            </c:strRef>
          </c:cat>
          <c:val>
            <c:numRef>
              <c:f>其他数据!$I$5:$I$7</c:f>
              <c:numCache>
                <c:formatCode>0.0%</c:formatCode>
                <c:ptCount val="3"/>
                <c:pt idx="0">
                  <c:v>0.94199999999999995</c:v>
                </c:pt>
                <c:pt idx="1">
                  <c:v>0.76500000000000046</c:v>
                </c:pt>
                <c:pt idx="2">
                  <c:v>0.64800000000000046</c:v>
                </c:pt>
              </c:numCache>
            </c:numRef>
          </c:val>
        </c:ser>
        <c:ser>
          <c:idx val="1"/>
          <c:order val="1"/>
          <c:tx>
            <c:strRef>
              <c:f>其他数据!$J$4</c:f>
              <c:strCache>
                <c:ptCount val="1"/>
                <c:pt idx="0">
                  <c:v>4G用户占全省总人口数比例</c:v>
                </c:pt>
              </c:strCache>
            </c:strRef>
          </c:tx>
          <c:spPr>
            <a:solidFill>
              <a:srgbClr val="FFF500"/>
            </a:solidFill>
          </c:spPr>
          <c:dLbls>
            <c:numFmt formatCode="0.0%" sourceLinked="0"/>
            <c:showVal val="1"/>
          </c:dLbls>
          <c:cat>
            <c:strRef>
              <c:f>其他数据!$B$5:$B$7</c:f>
              <c:strCache>
                <c:ptCount val="3"/>
                <c:pt idx="0">
                  <c:v>陕西</c:v>
                </c:pt>
                <c:pt idx="1">
                  <c:v>四川</c:v>
                </c:pt>
                <c:pt idx="2">
                  <c:v>安徽</c:v>
                </c:pt>
              </c:strCache>
            </c:strRef>
          </c:cat>
          <c:val>
            <c:numRef>
              <c:f>其他数据!$J$5:$J$7</c:f>
              <c:numCache>
                <c:formatCode>0.0%</c:formatCode>
                <c:ptCount val="3"/>
                <c:pt idx="0">
                  <c:v>0.82649282920469369</c:v>
                </c:pt>
                <c:pt idx="1">
                  <c:v>0.6581787521079262</c:v>
                </c:pt>
                <c:pt idx="2">
                  <c:v>0.55723421262989703</c:v>
                </c:pt>
              </c:numCache>
            </c:numRef>
          </c:val>
        </c:ser>
        <c:dLbls>
          <c:showVal val="1"/>
        </c:dLbls>
        <c:gapWidth val="60"/>
        <c:axId val="336035200"/>
        <c:axId val="335983744"/>
      </c:barChart>
      <c:catAx>
        <c:axId val="336035200"/>
        <c:scaling>
          <c:orientation val="minMax"/>
        </c:scaling>
        <c:axPos val="b"/>
        <c:numFmt formatCode="General" sourceLinked="1"/>
        <c:majorTickMark val="none"/>
        <c:tickLblPos val="low"/>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crossAx val="335983744"/>
        <c:crosses val="autoZero"/>
        <c:lblAlgn val="ctr"/>
        <c:lblOffset val="100"/>
        <c:tickLblSkip val="1"/>
      </c:catAx>
      <c:valAx>
        <c:axId val="335983744"/>
        <c:scaling>
          <c:orientation val="minMax"/>
        </c:scaling>
        <c:axPos val="l"/>
        <c:majorGridlines>
          <c:spPr>
            <a:ln w="12700" cap="flat" cmpd="sng" algn="ctr">
              <a:noFill/>
              <a:prstDash val="solid"/>
              <a:round/>
            </a:ln>
          </c:spPr>
        </c:majorGridlines>
        <c:numFmt formatCode="0%" sourceLinked="0"/>
        <c:majorTickMark val="none"/>
        <c:tickLblPos val="nextTo"/>
        <c:spPr>
          <a:ln w="3175" cap="flat" cmpd="sng" algn="ctr">
            <a:solidFill>
              <a:schemeClr val="tx1">
                <a:lumMod val="50000"/>
                <a:lumOff val="50000"/>
              </a:schemeClr>
            </a:solidFill>
            <a:prstDash val="solid"/>
            <a:round/>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crossAx val="336035200"/>
        <c:crosses val="autoZero"/>
        <c:crossBetween val="between"/>
        <c:majorUnit val="0.2"/>
        <c:minorUnit val="0.1"/>
      </c:valAx>
      <c:spPr>
        <a:noFill/>
        <a:ln w="12700">
          <a:noFill/>
          <a:prstDash val="solid"/>
        </a:ln>
      </c:spPr>
    </c:plotArea>
    <c:legend>
      <c:legendPos val="r"/>
      <c:layout>
        <c:manualLayout>
          <c:xMode val="edge"/>
          <c:yMode val="edge"/>
          <c:x val="7.5280480705256142E-2"/>
          <c:y val="0.7211722222222221"/>
          <c:w val="0.84177000040324401"/>
          <c:h val="6.2137156239259805E-2"/>
        </c:manualLayout>
      </c:layout>
      <c:spPr>
        <a:solidFill>
          <a:srgbClr val="FFFFFF"/>
        </a:solidFill>
        <a:ln w="25400">
          <a:noFill/>
        </a:ln>
      </c:spPr>
      <c:txPr>
        <a:bodyPr rot="0" spcFirstLastPara="0" vertOverflow="ellipsis" vert="horz" wrap="square" anchor="ctr" anchorCtr="1"/>
        <a:lstStyle/>
        <a:p>
          <a:pPr>
            <a:defRPr lang="zh-CN" sz="800" b="0" i="0" u="none" strike="noStrike" kern="1200"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legend>
    <c:plotVisOnly val="1"/>
    <c:dispBlanksAs val="gap"/>
  </c:chart>
  <c:spPr>
    <a:solidFill>
      <a:srgbClr val="FFFFFF"/>
    </a:solidFill>
    <a:ln w="3175" cap="flat" cmpd="sng" algn="ctr">
      <a:solidFill>
        <a:schemeClr val="tx1">
          <a:lumMod val="50000"/>
          <a:lumOff val="50000"/>
        </a:schemeClr>
      </a:solidFill>
      <a:prstDash val="solid"/>
      <a:round/>
    </a:ln>
  </c:spPr>
  <c:txPr>
    <a:bodyPr/>
    <a:lstStyle/>
    <a:p>
      <a:pPr>
        <a:defRPr lang="zh-CN" sz="800" b="0" i="0" u="none" strike="noStrike" baseline="0">
          <a:solidFill>
            <a:srgbClr val="000000"/>
          </a:solidFill>
          <a:latin typeface="微软雅黑" panose="020B0503020204020204" pitchFamily="34" charset="-122"/>
          <a:ea typeface="微软雅黑" panose="020B0503020204020204" pitchFamily="34" charset="-122"/>
          <a:cs typeface="华文细黑" panose="02010600040101010101" charset="-122"/>
        </a:defRPr>
      </a:pPr>
      <a:endParaRPr lang="zh-CN"/>
    </a:p>
  </c:tx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lgn="ctr" rtl="0">
              <a:defRPr sz="1200" b="1"/>
            </a:pPr>
            <a:r>
              <a:rPr lang="en-US" sz="1200" b="1"/>
              <a:t>2018</a:t>
            </a:r>
            <a:r>
              <a:rPr lang="zh-CN" sz="1200" b="1"/>
              <a:t>年</a:t>
            </a:r>
            <a:r>
              <a:rPr lang="en-US" altLang="zh-CN" sz="1200" b="1"/>
              <a:t>6</a:t>
            </a:r>
            <a:r>
              <a:rPr lang="zh-CN" altLang="en-US" sz="1200" b="1"/>
              <a:t>月</a:t>
            </a:r>
            <a:r>
              <a:rPr lang="zh-CN" sz="1200" b="1"/>
              <a:t>陕西省</a:t>
            </a:r>
            <a:r>
              <a:rPr lang="zh-CN" altLang="en-US" sz="1200" b="1"/>
              <a:t>及全国新媒体用户年</a:t>
            </a:r>
            <a:r>
              <a:rPr lang="zh-CN" sz="1200" b="1"/>
              <a:t>龄分布</a:t>
            </a:r>
          </a:p>
        </c:rich>
      </c:tx>
      <c:layout>
        <c:manualLayout>
          <c:xMode val="edge"/>
          <c:yMode val="edge"/>
          <c:x val="0.18901946107784456"/>
          <c:y val="1.843427531784065E-2"/>
        </c:manualLayout>
      </c:layout>
    </c:title>
    <c:plotArea>
      <c:layout>
        <c:manualLayout>
          <c:layoutTarget val="inner"/>
          <c:xMode val="edge"/>
          <c:yMode val="edge"/>
          <c:x val="0.16958998669328021"/>
          <c:y val="0.14704997921890609"/>
          <c:w val="0.74950203759148415"/>
          <c:h val="0.57979905645576479"/>
        </c:manualLayout>
      </c:layout>
      <c:barChart>
        <c:barDir val="bar"/>
        <c:grouping val="clustered"/>
        <c:ser>
          <c:idx val="1"/>
          <c:order val="0"/>
          <c:tx>
            <c:strRef>
              <c:f>新媒体!$B$30</c:f>
              <c:strCache>
                <c:ptCount val="1"/>
                <c:pt idx="0">
                  <c:v>全国</c:v>
                </c:pt>
              </c:strCache>
            </c:strRef>
          </c:tx>
          <c:spPr>
            <a:solidFill>
              <a:srgbClr val="B2D234"/>
            </a:solidFill>
            <a:ln w="12700">
              <a:noFill/>
            </a:ln>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新媒体!$A$31:$A$35</c:f>
              <c:strCache>
                <c:ptCount val="5"/>
                <c:pt idx="0">
                  <c:v>24岁及以下</c:v>
                </c:pt>
                <c:pt idx="1">
                  <c:v>25-30岁</c:v>
                </c:pt>
                <c:pt idx="2">
                  <c:v>31-35岁</c:v>
                </c:pt>
                <c:pt idx="3">
                  <c:v>36-40岁</c:v>
                </c:pt>
                <c:pt idx="4">
                  <c:v>40岁以上</c:v>
                </c:pt>
              </c:strCache>
            </c:strRef>
          </c:cat>
          <c:val>
            <c:numRef>
              <c:f>新媒体!$B$31:$B$35</c:f>
              <c:numCache>
                <c:formatCode>0.0%</c:formatCode>
                <c:ptCount val="5"/>
                <c:pt idx="0">
                  <c:v>0.24900000000000011</c:v>
                </c:pt>
                <c:pt idx="1">
                  <c:v>0.2880000000000002</c:v>
                </c:pt>
                <c:pt idx="2">
                  <c:v>0.23700000000000004</c:v>
                </c:pt>
                <c:pt idx="3">
                  <c:v>0.16</c:v>
                </c:pt>
                <c:pt idx="4">
                  <c:v>6.6000000000000003E-2</c:v>
                </c:pt>
              </c:numCache>
            </c:numRef>
          </c:val>
          <c:extLst xmlns:c16r2="http://schemas.microsoft.com/office/drawing/2015/06/chart">
            <c:ext xmlns:c16="http://schemas.microsoft.com/office/drawing/2014/chart" uri="{C3380CC4-5D6E-409C-BE32-E72D297353CC}">
              <c16:uniqueId val="{00000000-4505-42C4-B067-5D59BB516BB0}"/>
            </c:ext>
          </c:extLst>
        </c:ser>
        <c:ser>
          <c:idx val="0"/>
          <c:order val="1"/>
          <c:tx>
            <c:strRef>
              <c:f>新媒体!$C$30</c:f>
              <c:strCache>
                <c:ptCount val="1"/>
                <c:pt idx="0">
                  <c:v>陕西</c:v>
                </c:pt>
              </c:strCache>
            </c:strRef>
          </c:tx>
          <c:spPr>
            <a:solidFill>
              <a:srgbClr val="FFFF00"/>
            </a:solidFill>
          </c:spPr>
          <c:dLbls>
            <c:numFmt formatCode="0.0%" sourceLinked="0"/>
            <c:showVal val="1"/>
          </c:dLbls>
          <c:cat>
            <c:strRef>
              <c:f>新媒体!$A$31:$A$35</c:f>
              <c:strCache>
                <c:ptCount val="5"/>
                <c:pt idx="0">
                  <c:v>24岁及以下</c:v>
                </c:pt>
                <c:pt idx="1">
                  <c:v>25-30岁</c:v>
                </c:pt>
                <c:pt idx="2">
                  <c:v>31-35岁</c:v>
                </c:pt>
                <c:pt idx="3">
                  <c:v>36-40岁</c:v>
                </c:pt>
                <c:pt idx="4">
                  <c:v>40岁以上</c:v>
                </c:pt>
              </c:strCache>
            </c:strRef>
          </c:cat>
          <c:val>
            <c:numRef>
              <c:f>新媒体!$C$31:$C$35</c:f>
              <c:numCache>
                <c:formatCode>0.0%</c:formatCode>
                <c:ptCount val="5"/>
                <c:pt idx="0">
                  <c:v>0.27400000000000002</c:v>
                </c:pt>
                <c:pt idx="1">
                  <c:v>0.2880000000000002</c:v>
                </c:pt>
                <c:pt idx="2">
                  <c:v>0.21700000000000011</c:v>
                </c:pt>
                <c:pt idx="3">
                  <c:v>0.16800000000000001</c:v>
                </c:pt>
                <c:pt idx="4">
                  <c:v>5.3000000000000012E-2</c:v>
                </c:pt>
              </c:numCache>
            </c:numRef>
          </c:val>
        </c:ser>
        <c:dLbls>
          <c:showVal val="1"/>
        </c:dLbls>
        <c:gapWidth val="60"/>
        <c:axId val="209278464"/>
        <c:axId val="209280000"/>
      </c:barChart>
      <c:catAx>
        <c:axId val="209278464"/>
        <c:scaling>
          <c:orientation val="minMax"/>
        </c:scaling>
        <c:axPos val="l"/>
        <c:numFmt formatCode="General" sourceLinked="0"/>
        <c:majorTickMark val="none"/>
        <c:tickLblPos val="nextTo"/>
        <c:spPr>
          <a:ln w="12700">
            <a:solidFill>
              <a:schemeClr val="tx1">
                <a:lumMod val="50000"/>
                <a:lumOff val="50000"/>
              </a:schemeClr>
            </a:solidFill>
          </a:ln>
        </c:spPr>
        <c:crossAx val="209280000"/>
        <c:crosses val="autoZero"/>
        <c:auto val="1"/>
        <c:lblAlgn val="ctr"/>
        <c:lblOffset val="100"/>
      </c:catAx>
      <c:valAx>
        <c:axId val="209280000"/>
        <c:scaling>
          <c:orientation val="minMax"/>
          <c:max val="0.30000000000000032"/>
          <c:min val="0"/>
        </c:scaling>
        <c:delete val="1"/>
        <c:axPos val="b"/>
        <c:majorGridlines>
          <c:spPr>
            <a:ln>
              <a:noFill/>
            </a:ln>
          </c:spPr>
        </c:majorGridlines>
        <c:numFmt formatCode="0%" sourceLinked="0"/>
        <c:majorTickMark val="none"/>
        <c:tickLblPos val="none"/>
        <c:crossAx val="209278464"/>
        <c:crosses val="autoZero"/>
        <c:crossBetween val="between"/>
        <c:majorUnit val="0.1"/>
      </c:valAx>
      <c:spPr>
        <a:ln>
          <a:noFill/>
        </a:ln>
      </c:spPr>
    </c:plotArea>
    <c:legend>
      <c:legendPos val="b"/>
      <c:layout>
        <c:manualLayout>
          <c:xMode val="edge"/>
          <c:yMode val="edge"/>
          <c:x val="0.30036156852960788"/>
          <c:y val="0.73584236370492451"/>
          <c:w val="0.45208790751829681"/>
          <c:h val="7.1898112085788779E-2"/>
        </c:manualLayout>
      </c:layout>
    </c:legend>
    <c:plotVisOnly val="1"/>
    <c:dispBlanksAs val="gap"/>
  </c:chart>
  <c:spPr>
    <a:ln w="12700">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pPr>
            <a:r>
              <a:rPr lang="zh-CN" altLang="en-US" sz="1200"/>
              <a:t>微信公众号在陕西省新媒体用户的触达情况</a:t>
            </a:r>
            <a:endParaRPr lang="en-US" sz="1200"/>
          </a:p>
        </c:rich>
      </c:tx>
    </c:title>
    <c:plotArea>
      <c:layout>
        <c:manualLayout>
          <c:layoutTarget val="inner"/>
          <c:xMode val="edge"/>
          <c:yMode val="edge"/>
          <c:x val="0.21491288256819718"/>
          <c:y val="0.15925925925925929"/>
          <c:w val="0.73340672821024577"/>
          <c:h val="0.52258506944444449"/>
        </c:manualLayout>
      </c:layout>
      <c:barChart>
        <c:barDir val="bar"/>
        <c:grouping val="clustered"/>
        <c:ser>
          <c:idx val="0"/>
          <c:order val="0"/>
          <c:tx>
            <c:strRef>
              <c:f>新媒体!$C$175</c:f>
              <c:strCache>
                <c:ptCount val="1"/>
                <c:pt idx="0">
                  <c:v>触达设备占陕西省新媒体用户设备比例</c:v>
                </c:pt>
              </c:strCache>
            </c:strRef>
          </c:tx>
          <c:spPr>
            <a:solidFill>
              <a:srgbClr val="B2D234"/>
            </a:solidFill>
          </c:spPr>
          <c:dLbls>
            <c:showVal val="1"/>
          </c:dLbls>
          <c:cat>
            <c:strRef>
              <c:f>新媒体!$A$176:$A$185</c:f>
              <c:strCache>
                <c:ptCount val="10"/>
                <c:pt idx="0">
                  <c:v>零点搞笑视频</c:v>
                </c:pt>
                <c:pt idx="1">
                  <c:v>音乐神曲</c:v>
                </c:pt>
                <c:pt idx="2">
                  <c:v>绝世经典</c:v>
                </c:pt>
                <c:pt idx="3">
                  <c:v>一家亲</c:v>
                </c:pt>
                <c:pt idx="4">
                  <c:v>糗事全百科</c:v>
                </c:pt>
                <c:pt idx="5">
                  <c:v>金猫侠</c:v>
                </c:pt>
                <c:pt idx="6">
                  <c:v>人民日报</c:v>
                </c:pt>
                <c:pt idx="7">
                  <c:v>真喜视频</c:v>
                </c:pt>
                <c:pt idx="8">
                  <c:v>聊西安事儿</c:v>
                </c:pt>
                <c:pt idx="9">
                  <c:v>西安街头巷尾</c:v>
                </c:pt>
              </c:strCache>
            </c:strRef>
          </c:cat>
          <c:val>
            <c:numRef>
              <c:f>新媒体!$C$176:$C$185</c:f>
              <c:numCache>
                <c:formatCode>0.0%</c:formatCode>
                <c:ptCount val="10"/>
                <c:pt idx="0">
                  <c:v>2.8938059757657841E-2</c:v>
                </c:pt>
                <c:pt idx="1">
                  <c:v>2.9000777702516262E-2</c:v>
                </c:pt>
                <c:pt idx="2">
                  <c:v>3.0129700709967146E-2</c:v>
                </c:pt>
                <c:pt idx="3">
                  <c:v>3.1258623717418034E-2</c:v>
                </c:pt>
                <c:pt idx="4">
                  <c:v>3.1697649331426735E-2</c:v>
                </c:pt>
                <c:pt idx="5">
                  <c:v>3.1729008303855902E-2</c:v>
                </c:pt>
                <c:pt idx="6">
                  <c:v>4.1180602594014168E-2</c:v>
                </c:pt>
                <c:pt idx="7">
                  <c:v>4.5997340759138014E-2</c:v>
                </c:pt>
                <c:pt idx="8">
                  <c:v>4.6141592032312287E-2</c:v>
                </c:pt>
                <c:pt idx="9">
                  <c:v>5.0048919996989516E-2</c:v>
                </c:pt>
              </c:numCache>
            </c:numRef>
          </c:val>
        </c:ser>
        <c:gapWidth val="60"/>
        <c:axId val="209295232"/>
        <c:axId val="209314944"/>
      </c:barChart>
      <c:catAx>
        <c:axId val="209295232"/>
        <c:scaling>
          <c:orientation val="minMax"/>
        </c:scaling>
        <c:axPos val="l"/>
        <c:majorTickMark val="none"/>
        <c:tickLblPos val="nextTo"/>
        <c:crossAx val="209314944"/>
        <c:crosses val="autoZero"/>
        <c:auto val="1"/>
        <c:lblAlgn val="ctr"/>
        <c:lblOffset val="100"/>
      </c:catAx>
      <c:valAx>
        <c:axId val="209314944"/>
        <c:scaling>
          <c:orientation val="minMax"/>
          <c:max val="6.0000000000000032E-2"/>
          <c:min val="0"/>
        </c:scaling>
        <c:axPos val="b"/>
        <c:numFmt formatCode="0%" sourceLinked="0"/>
        <c:majorTickMark val="none"/>
        <c:tickLblPos val="nextTo"/>
        <c:crossAx val="209295232"/>
        <c:crosses val="autoZero"/>
        <c:crossBetween val="between"/>
        <c:majorUnit val="2.0000000000000011E-2"/>
      </c:valAx>
    </c:plotArea>
    <c:legend>
      <c:legendPos val="r"/>
      <c:layout>
        <c:manualLayout>
          <c:xMode val="edge"/>
          <c:yMode val="edge"/>
          <c:x val="0.14079320525615441"/>
          <c:y val="0.76266631944444463"/>
          <c:w val="0.73774139221556989"/>
          <c:h val="5.4920486111111166E-2"/>
        </c:manualLayout>
      </c:layout>
    </c:legend>
    <c:plotVisOnly val="1"/>
    <c:dispBlanksAs val="gap"/>
  </c:chart>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a:pPr>
            <a:r>
              <a:rPr lang="zh-CN" altLang="en-US" sz="1200"/>
              <a:t>抖音短视频在陕西省新媒体用户的触达情况</a:t>
            </a:r>
            <a:endParaRPr lang="en-US" sz="1200"/>
          </a:p>
        </c:rich>
      </c:tx>
    </c:title>
    <c:plotArea>
      <c:layout>
        <c:manualLayout>
          <c:layoutTarget val="inner"/>
          <c:xMode val="edge"/>
          <c:yMode val="edge"/>
          <c:x val="0.21491288256819718"/>
          <c:y val="0.15925925925925929"/>
          <c:w val="0.73340672821024577"/>
          <c:h val="0.52258506944444449"/>
        </c:manualLayout>
      </c:layout>
      <c:barChart>
        <c:barDir val="bar"/>
        <c:grouping val="clustered"/>
        <c:ser>
          <c:idx val="0"/>
          <c:order val="0"/>
          <c:tx>
            <c:strRef>
              <c:f>新媒体!$C$208</c:f>
              <c:strCache>
                <c:ptCount val="1"/>
                <c:pt idx="0">
                  <c:v>触达设备占陕西省新媒体用户设备比例</c:v>
                </c:pt>
              </c:strCache>
            </c:strRef>
          </c:tx>
          <c:spPr>
            <a:solidFill>
              <a:srgbClr val="B2D234"/>
            </a:solidFill>
          </c:spPr>
          <c:dLbls>
            <c:showVal val="1"/>
          </c:dLbls>
          <c:cat>
            <c:strRef>
              <c:f>新媒体!$A$209:$A$218</c:f>
              <c:strCache>
                <c:ptCount val="10"/>
                <c:pt idx="0">
                  <c:v>陈翔六点半</c:v>
                </c:pt>
                <c:pt idx="1">
                  <c:v>阿仟</c:v>
                </c:pt>
                <c:pt idx="2">
                  <c:v>扎心师郑实</c:v>
                </c:pt>
                <c:pt idx="3">
                  <c:v>淮安让你笑团队</c:v>
                </c:pt>
                <c:pt idx="4">
                  <c:v>芝马快开门</c:v>
                </c:pt>
                <c:pt idx="5">
                  <c:v>M哥</c:v>
                </c:pt>
                <c:pt idx="6">
                  <c:v>莉哥o3o</c:v>
                </c:pt>
                <c:pt idx="7">
                  <c:v>杜子建</c:v>
                </c:pt>
                <c:pt idx="8">
                  <c:v>浙有正能量</c:v>
                </c:pt>
                <c:pt idx="9">
                  <c:v>七舅脑爷</c:v>
                </c:pt>
              </c:strCache>
            </c:strRef>
          </c:cat>
          <c:val>
            <c:numRef>
              <c:f>新媒体!$C$209:$C$218</c:f>
              <c:numCache>
                <c:formatCode>0.0%</c:formatCode>
                <c:ptCount val="10"/>
                <c:pt idx="0">
                  <c:v>3.2487895436642357E-2</c:v>
                </c:pt>
                <c:pt idx="1">
                  <c:v>3.2857931311306821E-2</c:v>
                </c:pt>
                <c:pt idx="2">
                  <c:v>3.2901833872707682E-2</c:v>
                </c:pt>
                <c:pt idx="3">
                  <c:v>3.3102531296254477E-2</c:v>
                </c:pt>
                <c:pt idx="4">
                  <c:v>3.4099746619502797E-2</c:v>
                </c:pt>
                <c:pt idx="5">
                  <c:v>3.4864905546775071E-2</c:v>
                </c:pt>
                <c:pt idx="6">
                  <c:v>3.6194525977772771E-2</c:v>
                </c:pt>
                <c:pt idx="7">
                  <c:v>3.9662828328441341E-2</c:v>
                </c:pt>
                <c:pt idx="8">
                  <c:v>4.0490705200571984E-2</c:v>
                </c:pt>
                <c:pt idx="9">
                  <c:v>4.5119289531120696E-2</c:v>
                </c:pt>
              </c:numCache>
            </c:numRef>
          </c:val>
        </c:ser>
        <c:gapWidth val="60"/>
        <c:axId val="241341952"/>
        <c:axId val="241343488"/>
      </c:barChart>
      <c:catAx>
        <c:axId val="241341952"/>
        <c:scaling>
          <c:orientation val="minMax"/>
        </c:scaling>
        <c:axPos val="l"/>
        <c:majorTickMark val="none"/>
        <c:tickLblPos val="nextTo"/>
        <c:crossAx val="241343488"/>
        <c:crosses val="autoZero"/>
        <c:auto val="1"/>
        <c:lblAlgn val="ctr"/>
        <c:lblOffset val="100"/>
      </c:catAx>
      <c:valAx>
        <c:axId val="241343488"/>
        <c:scaling>
          <c:orientation val="minMax"/>
          <c:max val="5.0000000000000024E-2"/>
          <c:min val="0"/>
        </c:scaling>
        <c:axPos val="b"/>
        <c:numFmt formatCode="0%" sourceLinked="0"/>
        <c:majorTickMark val="none"/>
        <c:tickLblPos val="nextTo"/>
        <c:crossAx val="241341952"/>
        <c:crosses val="autoZero"/>
        <c:crossBetween val="between"/>
        <c:majorUnit val="1.0000000000000005E-2"/>
      </c:valAx>
    </c:plotArea>
    <c:legend>
      <c:legendPos val="r"/>
      <c:layout>
        <c:manualLayout>
          <c:xMode val="edge"/>
          <c:yMode val="edge"/>
          <c:x val="0.14079320525615441"/>
          <c:y val="0.76266631944444463"/>
          <c:w val="0.73774139221556989"/>
          <c:h val="5.4920486111111166E-2"/>
        </c:manualLayout>
      </c:layout>
    </c:legend>
    <c:plotVisOnly val="1"/>
    <c:dispBlanksAs val="gap"/>
  </c:chart>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lang val="zh-CN"/>
  <c:chart>
    <c:title>
      <c:tx>
        <c:rich>
          <a:bodyPr/>
          <a:lstStyle/>
          <a:p>
            <a:pPr algn="ctr" rtl="0">
              <a:defRPr sz="1200"/>
            </a:pPr>
            <a:r>
              <a:rPr lang="en-US" altLang="zh-CN"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rPr>
              <a:t>2017</a:t>
            </a:r>
            <a:r>
              <a:rPr lang="zh-CN" sz="1200"/>
              <a:t>年</a:t>
            </a:r>
            <a:r>
              <a:rPr lang="zh-CN" altLang="en-US" sz="1200"/>
              <a:t>陕西</a:t>
            </a:r>
            <a:r>
              <a:rPr lang="zh-CN" sz="1200"/>
              <a:t>省网民上网时段分布</a:t>
            </a:r>
            <a:endParaRPr lang="en-US" sz="1200"/>
          </a:p>
        </c:rich>
      </c:tx>
    </c:title>
    <c:plotArea>
      <c:layout>
        <c:manualLayout>
          <c:layoutTarget val="inner"/>
          <c:xMode val="edge"/>
          <c:yMode val="edge"/>
          <c:x val="0.11234806384788376"/>
          <c:y val="0.12625221486303378"/>
          <c:w val="0.83505413711954046"/>
          <c:h val="0.49042745098039231"/>
        </c:manualLayout>
      </c:layout>
      <c:lineChart>
        <c:grouping val="standard"/>
        <c:ser>
          <c:idx val="1"/>
          <c:order val="0"/>
          <c:tx>
            <c:v>工作日时段上网人数占比</c:v>
          </c:tx>
          <c:spPr>
            <a:ln>
              <a:solidFill>
                <a:srgbClr val="99CC00"/>
              </a:solidFill>
            </a:ln>
          </c:spPr>
          <c:marker>
            <c:symbol val="circle"/>
            <c:size val="5"/>
            <c:spPr>
              <a:solidFill>
                <a:srgbClr val="99CC00"/>
              </a:solidFill>
              <a:ln>
                <a:solidFill>
                  <a:srgbClr val="99CC00"/>
                </a:solidFill>
              </a:ln>
            </c:spPr>
          </c:marker>
          <c:dLbls>
            <c:dLbl>
              <c:idx val="0"/>
              <c:layout>
                <c:manualLayout>
                  <c:x val="-5.6905391796204387E-2"/>
                  <c:y val="2.651013071895445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78-4710-AB7A-37CAD2556607}"/>
                </c:ext>
              </c:extLst>
            </c:dLbl>
            <c:dLbl>
              <c:idx val="3"/>
              <c:layout>
                <c:manualLayout>
                  <c:x val="-6.0057567204942187E-2"/>
                  <c:y val="5.017091156073297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78-4710-AB7A-37CAD2556607}"/>
                </c:ext>
              </c:extLst>
            </c:dLbl>
            <c:dLbl>
              <c:idx val="4"/>
              <c:layout>
                <c:manualLayout>
                  <c:x val="-1.5904572564612463E-2"/>
                  <c:y val="8.7156862745099178E-2"/>
                </c:manualLayout>
              </c:layout>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78-4710-AB7A-37CAD2556607}"/>
                </c:ext>
              </c:extLst>
            </c:dLbl>
            <c:dLbl>
              <c:idx val="5"/>
              <c:layout>
                <c:manualLayout>
                  <c:x val="-6.7508231451187922E-2"/>
                  <c:y val="3.066045751633987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78-4710-AB7A-37CAD2556607}"/>
                </c:ext>
              </c:extLst>
            </c:dLbl>
            <c:numFmt formatCode="0.0%" sourceLinked="0"/>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strRef>
              <c:f>'02-网络使用粘性'!$A$8:$A$13</c:f>
              <c:strCache>
                <c:ptCount val="6"/>
                <c:pt idx="0">
                  <c:v>8:00-9:59</c:v>
                </c:pt>
                <c:pt idx="1">
                  <c:v>10:00-11:59</c:v>
                </c:pt>
                <c:pt idx="2">
                  <c:v>12:00-17:59</c:v>
                </c:pt>
                <c:pt idx="3">
                  <c:v>18:00-21:59</c:v>
                </c:pt>
                <c:pt idx="4">
                  <c:v>22:00-23:59</c:v>
                </c:pt>
                <c:pt idx="5">
                  <c:v>0:00-7:59</c:v>
                </c:pt>
              </c:strCache>
            </c:strRef>
          </c:cat>
          <c:val>
            <c:numRef>
              <c:f>'02-网络使用粘性'!$B$8:$B$13</c:f>
              <c:numCache>
                <c:formatCode>0.0%</c:formatCode>
                <c:ptCount val="6"/>
                <c:pt idx="0">
                  <c:v>0.34831223628691982</c:v>
                </c:pt>
                <c:pt idx="1">
                  <c:v>0.44444444444444442</c:v>
                </c:pt>
                <c:pt idx="2">
                  <c:v>0.5482419127988758</c:v>
                </c:pt>
                <c:pt idx="3">
                  <c:v>0.48073136427566832</c:v>
                </c:pt>
                <c:pt idx="4">
                  <c:v>0.35168776371308047</c:v>
                </c:pt>
                <c:pt idx="5">
                  <c:v>0.12763713080168776</c:v>
                </c:pt>
              </c:numCache>
            </c:numRef>
          </c:val>
          <c:extLst xmlns:c16r2="http://schemas.microsoft.com/office/drawing/2015/06/chart">
            <c:ext xmlns:c16="http://schemas.microsoft.com/office/drawing/2014/chart" uri="{C3380CC4-5D6E-409C-BE32-E72D297353CC}">
              <c16:uniqueId val="{00000004-E378-4710-AB7A-37CAD2556607}"/>
            </c:ext>
          </c:extLst>
        </c:ser>
        <c:ser>
          <c:idx val="0"/>
          <c:order val="1"/>
          <c:tx>
            <c:v>休息日时段上网人数占比</c:v>
          </c:tx>
          <c:spPr>
            <a:ln>
              <a:solidFill>
                <a:srgbClr val="FFFF00"/>
              </a:solidFill>
            </a:ln>
          </c:spPr>
          <c:marker>
            <c:spPr>
              <a:solidFill>
                <a:srgbClr val="FFFF00"/>
              </a:solidFill>
              <a:ln>
                <a:solidFill>
                  <a:srgbClr val="FFFF00"/>
                </a:solidFill>
              </a:ln>
            </c:spPr>
          </c:marker>
          <c:dLbls>
            <c:dLbl>
              <c:idx val="0"/>
              <c:layout>
                <c:manualLayout>
                  <c:x val="-3.9525691699604744E-2"/>
                  <c:y val="4.5855379188712506E-2"/>
                </c:manualLayout>
              </c:layout>
              <c:showVal val="1"/>
            </c:dLbl>
            <c:dLbl>
              <c:idx val="1"/>
              <c:layout>
                <c:manualLayout>
                  <c:x val="-1.3175230566534914E-2"/>
                  <c:y val="5.2910052910052907E-2"/>
                </c:manualLayout>
              </c:layout>
              <c:showVal val="1"/>
            </c:dLbl>
            <c:dLbl>
              <c:idx val="2"/>
              <c:layout>
                <c:manualLayout>
                  <c:x val="-2.3715415019762844E-2"/>
                  <c:y val="4.2328042328042333E-2"/>
                </c:manualLayout>
              </c:layout>
              <c:showVal val="1"/>
            </c:dLbl>
            <c:dLbl>
              <c:idx val="3"/>
              <c:layout>
                <c:manualLayout>
                  <c:x val="-1.5810276679841896E-2"/>
                  <c:y val="-3.8800705467372174E-2"/>
                </c:manualLayout>
              </c:layout>
              <c:showVal val="1"/>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'02-网络使用粘性'!$A$8:$A$13</c:f>
              <c:strCache>
                <c:ptCount val="6"/>
                <c:pt idx="0">
                  <c:v>8:00-9:59</c:v>
                </c:pt>
                <c:pt idx="1">
                  <c:v>10:00-11:59</c:v>
                </c:pt>
                <c:pt idx="2">
                  <c:v>12:00-17:59</c:v>
                </c:pt>
                <c:pt idx="3">
                  <c:v>18:00-21:59</c:v>
                </c:pt>
                <c:pt idx="4">
                  <c:v>22:00-23:59</c:v>
                </c:pt>
                <c:pt idx="5">
                  <c:v>0:00-7:59</c:v>
                </c:pt>
              </c:strCache>
            </c:strRef>
          </c:cat>
          <c:val>
            <c:numRef>
              <c:f>'02-网络使用粘性'!$B$19:$B$24</c:f>
              <c:numCache>
                <c:formatCode>0.0%</c:formatCode>
                <c:ptCount val="6"/>
                <c:pt idx="0">
                  <c:v>0.23952180028129408</c:v>
                </c:pt>
                <c:pt idx="1">
                  <c:v>0.39268635724331952</c:v>
                </c:pt>
                <c:pt idx="2">
                  <c:v>0.50316455696202489</c:v>
                </c:pt>
                <c:pt idx="3">
                  <c:v>0.50239099859353065</c:v>
                </c:pt>
                <c:pt idx="4">
                  <c:v>0.35070323488045008</c:v>
                </c:pt>
                <c:pt idx="5">
                  <c:v>0.16174402250351619</c:v>
                </c:pt>
              </c:numCache>
            </c:numRef>
          </c:val>
          <c:extLst xmlns:c16r2="http://schemas.microsoft.com/office/drawing/2015/06/chart">
            <c:ext xmlns:c16="http://schemas.microsoft.com/office/drawing/2014/chart" uri="{C3380CC4-5D6E-409C-BE32-E72D297353CC}">
              <c16:uniqueId val="{00000000-6901-4F66-9192-0FA2ECBD39E3}"/>
            </c:ext>
          </c:extLst>
        </c:ser>
        <c:dLbls>
          <c:showVal val="1"/>
        </c:dLbls>
        <c:marker val="1"/>
        <c:axId val="241437696"/>
        <c:axId val="241476352"/>
      </c:lineChart>
      <c:catAx>
        <c:axId val="241437696"/>
        <c:scaling>
          <c:orientation val="minMax"/>
        </c:scaling>
        <c:axPos val="b"/>
        <c:numFmt formatCode="General" sourceLinked="1"/>
        <c:majorTickMark val="none"/>
        <c:tickLblPos val="nextTo"/>
        <c:spPr>
          <a:ln w="12700">
            <a:solidFill>
              <a:schemeClr val="tx1">
                <a:lumMod val="50000"/>
                <a:lumOff val="50000"/>
              </a:schemeClr>
            </a:solidFill>
          </a:ln>
        </c:spPr>
        <c:crossAx val="241476352"/>
        <c:crosses val="autoZero"/>
        <c:auto val="1"/>
        <c:lblAlgn val="ctr"/>
        <c:lblOffset val="100"/>
      </c:catAx>
      <c:valAx>
        <c:axId val="241476352"/>
        <c:scaling>
          <c:orientation val="minMax"/>
          <c:max val="0.75000000000000056"/>
          <c:min val="0"/>
        </c:scaling>
        <c:axPos val="l"/>
        <c:majorGridlines>
          <c:spPr>
            <a:ln>
              <a:noFill/>
            </a:ln>
          </c:spPr>
        </c:majorGridlines>
        <c:numFmt formatCode="0%" sourceLinked="0"/>
        <c:majorTickMark val="none"/>
        <c:tickLblPos val="nextTo"/>
        <c:spPr>
          <a:ln w="9525">
            <a:solidFill>
              <a:schemeClr val="tx1">
                <a:lumMod val="50000"/>
                <a:lumOff val="50000"/>
              </a:schemeClr>
            </a:solidFill>
          </a:ln>
        </c:spPr>
        <c:crossAx val="241437696"/>
        <c:crosses val="autoZero"/>
        <c:crossBetween val="between"/>
        <c:majorUnit val="0.25"/>
        <c:minorUnit val="5.0000000000000024E-2"/>
      </c:valAx>
      <c:spPr>
        <a:ln>
          <a:noFill/>
        </a:ln>
      </c:spPr>
    </c:plotArea>
    <c:legend>
      <c:legendPos val="b"/>
      <c:layout>
        <c:manualLayout>
          <c:xMode val="edge"/>
          <c:yMode val="edge"/>
          <c:x val="0.14106807218895542"/>
          <c:y val="0.70322483660130786"/>
          <c:w val="0.70792731103502771"/>
          <c:h val="5.4584207824909331E-2"/>
        </c:manualLayout>
      </c:layout>
    </c:legend>
    <c:plotVisOnly val="1"/>
    <c:dispBlanksAs val="gap"/>
  </c:chart>
  <c:spPr>
    <a:ln w="317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sz="1200" b="1"/>
              <a:t>2015</a:t>
            </a:r>
            <a:r>
              <a:rPr lang="en-US" altLang="zh-CN" sz="1200" b="1"/>
              <a:t>-</a:t>
            </a:r>
            <a:r>
              <a:rPr lang="en-US" sz="1200" b="1"/>
              <a:t>2017</a:t>
            </a:r>
            <a:r>
              <a:rPr lang="zh-CN" sz="1200" b="1"/>
              <a:t>年</a:t>
            </a:r>
            <a:r>
              <a:rPr lang="zh-CN" altLang="en-US" sz="1200" b="1"/>
              <a:t>陕西省网民性别变化情况</a:t>
            </a:r>
            <a:endParaRPr lang="zh-CN" sz="1200" b="1"/>
          </a:p>
        </c:rich>
      </c:tx>
      <c:layout>
        <c:manualLayout>
          <c:xMode val="edge"/>
          <c:yMode val="edge"/>
          <c:x val="0.23539263532652488"/>
          <c:y val="3.6218184433047987E-2"/>
        </c:manualLayout>
      </c:layout>
      <c:spPr>
        <a:noFill/>
        <a:ln w="25400">
          <a:noFill/>
        </a:ln>
      </c:spPr>
    </c:title>
    <c:plotArea>
      <c:layout>
        <c:manualLayout>
          <c:layoutTarget val="inner"/>
          <c:xMode val="edge"/>
          <c:yMode val="edge"/>
          <c:x val="0.11912018918427279"/>
          <c:y val="0.16424883375742189"/>
          <c:w val="0.83426397442893896"/>
          <c:h val="0.42294222481449106"/>
        </c:manualLayout>
      </c:layout>
      <c:barChart>
        <c:barDir val="col"/>
        <c:grouping val="percentStacked"/>
        <c:ser>
          <c:idx val="1"/>
          <c:order val="0"/>
          <c:tx>
            <c:strRef>
              <c:f>'对比分析-2017'!$B$4</c:f>
              <c:strCache>
                <c:ptCount val="1"/>
                <c:pt idx="0">
                  <c:v>男性</c:v>
                </c:pt>
              </c:strCache>
            </c:strRef>
          </c:tx>
          <c:spPr>
            <a:solidFill>
              <a:srgbClr val="B2D234"/>
            </a:solidFill>
            <a:ln w="12700">
              <a:solidFill>
                <a:srgbClr val="B2D234"/>
              </a:solidFill>
              <a:prstDash val="solid"/>
            </a:ln>
          </c:spPr>
          <c:dLbls>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'对比分析-2017'!$A$5:$A$7</c:f>
              <c:strCache>
                <c:ptCount val="3"/>
                <c:pt idx="0">
                  <c:v>2015年</c:v>
                </c:pt>
                <c:pt idx="1">
                  <c:v>2016年</c:v>
                </c:pt>
                <c:pt idx="2">
                  <c:v>2017年</c:v>
                </c:pt>
              </c:strCache>
            </c:strRef>
          </c:cat>
          <c:val>
            <c:numRef>
              <c:f>'对比分析-2017'!$B$5:$B$7</c:f>
              <c:numCache>
                <c:formatCode>0.00%</c:formatCode>
                <c:ptCount val="3"/>
                <c:pt idx="0">
                  <c:v>0.54700000000000004</c:v>
                </c:pt>
                <c:pt idx="1">
                  <c:v>0.53200000000000003</c:v>
                </c:pt>
                <c:pt idx="2" formatCode="0%">
                  <c:v>0.52</c:v>
                </c:pt>
              </c:numCache>
            </c:numRef>
          </c:val>
          <c:extLst xmlns:c16r2="http://schemas.microsoft.com/office/drawing/2015/06/chart">
            <c:ext xmlns:c16="http://schemas.microsoft.com/office/drawing/2014/chart" uri="{C3380CC4-5D6E-409C-BE32-E72D297353CC}">
              <c16:uniqueId val="{00000000-949B-4F2E-A85A-6E46E4C2299B}"/>
            </c:ext>
          </c:extLst>
        </c:ser>
        <c:ser>
          <c:idx val="0"/>
          <c:order val="1"/>
          <c:tx>
            <c:strRef>
              <c:f>'对比分析-2017'!$C$4</c:f>
              <c:strCache>
                <c:ptCount val="1"/>
                <c:pt idx="0">
                  <c:v>女性</c:v>
                </c:pt>
              </c:strCache>
            </c:strRef>
          </c:tx>
          <c:spPr>
            <a:solidFill>
              <a:srgbClr val="1EC8F3"/>
            </a:solidFill>
            <a:ln>
              <a:solidFill>
                <a:srgbClr val="1EC8F3"/>
              </a:solidFill>
            </a:ln>
          </c:spPr>
          <c:dLbls>
            <c:numFmt formatCode="0.0%" sourceLinked="0"/>
            <c:showVal val="1"/>
          </c:dLbls>
          <c:cat>
            <c:strRef>
              <c:f>'对比分析-2017'!$A$5:$A$7</c:f>
              <c:strCache>
                <c:ptCount val="3"/>
                <c:pt idx="0">
                  <c:v>2015年</c:v>
                </c:pt>
                <c:pt idx="1">
                  <c:v>2016年</c:v>
                </c:pt>
                <c:pt idx="2">
                  <c:v>2017年</c:v>
                </c:pt>
              </c:strCache>
            </c:strRef>
          </c:cat>
          <c:val>
            <c:numRef>
              <c:f>'对比分析-2017'!$C$5:$C$7</c:f>
              <c:numCache>
                <c:formatCode>0.00%</c:formatCode>
                <c:ptCount val="3"/>
                <c:pt idx="0">
                  <c:v>0.45300000000000001</c:v>
                </c:pt>
                <c:pt idx="1">
                  <c:v>0.46800000000000008</c:v>
                </c:pt>
                <c:pt idx="2" formatCode="0%">
                  <c:v>0.4800000000000002</c:v>
                </c:pt>
              </c:numCache>
            </c:numRef>
          </c:val>
        </c:ser>
        <c:gapWidth val="60"/>
        <c:overlap val="100"/>
        <c:axId val="183087104"/>
        <c:axId val="183088640"/>
      </c:barChart>
      <c:catAx>
        <c:axId val="18308710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183088640"/>
        <c:crosses val="autoZero"/>
        <c:lblAlgn val="ctr"/>
        <c:lblOffset val="100"/>
        <c:tickLblSkip val="1"/>
        <c:tickMarkSkip val="1"/>
      </c:catAx>
      <c:valAx>
        <c:axId val="183088640"/>
        <c:scaling>
          <c:orientation val="minMax"/>
          <c:max val="1"/>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183087104"/>
        <c:crosses val="autoZero"/>
        <c:crossBetween val="between"/>
        <c:majorUnit val="0.2"/>
        <c:minorUnit val="0.1"/>
      </c:valAx>
      <c:spPr>
        <a:noFill/>
        <a:ln w="12700">
          <a:solidFill>
            <a:schemeClr val="bg1">
              <a:lumMod val="50000"/>
            </a:schemeClr>
          </a:solidFill>
          <a:prstDash val="solid"/>
        </a:ln>
      </c:spPr>
    </c:plotArea>
    <c:legend>
      <c:legendPos val="r"/>
      <c:layout>
        <c:manualLayout>
          <c:xMode val="edge"/>
          <c:yMode val="edge"/>
          <c:x val="9.1125282607000854E-2"/>
          <c:y val="0.68854982790912089"/>
          <c:w val="0.82966679660092002"/>
          <c:h val="6.365086938083119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网民人均月度访问天数</a:t>
            </a:r>
            <a:endParaRPr lang="zh-CN" sz="1200" b="1"/>
          </a:p>
        </c:rich>
      </c:tx>
      <c:layout>
        <c:manualLayout>
          <c:xMode val="edge"/>
          <c:yMode val="edge"/>
          <c:x val="0.23386679252893769"/>
          <c:y val="3.2018335084079259E-2"/>
        </c:manualLayout>
      </c:layout>
      <c:spPr>
        <a:noFill/>
        <a:ln w="25400">
          <a:noFill/>
        </a:ln>
      </c:spPr>
    </c:title>
    <c:plotArea>
      <c:layout>
        <c:manualLayout>
          <c:layoutTarget val="inner"/>
          <c:xMode val="edge"/>
          <c:yMode val="edge"/>
          <c:x val="0.10063832131889246"/>
          <c:y val="0.18188993740721782"/>
          <c:w val="0.85274582261375864"/>
          <c:h val="0.43242983270972085"/>
        </c:manualLayout>
      </c:layout>
      <c:barChart>
        <c:barDir val="col"/>
        <c:grouping val="clustered"/>
        <c:ser>
          <c:idx val="1"/>
          <c:order val="0"/>
          <c:tx>
            <c:strRef>
              <c:f>'02-网络使用粘性'!$A$38</c:f>
              <c:strCache>
                <c:ptCount val="1"/>
                <c:pt idx="0">
                  <c:v>人均月度访问天数(天)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'02-网络使用粘性'!$C$37:$N$37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'02-网络使用粘性'!$C$38:$N$38</c:f>
              <c:numCache>
                <c:formatCode>General</c:formatCode>
                <c:ptCount val="12"/>
                <c:pt idx="0">
                  <c:v>11.72</c:v>
                </c:pt>
                <c:pt idx="1">
                  <c:v>11.42</c:v>
                </c:pt>
                <c:pt idx="2">
                  <c:v>13.46</c:v>
                </c:pt>
                <c:pt idx="3">
                  <c:v>12.16</c:v>
                </c:pt>
                <c:pt idx="4">
                  <c:v>12.950000000000006</c:v>
                </c:pt>
                <c:pt idx="5">
                  <c:v>12.67</c:v>
                </c:pt>
                <c:pt idx="6">
                  <c:v>13.46</c:v>
                </c:pt>
                <c:pt idx="7">
                  <c:v>14.03</c:v>
                </c:pt>
                <c:pt idx="8">
                  <c:v>13.24</c:v>
                </c:pt>
                <c:pt idx="9">
                  <c:v>12.75</c:v>
                </c:pt>
                <c:pt idx="10">
                  <c:v>13.23</c:v>
                </c:pt>
                <c:pt idx="11">
                  <c:v>13.23</c:v>
                </c:pt>
              </c:numCache>
            </c:numRef>
          </c:val>
          <c:extLst xmlns:c16r2="http://schemas.microsoft.com/office/drawing/2015/06/chart">
            <c:ext xmlns:c16="http://schemas.microsoft.com/office/drawing/2014/chart" uri="{C3380CC4-5D6E-409C-BE32-E72D297353CC}">
              <c16:uniqueId val="{00000000-9BCC-46D4-89A4-0BF848B90F4B}"/>
            </c:ext>
          </c:extLst>
        </c:ser>
        <c:dLbls>
          <c:showVal val="1"/>
        </c:dLbls>
        <c:gapWidth val="60"/>
        <c:axId val="241411968"/>
        <c:axId val="241413504"/>
      </c:barChart>
      <c:lineChart>
        <c:grouping val="standard"/>
        <c:ser>
          <c:idx val="0"/>
          <c:order val="1"/>
          <c:tx>
            <c:strRef>
              <c:f>'02-网络使用粘性'!$A$39</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BCC-46D4-89A4-0BF848B90F4B}"/>
                </c:ext>
              </c:extLst>
            </c:dLbl>
            <c:dLbl>
              <c:idx val="1"/>
              <c:layout>
                <c:manualLayout>
                  <c:x val="-5.8184086974154225E-2"/>
                  <c:y val="-4.60303140134369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BCC-46D4-89A4-0BF848B90F4B}"/>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BCC-46D4-89A4-0BF848B90F4B}"/>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BCC-46D4-89A4-0BF848B90F4B}"/>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val>
            <c:numRef>
              <c:f>'02-网络使用粘性'!$C$39:$N$39</c:f>
              <c:numCache>
                <c:formatCode>0.0%</c:formatCode>
                <c:ptCount val="12"/>
                <c:pt idx="0">
                  <c:v>-0.10602593440122045</c:v>
                </c:pt>
                <c:pt idx="1">
                  <c:v>-2.5597269624573461E-2</c:v>
                </c:pt>
                <c:pt idx="2">
                  <c:v>0.17863397548161131</c:v>
                </c:pt>
                <c:pt idx="3">
                  <c:v>-9.6582466567607897E-2</c:v>
                </c:pt>
                <c:pt idx="4">
                  <c:v>6.4967105263157743E-2</c:v>
                </c:pt>
                <c:pt idx="5">
                  <c:v>-2.1621621621621644E-2</c:v>
                </c:pt>
                <c:pt idx="6">
                  <c:v>6.2352012628255779E-2</c:v>
                </c:pt>
                <c:pt idx="7">
                  <c:v>4.2347696879643328E-2</c:v>
                </c:pt>
                <c:pt idx="8">
                  <c:v>-5.630791161796149E-2</c:v>
                </c:pt>
                <c:pt idx="9">
                  <c:v>-3.7009063444108842E-2</c:v>
                </c:pt>
                <c:pt idx="10">
                  <c:v>3.7647058823529422E-2</c:v>
                </c:pt>
                <c:pt idx="11">
                  <c:v>0</c:v>
                </c:pt>
              </c:numCache>
            </c:numRef>
          </c:val>
          <c:extLst xmlns:c16r2="http://schemas.microsoft.com/office/drawing/2015/06/chart">
            <c:ext xmlns:c16="http://schemas.microsoft.com/office/drawing/2014/chart" uri="{C3380CC4-5D6E-409C-BE32-E72D297353CC}">
              <c16:uniqueId val="{00000005-9BCC-46D4-89A4-0BF848B90F4B}"/>
            </c:ext>
          </c:extLst>
        </c:ser>
        <c:dLbls>
          <c:showVal val="1"/>
        </c:dLbls>
        <c:marker val="1"/>
        <c:axId val="241423488"/>
        <c:axId val="241425024"/>
      </c:lineChart>
      <c:catAx>
        <c:axId val="24141196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413504"/>
        <c:crosses val="autoZero"/>
        <c:lblAlgn val="ctr"/>
        <c:lblOffset val="100"/>
        <c:tickLblSkip val="1"/>
        <c:tickMarkSkip val="1"/>
      </c:catAx>
      <c:valAx>
        <c:axId val="241413504"/>
        <c:scaling>
          <c:orientation val="minMax"/>
          <c:max val="3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1411968"/>
        <c:crosses val="autoZero"/>
        <c:crossBetween val="between"/>
        <c:majorUnit val="10"/>
      </c:valAx>
      <c:catAx>
        <c:axId val="241423488"/>
        <c:scaling>
          <c:orientation val="minMax"/>
        </c:scaling>
        <c:delete val="1"/>
        <c:axPos val="b"/>
        <c:numFmt formatCode="General" sourceLinked="1"/>
        <c:tickLblPos val="none"/>
        <c:crossAx val="241425024"/>
        <c:crosses val="autoZero"/>
        <c:lblAlgn val="ctr"/>
        <c:lblOffset val="100"/>
      </c:catAx>
      <c:valAx>
        <c:axId val="241425024"/>
        <c:scaling>
          <c:orientation val="minMax"/>
          <c:max val="0.30000000000000027"/>
          <c:min val="-1.3"/>
        </c:scaling>
        <c:axPos val="r"/>
        <c:numFmt formatCode="0.0%" sourceLinked="1"/>
        <c:majorTickMark val="none"/>
        <c:tickLblPos val="none"/>
        <c:spPr>
          <a:ln w="3175">
            <a:noFill/>
            <a:prstDash val="solid"/>
          </a:ln>
        </c:spPr>
        <c:crossAx val="241423488"/>
        <c:crosses val="max"/>
        <c:crossBetween val="between"/>
        <c:majorUnit val="0.29000000000000031"/>
        <c:minorUnit val="0.29000000000000031"/>
      </c:valAx>
      <c:spPr>
        <a:noFill/>
        <a:ln w="12700">
          <a:noFill/>
          <a:prstDash val="solid"/>
        </a:ln>
      </c:spPr>
    </c:plotArea>
    <c:legend>
      <c:legendPos val="r"/>
      <c:layout>
        <c:manualLayout>
          <c:xMode val="edge"/>
          <c:yMode val="edge"/>
          <c:x val="0.10168812077787874"/>
          <c:y val="0.71154120619156402"/>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a:t>
            </a:r>
            <a:r>
              <a:rPr lang="zh-CN" altLang="en-US" sz="1200" b="1" i="0" u="none" strike="noStrike" baseline="0">
                <a:effectLst/>
              </a:rPr>
              <a:t>及</a:t>
            </a:r>
            <a:r>
              <a:rPr lang="zh-CN" altLang="en-US" sz="1200" b="1"/>
              <a:t>全国网民人均月度访问天数（天）</a:t>
            </a:r>
            <a:endParaRPr lang="zh-CN" sz="1200" b="1"/>
          </a:p>
        </c:rich>
      </c:tx>
      <c:layout>
        <c:manualLayout>
          <c:xMode val="edge"/>
          <c:yMode val="edge"/>
          <c:x val="0.15728902648721602"/>
          <c:y val="2.3198048424762786E-2"/>
        </c:manualLayout>
      </c:layout>
      <c:spPr>
        <a:noFill/>
        <a:ln w="25400">
          <a:noFill/>
        </a:ln>
      </c:spPr>
    </c:title>
    <c:plotArea>
      <c:layout>
        <c:manualLayout>
          <c:layoutTarget val="inner"/>
          <c:xMode val="edge"/>
          <c:yMode val="edge"/>
          <c:x val="0.10063832131889246"/>
          <c:y val="0.18188993740721782"/>
          <c:w val="0.85274582261375864"/>
          <c:h val="0.43242983270972085"/>
        </c:manualLayout>
      </c:layout>
      <c:lineChart>
        <c:grouping val="standard"/>
        <c:ser>
          <c:idx val="1"/>
          <c:order val="0"/>
          <c:tx>
            <c:strRef>
              <c:f>'02-网络使用粘性'!$A$40</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numFmt formatCode="0.0_);[Red]\(0.0\)" sourceLinked="0"/>
            <c:dLblPos val="b"/>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'02-网络使用粘性'!$C$40:$N$40</c:f>
              <c:numCache>
                <c:formatCode>General</c:formatCode>
                <c:ptCount val="12"/>
                <c:pt idx="0">
                  <c:v>11.72</c:v>
                </c:pt>
                <c:pt idx="1">
                  <c:v>11.42</c:v>
                </c:pt>
                <c:pt idx="2">
                  <c:v>13.46</c:v>
                </c:pt>
                <c:pt idx="3">
                  <c:v>12.16</c:v>
                </c:pt>
                <c:pt idx="4">
                  <c:v>12.950000000000006</c:v>
                </c:pt>
                <c:pt idx="5">
                  <c:v>12.67</c:v>
                </c:pt>
                <c:pt idx="6">
                  <c:v>13.46</c:v>
                </c:pt>
                <c:pt idx="7">
                  <c:v>14.03</c:v>
                </c:pt>
                <c:pt idx="8">
                  <c:v>13.24</c:v>
                </c:pt>
                <c:pt idx="9">
                  <c:v>12.75</c:v>
                </c:pt>
                <c:pt idx="10">
                  <c:v>13.23</c:v>
                </c:pt>
                <c:pt idx="11">
                  <c:v>13.23</c:v>
                </c:pt>
              </c:numCache>
            </c:numRef>
          </c:val>
          <c:extLst xmlns:c16r2="http://schemas.microsoft.com/office/drawing/2015/06/chart">
            <c:ext xmlns:c16="http://schemas.microsoft.com/office/drawing/2014/chart" uri="{C3380CC4-5D6E-409C-BE32-E72D297353CC}">
              <c16:uniqueId val="{00000000-9BCC-46D4-89A4-0BF848B90F4B}"/>
            </c:ext>
          </c:extLst>
        </c:ser>
        <c:ser>
          <c:idx val="0"/>
          <c:order val="1"/>
          <c:tx>
            <c:strRef>
              <c:f>'02-网络使用粘性'!$A$43</c:f>
              <c:strCache>
                <c:ptCount val="1"/>
                <c:pt idx="0">
                  <c:v>全国</c:v>
                </c:pt>
              </c:strCache>
            </c:strRef>
          </c:tx>
          <c:spPr>
            <a:ln>
              <a:solidFill>
                <a:srgbClr val="1EC8F3"/>
              </a:solidFill>
            </a:ln>
          </c:spPr>
          <c:marker>
            <c:symbol val="circle"/>
            <c:size val="5"/>
            <c:spPr>
              <a:solidFill>
                <a:srgbClr val="1EC8F3"/>
              </a:solidFill>
              <a:ln>
                <a:solidFill>
                  <a:srgbClr val="1EC8F3"/>
                </a:solidFill>
              </a:ln>
            </c:spPr>
          </c:marker>
          <c:dLbls>
            <c:numFmt formatCode="0.0_);[Red]\(0.0\)" sourceLinked="0"/>
            <c:dLblPos val="t"/>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'02-网络使用粘性'!$C$43:$N$43</c:f>
              <c:numCache>
                <c:formatCode>General</c:formatCode>
                <c:ptCount val="12"/>
                <c:pt idx="0">
                  <c:v>12.5</c:v>
                </c:pt>
                <c:pt idx="1">
                  <c:v>12.02</c:v>
                </c:pt>
                <c:pt idx="2">
                  <c:v>13.93</c:v>
                </c:pt>
                <c:pt idx="3">
                  <c:v>12.75</c:v>
                </c:pt>
                <c:pt idx="4">
                  <c:v>13.43</c:v>
                </c:pt>
                <c:pt idx="5">
                  <c:v>13.28</c:v>
                </c:pt>
                <c:pt idx="6">
                  <c:v>13.53</c:v>
                </c:pt>
                <c:pt idx="7">
                  <c:v>13.98</c:v>
                </c:pt>
                <c:pt idx="8">
                  <c:v>13.41</c:v>
                </c:pt>
                <c:pt idx="9">
                  <c:v>13.69</c:v>
                </c:pt>
                <c:pt idx="10">
                  <c:v>13.55</c:v>
                </c:pt>
                <c:pt idx="11">
                  <c:v>13.62</c:v>
                </c:pt>
              </c:numCache>
            </c:numRef>
          </c:val>
        </c:ser>
        <c:dLbls>
          <c:showVal val="1"/>
        </c:dLbls>
        <c:marker val="1"/>
        <c:axId val="241570176"/>
        <c:axId val="241571712"/>
      </c:lineChart>
      <c:catAx>
        <c:axId val="24157017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571712"/>
        <c:crosses val="autoZero"/>
        <c:lblAlgn val="ctr"/>
        <c:lblOffset val="100"/>
        <c:tickLblSkip val="1"/>
        <c:tickMarkSkip val="1"/>
      </c:catAx>
      <c:valAx>
        <c:axId val="241571712"/>
        <c:scaling>
          <c:orientation val="minMax"/>
          <c:max val="15"/>
          <c:min val="1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1570176"/>
        <c:crosses val="autoZero"/>
        <c:crossBetween val="between"/>
        <c:majorUnit val="1"/>
        <c:minorUnit val="1"/>
      </c:valAx>
      <c:spPr>
        <a:noFill/>
        <a:ln w="12700">
          <a:noFill/>
          <a:prstDash val="solid"/>
        </a:ln>
      </c:spPr>
    </c:plotArea>
    <c:legend>
      <c:legendPos val="r"/>
      <c:layout>
        <c:manualLayout>
          <c:xMode val="edge"/>
          <c:yMode val="edge"/>
          <c:x val="0.10168812077787874"/>
          <c:y val="0.71154120619156402"/>
          <c:w val="0.81594930023765511"/>
          <c:h val="6.093776315446788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网民人均月度访问次数</a:t>
            </a:r>
            <a:endParaRPr lang="zh-CN" sz="1200" b="1"/>
          </a:p>
        </c:rich>
      </c:tx>
      <c:layout>
        <c:manualLayout>
          <c:xMode val="edge"/>
          <c:yMode val="edge"/>
          <c:x val="0.24179923443026213"/>
          <c:y val="1.4200325517969485E-2"/>
        </c:manualLayout>
      </c:layout>
      <c:spPr>
        <a:noFill/>
        <a:ln w="25400">
          <a:noFill/>
        </a:ln>
      </c:spPr>
    </c:title>
    <c:plotArea>
      <c:layout>
        <c:manualLayout>
          <c:layoutTarget val="inner"/>
          <c:xMode val="edge"/>
          <c:yMode val="edge"/>
          <c:x val="0.10063834099945428"/>
          <c:y val="0.16030732101155487"/>
          <c:w val="0.85274582261375864"/>
          <c:h val="0.44256191439757181"/>
        </c:manualLayout>
      </c:layout>
      <c:barChart>
        <c:barDir val="col"/>
        <c:grouping val="clustered"/>
        <c:ser>
          <c:idx val="1"/>
          <c:order val="0"/>
          <c:tx>
            <c:strRef>
              <c:f>'02-网络使用粘性'!$A$44</c:f>
              <c:strCache>
                <c:ptCount val="1"/>
                <c:pt idx="0">
                  <c:v>人均月度访问次数(次)</c:v>
                </c:pt>
              </c:strCache>
            </c:strRef>
          </c:tx>
          <c:spPr>
            <a:solidFill>
              <a:srgbClr val="B2D234"/>
            </a:solidFill>
            <a:ln w="12700">
              <a:noFill/>
              <a:prstDash val="solid"/>
            </a:ln>
          </c:spPr>
          <c:dLbls>
            <c:numFmt formatCode="0_);[Red]\(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'02-网络使用粘性'!$C$43:$N$43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'02-网络使用粘性'!$C$44:$N$44</c:f>
              <c:numCache>
                <c:formatCode>0.0</c:formatCode>
                <c:ptCount val="12"/>
                <c:pt idx="0">
                  <c:v>216.55</c:v>
                </c:pt>
                <c:pt idx="1">
                  <c:v>225.49</c:v>
                </c:pt>
                <c:pt idx="2">
                  <c:v>260.89999999999975</c:v>
                </c:pt>
                <c:pt idx="3">
                  <c:v>232.85000000000011</c:v>
                </c:pt>
                <c:pt idx="4">
                  <c:v>252.25</c:v>
                </c:pt>
                <c:pt idx="5">
                  <c:v>250.33</c:v>
                </c:pt>
                <c:pt idx="6">
                  <c:v>268.27</c:v>
                </c:pt>
                <c:pt idx="7">
                  <c:v>295.5</c:v>
                </c:pt>
                <c:pt idx="8">
                  <c:v>272.06</c:v>
                </c:pt>
                <c:pt idx="9">
                  <c:v>259.97000000000003</c:v>
                </c:pt>
                <c:pt idx="10">
                  <c:v>277.72000000000003</c:v>
                </c:pt>
                <c:pt idx="11">
                  <c:v>254.43</c:v>
                </c:pt>
              </c:numCache>
            </c:numRef>
          </c:val>
          <c:extLst xmlns:c16r2="http://schemas.microsoft.com/office/drawing/2015/06/chart">
            <c:ext xmlns:c16="http://schemas.microsoft.com/office/drawing/2014/chart" uri="{C3380CC4-5D6E-409C-BE32-E72D297353CC}">
              <c16:uniqueId val="{00000000-211D-4440-829C-94B966151C18}"/>
            </c:ext>
          </c:extLst>
        </c:ser>
        <c:dLbls>
          <c:showVal val="1"/>
        </c:dLbls>
        <c:gapWidth val="60"/>
        <c:axId val="241605248"/>
        <c:axId val="241631616"/>
      </c:barChart>
      <c:lineChart>
        <c:grouping val="standard"/>
        <c:ser>
          <c:idx val="0"/>
          <c:order val="1"/>
          <c:tx>
            <c:strRef>
              <c:f>'02-网络使用粘性'!$A$45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1D-4440-829C-94B966151C18}"/>
                </c:ext>
              </c:extLst>
            </c:dLbl>
            <c:dLbl>
              <c:idx val="1"/>
              <c:layout>
                <c:manualLayout>
                  <c:x val="-5.8184086974154225E-2"/>
                  <c:y val="-4.60303140134369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1D-4440-829C-94B966151C18}"/>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1D-4440-829C-94B966151C18}"/>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1D-4440-829C-94B966151C18}"/>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val>
            <c:numRef>
              <c:f>'02-网络使用粘性'!$C$45:$N$45</c:f>
              <c:numCache>
                <c:formatCode>0.0%</c:formatCode>
                <c:ptCount val="12"/>
                <c:pt idx="0">
                  <c:v>-0.12713128300213639</c:v>
                </c:pt>
                <c:pt idx="1">
                  <c:v>4.1283768182867678E-2</c:v>
                </c:pt>
                <c:pt idx="2">
                  <c:v>0.15703578872677276</c:v>
                </c:pt>
                <c:pt idx="3">
                  <c:v>-0.10751245688003069</c:v>
                </c:pt>
                <c:pt idx="4">
                  <c:v>8.3315439123899604E-2</c:v>
                </c:pt>
                <c:pt idx="5">
                  <c:v>-7.6114965312189505E-3</c:v>
                </c:pt>
                <c:pt idx="6">
                  <c:v>7.1665401669795736E-2</c:v>
                </c:pt>
                <c:pt idx="7">
                  <c:v>0.10150221791478732</c:v>
                </c:pt>
                <c:pt idx="8">
                  <c:v>-7.932318104906938E-2</c:v>
                </c:pt>
                <c:pt idx="9">
                  <c:v>-4.4438726751451808E-2</c:v>
                </c:pt>
                <c:pt idx="10">
                  <c:v>6.8277108897180486E-2</c:v>
                </c:pt>
                <c:pt idx="11">
                  <c:v>-8.3861443180181641E-2</c:v>
                </c:pt>
              </c:numCache>
            </c:numRef>
          </c:val>
          <c:extLst xmlns:c16r2="http://schemas.microsoft.com/office/drawing/2015/06/chart">
            <c:ext xmlns:c16="http://schemas.microsoft.com/office/drawing/2014/chart" uri="{C3380CC4-5D6E-409C-BE32-E72D297353CC}">
              <c16:uniqueId val="{00000005-211D-4440-829C-94B966151C18}"/>
            </c:ext>
          </c:extLst>
        </c:ser>
        <c:dLbls>
          <c:showVal val="1"/>
        </c:dLbls>
        <c:marker val="1"/>
        <c:axId val="241633152"/>
        <c:axId val="241634688"/>
      </c:lineChart>
      <c:catAx>
        <c:axId val="24160524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631616"/>
        <c:crosses val="autoZero"/>
        <c:lblAlgn val="ctr"/>
        <c:lblOffset val="100"/>
        <c:tickLblSkip val="1"/>
        <c:tickMarkSkip val="1"/>
      </c:catAx>
      <c:valAx>
        <c:axId val="241631616"/>
        <c:scaling>
          <c:orientation val="minMax"/>
          <c:max val="50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1605248"/>
        <c:crosses val="autoZero"/>
        <c:crossBetween val="between"/>
        <c:majorUnit val="100"/>
      </c:valAx>
      <c:catAx>
        <c:axId val="241633152"/>
        <c:scaling>
          <c:orientation val="minMax"/>
        </c:scaling>
        <c:delete val="1"/>
        <c:axPos val="b"/>
        <c:numFmt formatCode="General" sourceLinked="1"/>
        <c:tickLblPos val="none"/>
        <c:crossAx val="241634688"/>
        <c:crosses val="autoZero"/>
        <c:lblAlgn val="ctr"/>
        <c:lblOffset val="100"/>
      </c:catAx>
      <c:valAx>
        <c:axId val="241634688"/>
        <c:scaling>
          <c:orientation val="minMax"/>
          <c:max val="0.30000000000000027"/>
          <c:min val="-1.3"/>
        </c:scaling>
        <c:axPos val="r"/>
        <c:numFmt formatCode="0.0%" sourceLinked="1"/>
        <c:majorTickMark val="none"/>
        <c:tickLblPos val="none"/>
        <c:spPr>
          <a:ln w="3175">
            <a:noFill/>
            <a:prstDash val="solid"/>
          </a:ln>
        </c:spPr>
        <c:crossAx val="241633152"/>
        <c:crosses val="max"/>
        <c:crossBetween val="between"/>
        <c:majorUnit val="0.29000000000000031"/>
        <c:minorUnit val="0.29000000000000031"/>
      </c:valAx>
      <c:spPr>
        <a:noFill/>
        <a:ln w="12700">
          <a:noFill/>
          <a:prstDash val="solid"/>
        </a:ln>
      </c:spPr>
    </c:plotArea>
    <c:legend>
      <c:legendPos val="r"/>
      <c:layout>
        <c:manualLayout>
          <c:xMode val="edge"/>
          <c:yMode val="edge"/>
          <c:x val="0.10432228781014206"/>
          <c:y val="0.7056729864074256"/>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年陕西及全国网民人均月度访问次数（次）</a:t>
            </a:r>
            <a:endParaRPr lang="zh-CN" sz="1200" b="1"/>
          </a:p>
        </c:rich>
      </c:tx>
      <c:layout>
        <c:manualLayout>
          <c:xMode val="edge"/>
          <c:yMode val="edge"/>
          <c:x val="0.15992963910934443"/>
          <c:y val="2.3198048424762786E-2"/>
        </c:manualLayout>
      </c:layout>
      <c:spPr>
        <a:noFill/>
        <a:ln w="25400">
          <a:noFill/>
        </a:ln>
      </c:spPr>
    </c:title>
    <c:plotArea>
      <c:layout>
        <c:manualLayout>
          <c:layoutTarget val="inner"/>
          <c:xMode val="edge"/>
          <c:yMode val="edge"/>
          <c:x val="0.10063832131889246"/>
          <c:y val="0.18188993740721782"/>
          <c:w val="0.85274582261375864"/>
          <c:h val="0.43242983270972085"/>
        </c:manualLayout>
      </c:layout>
      <c:lineChart>
        <c:grouping val="standard"/>
        <c:ser>
          <c:idx val="1"/>
          <c:order val="0"/>
          <c:tx>
            <c:strRef>
              <c:f>'02-网络使用粘性'!$A$48</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6"/>
              <c:layout>
                <c:manualLayout>
                  <c:x val="-4.9755795313016597E-2"/>
                  <c:y val="-4.910677234805403E-2"/>
                </c:manualLayout>
              </c:layout>
              <c:dLblPos val="r"/>
              <c:showVal val="1"/>
            </c:dLbl>
            <c:dLbl>
              <c:idx val="7"/>
              <c:layout>
                <c:manualLayout>
                  <c:x val="-4.9755795313016597E-2"/>
                  <c:y val="-4.4696629018395932E-2"/>
                </c:manualLayout>
              </c:layout>
              <c:dLblPos val="r"/>
              <c:showVal val="1"/>
            </c:dLbl>
            <c:dLbl>
              <c:idx val="8"/>
              <c:layout>
                <c:manualLayout>
                  <c:x val="-5.5037020557273296E-2"/>
                  <c:y val="-5.7927059007370454E-2"/>
                </c:manualLayout>
              </c:layout>
              <c:dLblPos val="r"/>
              <c:showVal val="1"/>
            </c:dLbl>
            <c:dLbl>
              <c:idx val="10"/>
              <c:layout>
                <c:manualLayout>
                  <c:x val="-4.9755795313016597E-2"/>
                  <c:y val="-4.0286485688737675E-2"/>
                </c:manualLayout>
              </c:layout>
              <c:dLblPos val="r"/>
              <c:showVal val="1"/>
            </c:dLbl>
            <c:numFmt formatCode="0.0_);[Red]\(0.0\)" sourceLinked="0"/>
            <c:dLblPos val="b"/>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'02-网络使用粘性'!$C$48:$N$48</c:f>
              <c:numCache>
                <c:formatCode>0.0</c:formatCode>
                <c:ptCount val="12"/>
                <c:pt idx="0">
                  <c:v>216.55</c:v>
                </c:pt>
                <c:pt idx="1">
                  <c:v>225.49</c:v>
                </c:pt>
                <c:pt idx="2">
                  <c:v>260.89999999999975</c:v>
                </c:pt>
                <c:pt idx="3">
                  <c:v>232.85000000000011</c:v>
                </c:pt>
                <c:pt idx="4">
                  <c:v>252.25</c:v>
                </c:pt>
                <c:pt idx="5">
                  <c:v>250.33</c:v>
                </c:pt>
                <c:pt idx="6">
                  <c:v>268.27</c:v>
                </c:pt>
                <c:pt idx="7">
                  <c:v>295.5</c:v>
                </c:pt>
                <c:pt idx="8">
                  <c:v>272.06</c:v>
                </c:pt>
                <c:pt idx="9">
                  <c:v>259.97000000000003</c:v>
                </c:pt>
                <c:pt idx="10">
                  <c:v>277.72000000000003</c:v>
                </c:pt>
                <c:pt idx="11">
                  <c:v>254.43</c:v>
                </c:pt>
              </c:numCache>
            </c:numRef>
          </c:val>
          <c:extLst xmlns:c16r2="http://schemas.microsoft.com/office/drawing/2015/06/chart">
            <c:ext xmlns:c16="http://schemas.microsoft.com/office/drawing/2014/chart" uri="{C3380CC4-5D6E-409C-BE32-E72D297353CC}">
              <c16:uniqueId val="{00000000-9BCC-46D4-89A4-0BF848B90F4B}"/>
            </c:ext>
          </c:extLst>
        </c:ser>
        <c:ser>
          <c:idx val="0"/>
          <c:order val="1"/>
          <c:tx>
            <c:strRef>
              <c:f>'02-网络使用粘性'!$A$51</c:f>
              <c:strCache>
                <c:ptCount val="1"/>
                <c:pt idx="0">
                  <c:v>全国</c:v>
                </c:pt>
              </c:strCache>
            </c:strRef>
          </c:tx>
          <c:spPr>
            <a:ln>
              <a:solidFill>
                <a:srgbClr val="1EC8F3"/>
              </a:solidFill>
            </a:ln>
          </c:spPr>
          <c:marker>
            <c:symbol val="circle"/>
            <c:size val="5"/>
            <c:spPr>
              <a:solidFill>
                <a:srgbClr val="1EC8F3"/>
              </a:solidFill>
              <a:ln>
                <a:solidFill>
                  <a:srgbClr val="1EC8F3"/>
                </a:solidFill>
              </a:ln>
            </c:spPr>
          </c:marker>
          <c:dLbls>
            <c:dLbl>
              <c:idx val="6"/>
              <c:layout>
                <c:manualLayout>
                  <c:x val="-4.9755795313016597E-2"/>
                  <c:y val="4.4696976273776182E-2"/>
                </c:manualLayout>
              </c:layout>
              <c:dLblPos val="r"/>
              <c:showVal val="1"/>
            </c:dLbl>
            <c:dLbl>
              <c:idx val="7"/>
              <c:layout>
                <c:manualLayout>
                  <c:x val="-4.1833957446631612E-2"/>
                  <c:y val="4.9107119603434363E-2"/>
                </c:manualLayout>
              </c:layout>
              <c:dLblPos val="r"/>
              <c:showVal val="1"/>
            </c:dLbl>
            <c:dLbl>
              <c:idx val="8"/>
              <c:layout>
                <c:manualLayout>
                  <c:x val="-4.711518269088822E-2"/>
                  <c:y val="6.6747692922067309E-2"/>
                </c:manualLayout>
              </c:layout>
              <c:dLblPos val="r"/>
              <c:showVal val="1"/>
            </c:dLbl>
            <c:dLbl>
              <c:idx val="10"/>
              <c:layout>
                <c:manualLayout>
                  <c:x val="-4.9755795313016597E-2"/>
                  <c:y val="7.115783625172542E-2"/>
                </c:manualLayout>
              </c:layout>
              <c:dLblPos val="r"/>
              <c:showVal val="1"/>
            </c:dLbl>
            <c:numFmt formatCode="0.0_);[Red]\(0.0\)" sourceLinked="0"/>
            <c:dLblPos val="t"/>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'02-网络使用粘性'!$C$51:$N$51</c:f>
              <c:numCache>
                <c:formatCode>General</c:formatCode>
                <c:ptCount val="12"/>
                <c:pt idx="0">
                  <c:v>228.70999999999998</c:v>
                </c:pt>
                <c:pt idx="1">
                  <c:v>230.44</c:v>
                </c:pt>
                <c:pt idx="2">
                  <c:v>264.42999999999978</c:v>
                </c:pt>
                <c:pt idx="3">
                  <c:v>239.81</c:v>
                </c:pt>
                <c:pt idx="4">
                  <c:v>253.47</c:v>
                </c:pt>
                <c:pt idx="5">
                  <c:v>254.9</c:v>
                </c:pt>
                <c:pt idx="6">
                  <c:v>252.76999999999998</c:v>
                </c:pt>
                <c:pt idx="7">
                  <c:v>270.74</c:v>
                </c:pt>
                <c:pt idx="8">
                  <c:v>258.91000000000003</c:v>
                </c:pt>
                <c:pt idx="9">
                  <c:v>261.75</c:v>
                </c:pt>
                <c:pt idx="10">
                  <c:v>264.13</c:v>
                </c:pt>
                <c:pt idx="11">
                  <c:v>252.81</c:v>
                </c:pt>
              </c:numCache>
            </c:numRef>
          </c:val>
        </c:ser>
        <c:dLbls>
          <c:showVal val="1"/>
        </c:dLbls>
        <c:marker val="1"/>
        <c:axId val="241661056"/>
        <c:axId val="241662592"/>
      </c:lineChart>
      <c:catAx>
        <c:axId val="24166105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662592"/>
        <c:crosses val="autoZero"/>
        <c:lblAlgn val="ctr"/>
        <c:lblOffset val="100"/>
        <c:tickLblSkip val="1"/>
        <c:tickMarkSkip val="1"/>
      </c:catAx>
      <c:valAx>
        <c:axId val="241662592"/>
        <c:scaling>
          <c:orientation val="minMax"/>
          <c:max val="300"/>
          <c:min val="18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1661056"/>
        <c:crosses val="autoZero"/>
        <c:crossBetween val="between"/>
        <c:majorUnit val="30"/>
        <c:minorUnit val="10"/>
      </c:valAx>
      <c:spPr>
        <a:noFill/>
        <a:ln w="12700">
          <a:noFill/>
          <a:prstDash val="solid"/>
        </a:ln>
      </c:spPr>
    </c:plotArea>
    <c:legend>
      <c:legendPos val="r"/>
      <c:layout>
        <c:manualLayout>
          <c:xMode val="edge"/>
          <c:yMode val="edge"/>
          <c:x val="0.10168812077787874"/>
          <c:y val="0.71154120619156402"/>
          <c:w val="0.81594930023765511"/>
          <c:h val="6.093776315446788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网民人均单日有效浏览时间</a:t>
            </a:r>
            <a:endParaRPr lang="zh-CN" sz="1200" b="1"/>
          </a:p>
        </c:rich>
      </c:tx>
      <c:layout>
        <c:manualLayout>
          <c:xMode val="edge"/>
          <c:yMode val="edge"/>
          <c:x val="0.22067417364386166"/>
          <c:y val="3.642847841373744E-2"/>
        </c:manualLayout>
      </c:layout>
      <c:spPr>
        <a:noFill/>
        <a:ln w="25400">
          <a:noFill/>
        </a:ln>
      </c:spPr>
    </c:title>
    <c:plotArea>
      <c:layout>
        <c:manualLayout>
          <c:layoutTarget val="inner"/>
          <c:xMode val="edge"/>
          <c:yMode val="edge"/>
          <c:x val="0.10063834099945428"/>
          <c:y val="0.17353775100052959"/>
          <c:w val="0.85274582261375864"/>
          <c:h val="0.44279853110974138"/>
        </c:manualLayout>
      </c:layout>
      <c:barChart>
        <c:barDir val="col"/>
        <c:grouping val="clustered"/>
        <c:ser>
          <c:idx val="1"/>
          <c:order val="0"/>
          <c:tx>
            <c:strRef>
              <c:f>'02-网络使用粘性'!$A$50</c:f>
              <c:strCache>
                <c:ptCount val="1"/>
                <c:pt idx="0">
                  <c:v>人均单日有效浏览时间(分)</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'02-网络使用粘性'!$C$49:$N$49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'02-网络使用粘性'!$C$50:$N$50</c:f>
              <c:numCache>
                <c:formatCode>0.0</c:formatCode>
                <c:ptCount val="12"/>
                <c:pt idx="0">
                  <c:v>96.283333333333289</c:v>
                </c:pt>
                <c:pt idx="1">
                  <c:v>95.716666666666697</c:v>
                </c:pt>
                <c:pt idx="2">
                  <c:v>89.466666666666697</c:v>
                </c:pt>
                <c:pt idx="3">
                  <c:v>92.733333333333277</c:v>
                </c:pt>
                <c:pt idx="4">
                  <c:v>92.8</c:v>
                </c:pt>
                <c:pt idx="5">
                  <c:v>91.4</c:v>
                </c:pt>
                <c:pt idx="6">
                  <c:v>89.133333333333255</c:v>
                </c:pt>
                <c:pt idx="7">
                  <c:v>95.066666666666663</c:v>
                </c:pt>
                <c:pt idx="8">
                  <c:v>89.016666666666666</c:v>
                </c:pt>
                <c:pt idx="9">
                  <c:v>90.783333333333289</c:v>
                </c:pt>
                <c:pt idx="10">
                  <c:v>92.683333333333238</c:v>
                </c:pt>
                <c:pt idx="11">
                  <c:v>83.55</c:v>
                </c:pt>
              </c:numCache>
            </c:numRef>
          </c:val>
          <c:extLst xmlns:c16r2="http://schemas.microsoft.com/office/drawing/2015/06/chart">
            <c:ext xmlns:c16="http://schemas.microsoft.com/office/drawing/2014/chart" uri="{C3380CC4-5D6E-409C-BE32-E72D297353CC}">
              <c16:uniqueId val="{00000000-17B0-413E-ACF2-300B193DF8AB}"/>
            </c:ext>
          </c:extLst>
        </c:ser>
        <c:dLbls>
          <c:showVal val="1"/>
        </c:dLbls>
        <c:gapWidth val="60"/>
        <c:axId val="241737088"/>
        <c:axId val="241759360"/>
      </c:barChart>
      <c:lineChart>
        <c:grouping val="standard"/>
        <c:ser>
          <c:idx val="0"/>
          <c:order val="1"/>
          <c:tx>
            <c:strRef>
              <c:f>'02-网络使用粘性'!$A$51</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7B0-413E-ACF2-300B193DF8AB}"/>
                </c:ext>
              </c:extLst>
            </c:dLbl>
            <c:dLbl>
              <c:idx val="1"/>
              <c:layout>
                <c:manualLayout>
                  <c:x val="-5.8184086974154225E-2"/>
                  <c:y val="-4.60303140134369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7B0-413E-ACF2-300B193DF8AB}"/>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7B0-413E-ACF2-300B193DF8AB}"/>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7B0-413E-ACF2-300B193DF8AB}"/>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val>
            <c:numRef>
              <c:f>'02-网络使用粘性'!$C$51:$N$51</c:f>
              <c:numCache>
                <c:formatCode>0.0%</c:formatCode>
                <c:ptCount val="12"/>
                <c:pt idx="0">
                  <c:v>0.11074793308979018</c:v>
                </c:pt>
                <c:pt idx="1">
                  <c:v>-5.8854076510299613E-3</c:v>
                </c:pt>
                <c:pt idx="2">
                  <c:v>-6.5296883162110381E-2</c:v>
                </c:pt>
                <c:pt idx="3">
                  <c:v>3.6512667660208581E-2</c:v>
                </c:pt>
                <c:pt idx="4">
                  <c:v>7.1890726096324252E-4</c:v>
                </c:pt>
                <c:pt idx="5">
                  <c:v>-1.5086206896551602E-2</c:v>
                </c:pt>
                <c:pt idx="6">
                  <c:v>-2.4799416484318052E-2</c:v>
                </c:pt>
                <c:pt idx="7">
                  <c:v>6.6566940912490519E-2</c:v>
                </c:pt>
                <c:pt idx="8">
                  <c:v>-6.3639551192145816E-2</c:v>
                </c:pt>
                <c:pt idx="9">
                  <c:v>1.9846470698371005E-2</c:v>
                </c:pt>
                <c:pt idx="10">
                  <c:v>2.0928951716541178E-2</c:v>
                </c:pt>
                <c:pt idx="11">
                  <c:v>-9.854342744110775E-2</c:v>
                </c:pt>
              </c:numCache>
            </c:numRef>
          </c:val>
          <c:extLst xmlns:c16r2="http://schemas.microsoft.com/office/drawing/2015/06/chart">
            <c:ext xmlns:c16="http://schemas.microsoft.com/office/drawing/2014/chart" uri="{C3380CC4-5D6E-409C-BE32-E72D297353CC}">
              <c16:uniqueId val="{00000005-17B0-413E-ACF2-300B193DF8AB}"/>
            </c:ext>
          </c:extLst>
        </c:ser>
        <c:dLbls>
          <c:showVal val="1"/>
        </c:dLbls>
        <c:marker val="1"/>
        <c:axId val="241760896"/>
        <c:axId val="241779072"/>
      </c:lineChart>
      <c:catAx>
        <c:axId val="24173708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759360"/>
        <c:crosses val="autoZero"/>
        <c:lblAlgn val="ctr"/>
        <c:lblOffset val="100"/>
        <c:tickLblSkip val="1"/>
        <c:tickMarkSkip val="1"/>
      </c:catAx>
      <c:valAx>
        <c:axId val="241759360"/>
        <c:scaling>
          <c:orientation val="minMax"/>
          <c:max val="18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1737088"/>
        <c:crosses val="autoZero"/>
        <c:crossBetween val="between"/>
        <c:minorUnit val="30"/>
      </c:valAx>
      <c:catAx>
        <c:axId val="241760896"/>
        <c:scaling>
          <c:orientation val="minMax"/>
        </c:scaling>
        <c:delete val="1"/>
        <c:axPos val="b"/>
        <c:numFmt formatCode="General" sourceLinked="1"/>
        <c:tickLblPos val="none"/>
        <c:crossAx val="241779072"/>
        <c:crosses val="autoZero"/>
        <c:lblAlgn val="ctr"/>
        <c:lblOffset val="100"/>
      </c:catAx>
      <c:valAx>
        <c:axId val="241779072"/>
        <c:scaling>
          <c:orientation val="minMax"/>
          <c:max val="0.4"/>
          <c:min val="-1.3"/>
        </c:scaling>
        <c:axPos val="r"/>
        <c:numFmt formatCode="0.0%" sourceLinked="1"/>
        <c:majorTickMark val="none"/>
        <c:tickLblPos val="none"/>
        <c:spPr>
          <a:ln w="3175">
            <a:noFill/>
            <a:prstDash val="solid"/>
          </a:ln>
        </c:spPr>
        <c:crossAx val="241760896"/>
        <c:crosses val="max"/>
        <c:crossBetween val="between"/>
        <c:majorUnit val="0.29000000000000031"/>
        <c:minorUnit val="0.29000000000000031"/>
      </c:valAx>
      <c:spPr>
        <a:noFill/>
        <a:ln w="12700">
          <a:noFill/>
          <a:prstDash val="solid"/>
        </a:ln>
      </c:spPr>
    </c:plotArea>
    <c:legend>
      <c:legendPos val="r"/>
      <c:layout>
        <c:manualLayout>
          <c:xMode val="edge"/>
          <c:yMode val="edge"/>
          <c:x val="9.9049508653107021E-2"/>
          <c:y val="0.7102014949344126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a:t>
            </a:r>
            <a:r>
              <a:rPr lang="zh-CN" altLang="en-US" sz="1200" b="1" i="0" u="none" strike="noStrike" baseline="0">
                <a:effectLst/>
              </a:rPr>
              <a:t>及</a:t>
            </a:r>
            <a:r>
              <a:rPr lang="zh-CN" altLang="en-US" sz="1200" b="1"/>
              <a:t>全国网民人均单日有效浏览时间（分钟）</a:t>
            </a:r>
            <a:endParaRPr lang="zh-CN" sz="1200" b="1"/>
          </a:p>
        </c:rich>
      </c:tx>
      <c:layout>
        <c:manualLayout>
          <c:xMode val="edge"/>
          <c:yMode val="edge"/>
          <c:x val="0.13616412551018922"/>
          <c:y val="2.3198048424762786E-2"/>
        </c:manualLayout>
      </c:layout>
      <c:spPr>
        <a:noFill/>
        <a:ln w="25400">
          <a:noFill/>
        </a:ln>
      </c:spPr>
    </c:title>
    <c:plotArea>
      <c:layout>
        <c:manualLayout>
          <c:layoutTarget val="inner"/>
          <c:xMode val="edge"/>
          <c:yMode val="edge"/>
          <c:x val="0.10063832131889246"/>
          <c:y val="0.18188993740721782"/>
          <c:w val="0.85274582261375864"/>
          <c:h val="0.43242983270972085"/>
        </c:manualLayout>
      </c:layout>
      <c:lineChart>
        <c:grouping val="standard"/>
        <c:ser>
          <c:idx val="1"/>
          <c:order val="0"/>
          <c:tx>
            <c:strRef>
              <c:f>'02-网络使用粘性'!$A$56</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11"/>
              <c:layout>
                <c:manualLayout>
                  <c:x val="-4.3563662675252447E-2"/>
                  <c:y val="5.792740626275078E-2"/>
                </c:manualLayout>
              </c:layout>
              <c:dLblPos val="r"/>
              <c:showVal val="1"/>
            </c:dLbl>
            <c:numFmt formatCode="0.0_);[Red]\(0.0\)" sourceLinked="0"/>
            <c:dLblPos val="t"/>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'02-网络使用粘性'!$C$56:$N$56</c:f>
              <c:numCache>
                <c:formatCode>0.0</c:formatCode>
                <c:ptCount val="12"/>
                <c:pt idx="0">
                  <c:v>96.283333333333289</c:v>
                </c:pt>
                <c:pt idx="1">
                  <c:v>95.716666666666697</c:v>
                </c:pt>
                <c:pt idx="2">
                  <c:v>89.466666666666697</c:v>
                </c:pt>
                <c:pt idx="3">
                  <c:v>92.733333333333277</c:v>
                </c:pt>
                <c:pt idx="4">
                  <c:v>92.8</c:v>
                </c:pt>
                <c:pt idx="5">
                  <c:v>91.4</c:v>
                </c:pt>
                <c:pt idx="6">
                  <c:v>89.133333333333255</c:v>
                </c:pt>
                <c:pt idx="7">
                  <c:v>95.066666666666663</c:v>
                </c:pt>
                <c:pt idx="8">
                  <c:v>89.016666666666666</c:v>
                </c:pt>
                <c:pt idx="9">
                  <c:v>90.783333333333289</c:v>
                </c:pt>
                <c:pt idx="10">
                  <c:v>92.683333333333238</c:v>
                </c:pt>
                <c:pt idx="11">
                  <c:v>83.55</c:v>
                </c:pt>
              </c:numCache>
            </c:numRef>
          </c:val>
          <c:extLst xmlns:c16r2="http://schemas.microsoft.com/office/drawing/2015/06/chart">
            <c:ext xmlns:c16="http://schemas.microsoft.com/office/drawing/2014/chart" uri="{C3380CC4-5D6E-409C-BE32-E72D297353CC}">
              <c16:uniqueId val="{00000000-9BCC-46D4-89A4-0BF848B90F4B}"/>
            </c:ext>
          </c:extLst>
        </c:ser>
        <c:ser>
          <c:idx val="0"/>
          <c:order val="1"/>
          <c:tx>
            <c:strRef>
              <c:f>'02-网络使用粘性'!$A$59</c:f>
              <c:strCache>
                <c:ptCount val="1"/>
                <c:pt idx="0">
                  <c:v>全国</c:v>
                </c:pt>
              </c:strCache>
            </c:strRef>
          </c:tx>
          <c:spPr>
            <a:ln>
              <a:solidFill>
                <a:srgbClr val="1EC8F3"/>
              </a:solidFill>
            </a:ln>
          </c:spPr>
          <c:marker>
            <c:symbol val="circle"/>
            <c:size val="5"/>
            <c:spPr>
              <a:solidFill>
                <a:srgbClr val="1EC8F3"/>
              </a:solidFill>
              <a:ln>
                <a:solidFill>
                  <a:srgbClr val="1EC8F3"/>
                </a:solidFill>
              </a:ln>
            </c:spPr>
          </c:marker>
          <c:dLbls>
            <c:dLbl>
              <c:idx val="11"/>
              <c:layout>
                <c:manualLayout>
                  <c:x val="-4.3563662675252447E-2"/>
                  <c:y val="-5.7927059007370496E-2"/>
                </c:manualLayout>
              </c:layout>
              <c:dLblPos val="r"/>
              <c:showVal val="1"/>
            </c:dLbl>
            <c:numFmt formatCode="0.0_);[Red]\(0.0\)" sourceLinked="0"/>
            <c:dLblPos val="b"/>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'02-网络使用粘性'!$C$59:$N$59</c:f>
              <c:numCache>
                <c:formatCode>General</c:formatCode>
                <c:ptCount val="12"/>
                <c:pt idx="0">
                  <c:v>91.867000000000004</c:v>
                </c:pt>
                <c:pt idx="1">
                  <c:v>91.382999999999981</c:v>
                </c:pt>
                <c:pt idx="2">
                  <c:v>86.7</c:v>
                </c:pt>
                <c:pt idx="3">
                  <c:v>89.2</c:v>
                </c:pt>
                <c:pt idx="4">
                  <c:v>88.733000000000004</c:v>
                </c:pt>
                <c:pt idx="5">
                  <c:v>88.182999999999979</c:v>
                </c:pt>
                <c:pt idx="6">
                  <c:v>88.566999999999993</c:v>
                </c:pt>
                <c:pt idx="7">
                  <c:v>89.066999999999993</c:v>
                </c:pt>
                <c:pt idx="8">
                  <c:v>86.582999999999998</c:v>
                </c:pt>
                <c:pt idx="9">
                  <c:v>90.033000000000001</c:v>
                </c:pt>
                <c:pt idx="10">
                  <c:v>88.433000000000007</c:v>
                </c:pt>
                <c:pt idx="11">
                  <c:v>87.45</c:v>
                </c:pt>
              </c:numCache>
            </c:numRef>
          </c:val>
        </c:ser>
        <c:dLbls>
          <c:showVal val="1"/>
        </c:dLbls>
        <c:marker val="1"/>
        <c:axId val="241792896"/>
        <c:axId val="241794432"/>
      </c:lineChart>
      <c:catAx>
        <c:axId val="24179289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794432"/>
        <c:crosses val="autoZero"/>
        <c:lblAlgn val="ctr"/>
        <c:lblOffset val="100"/>
        <c:tickLblSkip val="1"/>
        <c:tickMarkSkip val="1"/>
      </c:catAx>
      <c:valAx>
        <c:axId val="241794432"/>
        <c:scaling>
          <c:orientation val="minMax"/>
          <c:max val="110"/>
          <c:min val="7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1792896"/>
        <c:crosses val="autoZero"/>
        <c:crossBetween val="between"/>
        <c:majorUnit val="10"/>
        <c:minorUnit val="5"/>
      </c:valAx>
      <c:spPr>
        <a:noFill/>
        <a:ln w="12700">
          <a:noFill/>
          <a:prstDash val="solid"/>
        </a:ln>
      </c:spPr>
    </c:plotArea>
    <c:legend>
      <c:legendPos val="r"/>
      <c:layout>
        <c:manualLayout>
          <c:xMode val="edge"/>
          <c:yMode val="edge"/>
          <c:x val="0.10168812077787874"/>
          <c:y val="0.71154120619156402"/>
          <c:w val="0.81594930023765511"/>
          <c:h val="6.093776315446788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网民人均单次浏览页面</a:t>
            </a:r>
            <a:endParaRPr lang="zh-CN" sz="1200" b="1"/>
          </a:p>
        </c:rich>
      </c:tx>
      <c:layout>
        <c:manualLayout>
          <c:xMode val="edge"/>
          <c:yMode val="edge"/>
          <c:x val="0.21274189155191114"/>
          <c:y val="3.6310209827123602E-2"/>
        </c:manualLayout>
      </c:layout>
      <c:spPr>
        <a:noFill/>
        <a:ln w="25400">
          <a:noFill/>
        </a:ln>
      </c:spPr>
    </c:title>
    <c:plotArea>
      <c:layout>
        <c:manualLayout>
          <c:layoutTarget val="inner"/>
          <c:xMode val="edge"/>
          <c:yMode val="edge"/>
          <c:x val="0.10063834099945428"/>
          <c:y val="0.17794789433018796"/>
          <c:w val="0.85274582261375864"/>
          <c:h val="0.43350512470857344"/>
        </c:manualLayout>
      </c:layout>
      <c:barChart>
        <c:barDir val="col"/>
        <c:grouping val="clustered"/>
        <c:ser>
          <c:idx val="1"/>
          <c:order val="0"/>
          <c:tx>
            <c:strRef>
              <c:f>'02-网络使用粘性'!$A$56</c:f>
              <c:strCache>
                <c:ptCount val="1"/>
                <c:pt idx="0">
                  <c:v>人均单次浏览页面(页)</c:v>
                </c:pt>
              </c:strCache>
            </c:strRef>
          </c:tx>
          <c:spPr>
            <a:solidFill>
              <a:srgbClr val="B2D234"/>
            </a:solidFill>
            <a:ln w="12700">
              <a:noFill/>
              <a:prstDash val="solid"/>
            </a:ln>
          </c:spPr>
          <c:dLbls>
            <c:dLbl>
              <c:idx val="7"/>
              <c:layout>
                <c:manualLayout>
                  <c:x val="0"/>
                  <c:y val="8.8202866593164418E-3"/>
                </c:manualLayout>
              </c:layout>
              <c:showVal val="1"/>
            </c:dLbl>
            <c:dLbl>
              <c:idx val="8"/>
              <c:layout>
                <c:manualLayout>
                  <c:x val="0"/>
                  <c:y val="1.3230429988974642E-2"/>
                </c:manualLayout>
              </c:layout>
              <c:showVal val="1"/>
            </c:dLbl>
            <c:numFmt formatCode="#,##0.00_);[Red]\(#,##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'02-网络使用粘性'!$C$55:$N$55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'02-网络使用粘性'!$C$56:$N$56</c:f>
              <c:numCache>
                <c:formatCode>0.0</c:formatCode>
                <c:ptCount val="12"/>
                <c:pt idx="0">
                  <c:v>2.7600000000000002</c:v>
                </c:pt>
                <c:pt idx="1">
                  <c:v>2.84</c:v>
                </c:pt>
                <c:pt idx="2">
                  <c:v>2.84</c:v>
                </c:pt>
                <c:pt idx="3">
                  <c:v>2.8299999999999987</c:v>
                </c:pt>
                <c:pt idx="4">
                  <c:v>2.8099999999999987</c:v>
                </c:pt>
                <c:pt idx="5">
                  <c:v>2.77</c:v>
                </c:pt>
                <c:pt idx="6">
                  <c:v>2.7600000000000002</c:v>
                </c:pt>
                <c:pt idx="7">
                  <c:v>2.84</c:v>
                </c:pt>
                <c:pt idx="8">
                  <c:v>2.82</c:v>
                </c:pt>
                <c:pt idx="9">
                  <c:v>2.8299999999999987</c:v>
                </c:pt>
                <c:pt idx="10">
                  <c:v>2.8899999999999997</c:v>
                </c:pt>
                <c:pt idx="11">
                  <c:v>2.75</c:v>
                </c:pt>
              </c:numCache>
            </c:numRef>
          </c:val>
          <c:extLst xmlns:c16r2="http://schemas.microsoft.com/office/drawing/2015/06/chart">
            <c:ext xmlns:c16="http://schemas.microsoft.com/office/drawing/2014/chart" uri="{C3380CC4-5D6E-409C-BE32-E72D297353CC}">
              <c16:uniqueId val="{00000000-DB59-413B-AA83-D73C4DEE9729}"/>
            </c:ext>
          </c:extLst>
        </c:ser>
        <c:dLbls>
          <c:showVal val="1"/>
        </c:dLbls>
        <c:gapWidth val="60"/>
        <c:axId val="241885568"/>
        <c:axId val="241887104"/>
      </c:barChart>
      <c:lineChart>
        <c:grouping val="standard"/>
        <c:ser>
          <c:idx val="0"/>
          <c:order val="1"/>
          <c:tx>
            <c:strRef>
              <c:f>'02-网络使用粘性'!$A$57</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59-413B-AA83-D73C4DEE9729}"/>
                </c:ext>
              </c:extLst>
            </c:dLbl>
            <c:dLbl>
              <c:idx val="1"/>
              <c:layout>
                <c:manualLayout>
                  <c:x val="-5.8184086974154225E-2"/>
                  <c:y val="-4.603031401343692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59-413B-AA83-D73C4DEE9729}"/>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59-413B-AA83-D73C4DEE9729}"/>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59-413B-AA83-D73C4DEE9729}"/>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val>
            <c:numRef>
              <c:f>'02-网络使用粘性'!$C$57:$N$57</c:f>
              <c:numCache>
                <c:formatCode>0.0%</c:formatCode>
                <c:ptCount val="12"/>
                <c:pt idx="0">
                  <c:v>3.6363636363636598E-3</c:v>
                </c:pt>
                <c:pt idx="1">
                  <c:v>2.8985507246376951E-2</c:v>
                </c:pt>
                <c:pt idx="2">
                  <c:v>0</c:v>
                </c:pt>
                <c:pt idx="3">
                  <c:v>-3.5211267605632663E-3</c:v>
                </c:pt>
                <c:pt idx="4">
                  <c:v>-7.0671378091873285E-3</c:v>
                </c:pt>
                <c:pt idx="5">
                  <c:v>-1.4234875444839932E-2</c:v>
                </c:pt>
                <c:pt idx="6">
                  <c:v>-3.6101083032491488E-3</c:v>
                </c:pt>
                <c:pt idx="7">
                  <c:v>2.8985507246376951E-2</c:v>
                </c:pt>
                <c:pt idx="8">
                  <c:v>-7.0422535211267512E-3</c:v>
                </c:pt>
                <c:pt idx="9">
                  <c:v>3.546099290780317E-3</c:v>
                </c:pt>
                <c:pt idx="10">
                  <c:v>2.1201413427561808E-2</c:v>
                </c:pt>
                <c:pt idx="11">
                  <c:v>-4.8442906574394498E-2</c:v>
                </c:pt>
              </c:numCache>
            </c:numRef>
          </c:val>
          <c:extLst xmlns:c16r2="http://schemas.microsoft.com/office/drawing/2015/06/chart">
            <c:ext xmlns:c16="http://schemas.microsoft.com/office/drawing/2014/chart" uri="{C3380CC4-5D6E-409C-BE32-E72D297353CC}">
              <c16:uniqueId val="{00000005-DB59-413B-AA83-D73C4DEE9729}"/>
            </c:ext>
          </c:extLst>
        </c:ser>
        <c:dLbls>
          <c:showVal val="1"/>
        </c:dLbls>
        <c:marker val="1"/>
        <c:axId val="241888640"/>
        <c:axId val="242033792"/>
      </c:lineChart>
      <c:catAx>
        <c:axId val="24188556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887104"/>
        <c:crosses val="autoZero"/>
        <c:lblAlgn val="ctr"/>
        <c:lblOffset val="100"/>
        <c:tickLblSkip val="1"/>
        <c:tickMarkSkip val="1"/>
      </c:catAx>
      <c:valAx>
        <c:axId val="241887104"/>
        <c:scaling>
          <c:orientation val="minMax"/>
          <c:max val="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1885568"/>
        <c:crosses val="autoZero"/>
        <c:crossBetween val="between"/>
        <c:majorUnit val="1"/>
        <c:minorUnit val="0.1"/>
      </c:valAx>
      <c:catAx>
        <c:axId val="241888640"/>
        <c:scaling>
          <c:orientation val="minMax"/>
        </c:scaling>
        <c:delete val="1"/>
        <c:axPos val="b"/>
        <c:numFmt formatCode="General" sourceLinked="1"/>
        <c:tickLblPos val="none"/>
        <c:crossAx val="242033792"/>
        <c:crosses val="autoZero"/>
        <c:lblAlgn val="ctr"/>
        <c:lblOffset val="100"/>
      </c:catAx>
      <c:valAx>
        <c:axId val="242033792"/>
        <c:scaling>
          <c:orientation val="minMax"/>
          <c:max val="0.30000000000000027"/>
          <c:min val="-1.7"/>
        </c:scaling>
        <c:axPos val="r"/>
        <c:numFmt formatCode="0.0%" sourceLinked="1"/>
        <c:majorTickMark val="none"/>
        <c:tickLblPos val="none"/>
        <c:spPr>
          <a:ln w="3175">
            <a:noFill/>
            <a:prstDash val="solid"/>
          </a:ln>
        </c:spPr>
        <c:crossAx val="241888640"/>
        <c:crosses val="max"/>
        <c:crossBetween val="between"/>
        <c:majorUnit val="0.29000000000000031"/>
        <c:minorUnit val="0.29000000000000031"/>
      </c:valAx>
      <c:spPr>
        <a:noFill/>
        <a:ln w="12700">
          <a:noFill/>
          <a:prstDash val="solid"/>
        </a:ln>
      </c:spPr>
    </c:plotArea>
    <c:legend>
      <c:legendPos val="r"/>
      <c:layout>
        <c:manualLayout>
          <c:xMode val="edge"/>
          <c:yMode val="edge"/>
          <c:x val="0.10960787942172663"/>
          <c:y val="0.69643883341398016"/>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a:t>
            </a:r>
            <a:r>
              <a:rPr lang="zh-CN" altLang="en-US" sz="1200" b="1" i="0" u="none" strike="noStrike" baseline="0">
                <a:effectLst/>
              </a:rPr>
              <a:t>及</a:t>
            </a:r>
            <a:r>
              <a:rPr lang="zh-CN" altLang="en-US" sz="1200" b="1"/>
              <a:t>全国网民人均单次浏览页面（页）</a:t>
            </a:r>
            <a:endParaRPr lang="zh-CN" sz="1200" b="1"/>
          </a:p>
        </c:rich>
      </c:tx>
      <c:layout>
        <c:manualLayout>
          <c:xMode val="edge"/>
          <c:yMode val="edge"/>
          <c:x val="0.13616412551018922"/>
          <c:y val="2.3198048424762786E-2"/>
        </c:manualLayout>
      </c:layout>
      <c:spPr>
        <a:noFill/>
        <a:ln w="25400">
          <a:noFill/>
        </a:ln>
      </c:spPr>
    </c:title>
    <c:plotArea>
      <c:layout>
        <c:manualLayout>
          <c:layoutTarget val="inner"/>
          <c:xMode val="edge"/>
          <c:yMode val="edge"/>
          <c:x val="0.10063832131889246"/>
          <c:y val="0.18188993740721782"/>
          <c:w val="0.85274582261375864"/>
          <c:h val="0.43242983270972085"/>
        </c:manualLayout>
      </c:layout>
      <c:lineChart>
        <c:grouping val="standard"/>
        <c:ser>
          <c:idx val="1"/>
          <c:order val="0"/>
          <c:tx>
            <c:strRef>
              <c:f>'02-网络使用粘性'!$A$64</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1"/>
              <c:layout>
                <c:manualLayout>
                  <c:x val="-4.8844887919509139E-2"/>
                  <c:y val="-5.3516915677712239E-2"/>
                </c:manualLayout>
              </c:layout>
              <c:dLblPos val="r"/>
              <c:showVal val="1"/>
            </c:dLbl>
            <c:dLbl>
              <c:idx val="2"/>
              <c:layout>
                <c:manualLayout>
                  <c:x val="-4.3563662675252447E-2"/>
                  <c:y val="-6.2337202337028746E-2"/>
                </c:manualLayout>
              </c:layout>
              <c:dLblPos val="r"/>
              <c:showVal val="1"/>
            </c:dLbl>
            <c:dLbl>
              <c:idx val="4"/>
              <c:layout>
                <c:manualLayout>
                  <c:x val="-4.3563662675252447E-2"/>
                  <c:y val="-5.7927059007370496E-2"/>
                </c:manualLayout>
              </c:layout>
              <c:dLblPos val="r"/>
              <c:showVal val="1"/>
            </c:dLbl>
            <c:dLbl>
              <c:idx val="10"/>
              <c:layout>
                <c:manualLayout>
                  <c:x val="-4.3563662675252357E-2"/>
                  <c:y val="-6.2337202337028788E-2"/>
                </c:manualLayout>
              </c:layout>
              <c:dLblPos val="r"/>
              <c:showVal val="1"/>
            </c:dLbl>
            <c:numFmt formatCode="0.00_);[Red]\(0.00\)" sourceLinked="0"/>
            <c:dLblPos val="b"/>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'02-网络使用粘性'!$C$64:$N$64</c:f>
              <c:numCache>
                <c:formatCode>0.0</c:formatCode>
                <c:ptCount val="12"/>
                <c:pt idx="0">
                  <c:v>2.7600000000000002</c:v>
                </c:pt>
                <c:pt idx="1">
                  <c:v>2.84</c:v>
                </c:pt>
                <c:pt idx="2">
                  <c:v>2.84</c:v>
                </c:pt>
                <c:pt idx="3">
                  <c:v>2.8299999999999987</c:v>
                </c:pt>
                <c:pt idx="4">
                  <c:v>2.8099999999999987</c:v>
                </c:pt>
                <c:pt idx="5">
                  <c:v>2.77</c:v>
                </c:pt>
                <c:pt idx="6">
                  <c:v>2.7600000000000002</c:v>
                </c:pt>
                <c:pt idx="7">
                  <c:v>2.84</c:v>
                </c:pt>
                <c:pt idx="8">
                  <c:v>2.82</c:v>
                </c:pt>
                <c:pt idx="9">
                  <c:v>2.8299999999999987</c:v>
                </c:pt>
                <c:pt idx="10">
                  <c:v>2.8899999999999997</c:v>
                </c:pt>
                <c:pt idx="11">
                  <c:v>2.75</c:v>
                </c:pt>
              </c:numCache>
            </c:numRef>
          </c:val>
          <c:extLst xmlns:c16r2="http://schemas.microsoft.com/office/drawing/2015/06/chart">
            <c:ext xmlns:c16="http://schemas.microsoft.com/office/drawing/2014/chart" uri="{C3380CC4-5D6E-409C-BE32-E72D297353CC}">
              <c16:uniqueId val="{00000000-9BCC-46D4-89A4-0BF848B90F4B}"/>
            </c:ext>
          </c:extLst>
        </c:ser>
        <c:ser>
          <c:idx val="0"/>
          <c:order val="1"/>
          <c:tx>
            <c:strRef>
              <c:f>'02-网络使用粘性'!$A$67</c:f>
              <c:strCache>
                <c:ptCount val="1"/>
                <c:pt idx="0">
                  <c:v>全国</c:v>
                </c:pt>
              </c:strCache>
            </c:strRef>
          </c:tx>
          <c:spPr>
            <a:ln>
              <a:solidFill>
                <a:srgbClr val="1EC8F3"/>
              </a:solidFill>
            </a:ln>
          </c:spPr>
          <c:marker>
            <c:symbol val="circle"/>
            <c:size val="5"/>
            <c:spPr>
              <a:solidFill>
                <a:srgbClr val="1EC8F3"/>
              </a:solidFill>
              <a:ln>
                <a:solidFill>
                  <a:srgbClr val="1EC8F3"/>
                </a:solidFill>
              </a:ln>
            </c:spPr>
          </c:marker>
          <c:dLbls>
            <c:dLbl>
              <c:idx val="1"/>
              <c:layout>
                <c:manualLayout>
                  <c:x val="-4.3563662675252447E-2"/>
                  <c:y val="7.115783625172542E-2"/>
                </c:manualLayout>
              </c:layout>
              <c:dLblPos val="r"/>
              <c:showVal val="1"/>
            </c:dLbl>
            <c:dLbl>
              <c:idx val="2"/>
              <c:layout>
                <c:manualLayout>
                  <c:x val="-4.3563662675252447E-2"/>
                  <c:y val="5.792740626275078E-2"/>
                </c:manualLayout>
              </c:layout>
              <c:dLblPos val="r"/>
              <c:showVal val="1"/>
            </c:dLbl>
            <c:dLbl>
              <c:idx val="4"/>
              <c:layout>
                <c:manualLayout>
                  <c:x val="-4.3563662675252447E-2"/>
                  <c:y val="4.9107119603434363E-2"/>
                </c:manualLayout>
              </c:layout>
              <c:dLblPos val="r"/>
              <c:showVal val="1"/>
            </c:dLbl>
            <c:dLbl>
              <c:idx val="10"/>
              <c:layout>
                <c:manualLayout>
                  <c:x val="-4.3563662675252357E-2"/>
                  <c:y val="6.6747692922067267E-2"/>
                </c:manualLayout>
              </c:layout>
              <c:dLblPos val="r"/>
              <c:showVal val="1"/>
            </c:dLbl>
            <c:dLblPos val="t"/>
            <c:showVal val="1"/>
          </c:dLbls>
          <c:cat>
            <c:strRef>
              <c:f>'02-网络使用粘性'!$C$39:$N$39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'02-网络使用粘性'!$C$67:$N$67</c:f>
              <c:numCache>
                <c:formatCode>General</c:formatCode>
                <c:ptCount val="12"/>
                <c:pt idx="0">
                  <c:v>2.8099999999999987</c:v>
                </c:pt>
                <c:pt idx="1">
                  <c:v>2.8299999999999987</c:v>
                </c:pt>
                <c:pt idx="2">
                  <c:v>2.8099999999999987</c:v>
                </c:pt>
                <c:pt idx="3">
                  <c:v>2.8299999999999987</c:v>
                </c:pt>
                <c:pt idx="4">
                  <c:v>2.79</c:v>
                </c:pt>
                <c:pt idx="5">
                  <c:v>2.79</c:v>
                </c:pt>
                <c:pt idx="6">
                  <c:v>2.8099999999999987</c:v>
                </c:pt>
                <c:pt idx="7">
                  <c:v>2.8499999999999988</c:v>
                </c:pt>
                <c:pt idx="8">
                  <c:v>2.82</c:v>
                </c:pt>
                <c:pt idx="9">
                  <c:v>2.8299999999999987</c:v>
                </c:pt>
                <c:pt idx="10">
                  <c:v>2.8099999999999987</c:v>
                </c:pt>
                <c:pt idx="11">
                  <c:v>2.8099999999999987</c:v>
                </c:pt>
              </c:numCache>
            </c:numRef>
          </c:val>
        </c:ser>
        <c:dLbls>
          <c:showVal val="1"/>
        </c:dLbls>
        <c:marker val="1"/>
        <c:axId val="242052096"/>
        <c:axId val="241910528"/>
      </c:lineChart>
      <c:catAx>
        <c:axId val="24205209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1910528"/>
        <c:crosses val="autoZero"/>
        <c:lblAlgn val="ctr"/>
        <c:lblOffset val="100"/>
        <c:tickLblSkip val="1"/>
        <c:tickMarkSkip val="1"/>
      </c:catAx>
      <c:valAx>
        <c:axId val="241910528"/>
        <c:scaling>
          <c:orientation val="minMax"/>
          <c:max val="3"/>
          <c:min val="2.5"/>
        </c:scaling>
        <c:axPos val="l"/>
        <c:majorGridlines>
          <c:spPr>
            <a:ln w="12700">
              <a:noFill/>
              <a:prstDash val="solid"/>
            </a:ln>
          </c:spPr>
        </c:majorGridlines>
        <c:numFmt formatCode="0.0_);[Red]\(0.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052096"/>
        <c:crosses val="autoZero"/>
        <c:crossBetween val="between"/>
        <c:majorUnit val="0.1"/>
        <c:minorUnit val="0.1"/>
      </c:valAx>
      <c:spPr>
        <a:noFill/>
        <a:ln w="12700">
          <a:noFill/>
          <a:prstDash val="solid"/>
        </a:ln>
      </c:spPr>
    </c:plotArea>
    <c:legend>
      <c:legendPos val="r"/>
      <c:layout>
        <c:manualLayout>
          <c:xMode val="edge"/>
          <c:yMode val="edge"/>
          <c:x val="0.10168812077787874"/>
          <c:y val="0.71154120619156402"/>
          <c:w val="0.81594930023765511"/>
          <c:h val="6.093776315446788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网民使用主要网络服务渗透情况</a:t>
            </a:r>
            <a:endParaRPr lang="en-US" altLang="zh-CN" sz="1200">
              <a:latin typeface="微软雅黑" panose="020B0503020204020204" pitchFamily="34" charset="-122"/>
              <a:ea typeface="微软雅黑" panose="020B0503020204020204" pitchFamily="34" charset="-122"/>
            </a:endParaRPr>
          </a:p>
        </c:rich>
      </c:tx>
      <c:layout>
        <c:manualLayout>
          <c:xMode val="edge"/>
          <c:yMode val="edge"/>
          <c:x val="0.14963094940401764"/>
          <c:y val="2.2030683697526327E-2"/>
        </c:manualLayout>
      </c:layout>
    </c:title>
    <c:plotArea>
      <c:layout>
        <c:manualLayout>
          <c:layoutTarget val="inner"/>
          <c:xMode val="edge"/>
          <c:yMode val="edge"/>
          <c:x val="0.16093294156872562"/>
          <c:y val="0.14580527112143299"/>
          <c:w val="0.7289895390514296"/>
          <c:h val="0.43822266793342529"/>
        </c:manualLayout>
      </c:layout>
      <c:barChart>
        <c:barDir val="bar"/>
        <c:grouping val="clustered"/>
        <c:ser>
          <c:idx val="1"/>
          <c:order val="0"/>
          <c:tx>
            <c:strRef>
              <c:f>'02-网络使用粘性'!$C$70</c:f>
              <c:strCache>
                <c:ptCount val="1"/>
                <c:pt idx="0">
                  <c:v>月度覆盖比例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'02-网络使用粘性'!$B$71:$B$75</c:f>
              <c:strCache>
                <c:ptCount val="5"/>
                <c:pt idx="0">
                  <c:v>社区交友</c:v>
                </c:pt>
                <c:pt idx="1">
                  <c:v>电子商务</c:v>
                </c:pt>
                <c:pt idx="2">
                  <c:v>新闻资讯</c:v>
                </c:pt>
                <c:pt idx="3">
                  <c:v>在线视频</c:v>
                </c:pt>
                <c:pt idx="4">
                  <c:v>搜索服务</c:v>
                </c:pt>
              </c:strCache>
            </c:strRef>
          </c:cat>
          <c:val>
            <c:numRef>
              <c:f>'02-网络使用粘性'!$C$71:$C$75</c:f>
              <c:numCache>
                <c:formatCode>0.0%</c:formatCode>
                <c:ptCount val="5"/>
                <c:pt idx="0">
                  <c:v>0.8015916666666667</c:v>
                </c:pt>
                <c:pt idx="1">
                  <c:v>0.81060833333333393</c:v>
                </c:pt>
                <c:pt idx="2">
                  <c:v>0.8775833333333336</c:v>
                </c:pt>
                <c:pt idx="3">
                  <c:v>0.90626666666666633</c:v>
                </c:pt>
                <c:pt idx="4">
                  <c:v>0.99718333333333342</c:v>
                </c:pt>
              </c:numCache>
            </c:numRef>
          </c:val>
          <c:extLst xmlns:c16r2="http://schemas.microsoft.com/office/drawing/2015/06/chart">
            <c:ext xmlns:c16="http://schemas.microsoft.com/office/drawing/2014/chart" uri="{C3380CC4-5D6E-409C-BE32-E72D297353CC}">
              <c16:uniqueId val="{00000000-808E-48ED-A3A5-38AB77E9434A}"/>
            </c:ext>
          </c:extLst>
        </c:ser>
        <c:dLbls>
          <c:showVal val="1"/>
        </c:dLbls>
        <c:gapWidth val="60"/>
        <c:axId val="241955584"/>
        <c:axId val="241957120"/>
      </c:barChart>
      <c:catAx>
        <c:axId val="241955584"/>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41957120"/>
        <c:crosses val="autoZero"/>
        <c:auto val="1"/>
        <c:lblAlgn val="ctr"/>
        <c:lblOffset val="100"/>
      </c:catAx>
      <c:valAx>
        <c:axId val="241957120"/>
        <c:scaling>
          <c:orientation val="minMax"/>
          <c:max val="1"/>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41955584"/>
        <c:crosses val="autoZero"/>
        <c:crossBetween val="between"/>
      </c:valAx>
      <c:spPr>
        <a:ln>
          <a:noFill/>
        </a:ln>
      </c:spPr>
    </c:plotArea>
    <c:legend>
      <c:legendPos val="b"/>
      <c:layout>
        <c:manualLayout>
          <c:xMode val="edge"/>
          <c:yMode val="edge"/>
          <c:x val="0.15215595565558057"/>
          <c:y val="0.68214434005418945"/>
          <c:w val="0.7235644327748606"/>
          <c:h val="7.2723530032724651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使用搜索服务网民月度覆盖比例</a:t>
            </a:r>
            <a:endParaRPr lang="zh-CN" sz="1200" b="1"/>
          </a:p>
        </c:rich>
      </c:tx>
      <c:layout>
        <c:manualLayout>
          <c:xMode val="edge"/>
          <c:yMode val="edge"/>
          <c:x val="0.18106839209802469"/>
          <c:y val="3.1272916666666706E-2"/>
        </c:manualLayout>
      </c:layout>
      <c:spPr>
        <a:noFill/>
        <a:ln w="25400">
          <a:noFill/>
        </a:ln>
      </c:spPr>
    </c:title>
    <c:plotArea>
      <c:layout>
        <c:manualLayout>
          <c:layoutTarget val="inner"/>
          <c:xMode val="edge"/>
          <c:yMode val="edge"/>
          <c:x val="0.10063834099945428"/>
          <c:y val="0.15835236720295479"/>
          <c:w val="0.85274582261375864"/>
          <c:h val="0.45560590277777785"/>
        </c:manualLayout>
      </c:layout>
      <c:areaChart>
        <c:grouping val="standard"/>
        <c:ser>
          <c:idx val="1"/>
          <c:order val="0"/>
          <c:tx>
            <c:strRef>
              <c:f>'02-网络使用粘性'!$A$94</c:f>
              <c:strCache>
                <c:ptCount val="1"/>
                <c:pt idx="0">
                  <c:v>月度覆盖比例</c:v>
                </c:pt>
              </c:strCache>
            </c:strRef>
          </c:tx>
          <c:spPr>
            <a:solidFill>
              <a:srgbClr val="B2D234"/>
            </a:solidFill>
          </c:spPr>
          <c:dLbls>
            <c:dLbl>
              <c:idx val="0"/>
              <c:delete val="1"/>
            </c:dLbl>
            <c:dLbl>
              <c:idx val="1"/>
              <c:layout>
                <c:manualLayout>
                  <c:x val="-7.9216566866267494E-3"/>
                  <c:y val="-0.22489583333333341"/>
                </c:manualLayout>
              </c:layout>
              <c:showVal val="1"/>
            </c:dLbl>
            <c:dLbl>
              <c:idx val="2"/>
              <c:delete val="1"/>
            </c:dLbl>
            <c:dLbl>
              <c:idx val="3"/>
              <c:layout>
                <c:manualLayout>
                  <c:x val="-5.2811044577511703E-3"/>
                  <c:y val="-0.23371527777777792"/>
                </c:manualLayout>
              </c:layout>
              <c:showVal val="1"/>
            </c:dLbl>
            <c:dLbl>
              <c:idx val="4"/>
              <c:delete val="1"/>
            </c:dLbl>
            <c:dLbl>
              <c:idx val="5"/>
              <c:layout>
                <c:manualLayout>
                  <c:x val="-1.0562208915502337E-2"/>
                  <c:y val="-0.23371527777777792"/>
                </c:manualLayout>
              </c:layout>
              <c:showVal val="1"/>
            </c:dLbl>
            <c:dLbl>
              <c:idx val="6"/>
              <c:delete val="1"/>
            </c:dLbl>
            <c:dLbl>
              <c:idx val="7"/>
              <c:layout>
                <c:manualLayout>
                  <c:x val="-1.3202761144377925E-2"/>
                  <c:y val="-0.23371527777777792"/>
                </c:manualLayout>
              </c:layout>
              <c:showVal val="1"/>
            </c:dLbl>
            <c:dLbl>
              <c:idx val="8"/>
              <c:delete val="1"/>
            </c:dLbl>
            <c:dLbl>
              <c:idx val="9"/>
              <c:layout>
                <c:manualLayout>
                  <c:x val="-7.9216566866267494E-3"/>
                  <c:y val="-0.22489583333333341"/>
                </c:manualLayout>
              </c:layout>
              <c:showVal val="1"/>
            </c:dLbl>
            <c:dLbl>
              <c:idx val="10"/>
              <c:delete val="1"/>
            </c:dLbl>
            <c:dLbl>
              <c:idx val="11"/>
              <c:layout>
                <c:manualLayout>
                  <c:x val="-1.3202761144377925E-2"/>
                  <c:y val="-0.22048611111111119"/>
                </c:manualLayout>
              </c:layout>
              <c:showVal val="1"/>
            </c:dLbl>
            <c:showVal val="1"/>
          </c:dLbls>
          <c:cat>
            <c:strRef>
              <c:f>'02-网络使用粘性'!$C$93:$N$93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'02-网络使用粘性'!$C$94:$N$94</c:f>
              <c:numCache>
                <c:formatCode>0.00%</c:formatCode>
                <c:ptCount val="12"/>
                <c:pt idx="0">
                  <c:v>0.99860000000000004</c:v>
                </c:pt>
                <c:pt idx="1">
                  <c:v>0.997</c:v>
                </c:pt>
                <c:pt idx="2">
                  <c:v>0.99960000000000004</c:v>
                </c:pt>
                <c:pt idx="3">
                  <c:v>0.99919999999999998</c:v>
                </c:pt>
                <c:pt idx="4">
                  <c:v>0.99890000000000001</c:v>
                </c:pt>
                <c:pt idx="5">
                  <c:v>0.99770000000000003</c:v>
                </c:pt>
                <c:pt idx="6">
                  <c:v>0.99890000000000001</c:v>
                </c:pt>
                <c:pt idx="7">
                  <c:v>0.99890000000000001</c:v>
                </c:pt>
                <c:pt idx="8">
                  <c:v>0.99729999999999996</c:v>
                </c:pt>
                <c:pt idx="9">
                  <c:v>0.99409999999999998</c:v>
                </c:pt>
                <c:pt idx="10">
                  <c:v>0.99370000000000003</c:v>
                </c:pt>
                <c:pt idx="11">
                  <c:v>0.99229999999999996</c:v>
                </c:pt>
              </c:numCache>
            </c:numRef>
          </c:val>
          <c:extLst xmlns:c16r2="http://schemas.microsoft.com/office/drawing/2015/06/chart">
            <c:ext xmlns:c16="http://schemas.microsoft.com/office/drawing/2014/chart" uri="{C3380CC4-5D6E-409C-BE32-E72D297353CC}">
              <c16:uniqueId val="{00000000-202A-4AC4-8B00-A897089C94AB}"/>
            </c:ext>
          </c:extLst>
        </c:ser>
        <c:dLbls>
          <c:showVal val="1"/>
        </c:dLbls>
        <c:axId val="242246784"/>
        <c:axId val="242250112"/>
      </c:areaChart>
      <c:catAx>
        <c:axId val="24224678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250112"/>
        <c:crosses val="autoZero"/>
        <c:lblAlgn val="ctr"/>
        <c:lblOffset val="100"/>
      </c:catAx>
      <c:valAx>
        <c:axId val="242250112"/>
        <c:scaling>
          <c:orientation val="minMax"/>
          <c:max val="1.05"/>
          <c:min val="0.8"/>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246784"/>
        <c:crosses val="autoZero"/>
        <c:crossBetween val="midCat"/>
        <c:majorUnit val="5.0000000000000024E-2"/>
        <c:minorUnit val="1.0000000000000005E-2"/>
      </c:valAx>
      <c:spPr>
        <a:noFill/>
        <a:ln w="12700">
          <a:noFill/>
          <a:prstDash val="solid"/>
        </a:ln>
      </c:spPr>
    </c:plotArea>
    <c:legend>
      <c:legendPos val="r"/>
      <c:layout>
        <c:manualLayout>
          <c:xMode val="edge"/>
          <c:yMode val="edge"/>
          <c:x val="9.1105705256154343E-2"/>
          <c:y val="0.70593923611111198"/>
          <c:w val="0.8395874916833006"/>
          <c:h val="7.2559374999999995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zh-CN"/>
  <c:chart>
    <c:title>
      <c:tx>
        <c:rich>
          <a:bodyPr/>
          <a:lstStyle/>
          <a:p>
            <a:pPr algn="ctr" rtl="0">
              <a:defRPr sz="1200" b="1"/>
            </a:pPr>
            <a:r>
              <a:rPr lang="en-US" sz="1200" b="1"/>
              <a:t>2015</a:t>
            </a:r>
            <a:r>
              <a:rPr lang="en-US" altLang="zh-CN" sz="1200" b="1"/>
              <a:t>-2</a:t>
            </a:r>
            <a:r>
              <a:rPr lang="en-US" sz="1200" b="1"/>
              <a:t>017</a:t>
            </a:r>
            <a:r>
              <a:rPr lang="zh-CN" sz="1200" b="1"/>
              <a:t>年陕西省网民年龄分布</a:t>
            </a:r>
          </a:p>
        </c:rich>
      </c:tx>
    </c:title>
    <c:plotArea>
      <c:layout>
        <c:manualLayout>
          <c:layoutTarget val="inner"/>
          <c:xMode val="edge"/>
          <c:yMode val="edge"/>
          <c:x val="0.14782586095407205"/>
          <c:y val="0.14461086538421072"/>
          <c:w val="0.7861588234927197"/>
          <c:h val="0.51506871477130889"/>
        </c:manualLayout>
      </c:layout>
      <c:barChart>
        <c:barDir val="bar"/>
        <c:grouping val="clustered"/>
        <c:ser>
          <c:idx val="1"/>
          <c:order val="0"/>
          <c:tx>
            <c:strRef>
              <c:f>'对比分析-2017'!$B$29</c:f>
              <c:strCache>
                <c:ptCount val="1"/>
                <c:pt idx="0">
                  <c:v>2015年</c:v>
                </c:pt>
              </c:strCache>
            </c:strRef>
          </c:tx>
          <c:spPr>
            <a:solidFill>
              <a:srgbClr val="B2D234"/>
            </a:solidFill>
            <a:ln w="12700">
              <a:noFill/>
            </a:ln>
          </c:spPr>
          <c:cat>
            <c:strRef>
              <c:f>'对比分析-2017'!$A$30:$A$35</c:f>
              <c:strCache>
                <c:ptCount val="6"/>
                <c:pt idx="0">
                  <c:v>18岁以下</c:v>
                </c:pt>
                <c:pt idx="1">
                  <c:v>19-24岁</c:v>
                </c:pt>
                <c:pt idx="2">
                  <c:v>25-30岁</c:v>
                </c:pt>
                <c:pt idx="3">
                  <c:v>31-35岁</c:v>
                </c:pt>
                <c:pt idx="4">
                  <c:v>36-40岁</c:v>
                </c:pt>
                <c:pt idx="5">
                  <c:v>40岁以上</c:v>
                </c:pt>
              </c:strCache>
            </c:strRef>
          </c:cat>
          <c:val>
            <c:numRef>
              <c:f>'对比分析-2017'!$B$30:$B$35</c:f>
              <c:numCache>
                <c:formatCode>0.00%</c:formatCode>
                <c:ptCount val="6"/>
                <c:pt idx="0">
                  <c:v>9.6000000000000002E-2</c:v>
                </c:pt>
                <c:pt idx="1">
                  <c:v>0.2920000000000002</c:v>
                </c:pt>
                <c:pt idx="2">
                  <c:v>0.21800000000000011</c:v>
                </c:pt>
                <c:pt idx="3">
                  <c:v>0.17</c:v>
                </c:pt>
                <c:pt idx="4">
                  <c:v>0.129</c:v>
                </c:pt>
                <c:pt idx="5">
                  <c:v>9.6000000000000002E-2</c:v>
                </c:pt>
              </c:numCache>
            </c:numRef>
          </c:val>
          <c:extLst xmlns:c16r2="http://schemas.microsoft.com/office/drawing/2015/06/chart">
            <c:ext xmlns:c16="http://schemas.microsoft.com/office/drawing/2014/chart" uri="{C3380CC4-5D6E-409C-BE32-E72D297353CC}">
              <c16:uniqueId val="{00000000-4505-42C4-B067-5D59BB516BB0}"/>
            </c:ext>
          </c:extLst>
        </c:ser>
        <c:ser>
          <c:idx val="0"/>
          <c:order val="1"/>
          <c:tx>
            <c:strRef>
              <c:f>'对比分析-2017'!$C$29</c:f>
              <c:strCache>
                <c:ptCount val="1"/>
                <c:pt idx="0">
                  <c:v>2016年</c:v>
                </c:pt>
              </c:strCache>
            </c:strRef>
          </c:tx>
          <c:spPr>
            <a:solidFill>
              <a:srgbClr val="1EC8F3"/>
            </a:solidFill>
            <a:ln>
              <a:solidFill>
                <a:srgbClr val="1EC8F3"/>
              </a:solidFill>
            </a:ln>
          </c:spPr>
          <c:cat>
            <c:strRef>
              <c:f>'对比分析-2017'!$A$30:$A$35</c:f>
              <c:strCache>
                <c:ptCount val="6"/>
                <c:pt idx="0">
                  <c:v>18岁以下</c:v>
                </c:pt>
                <c:pt idx="1">
                  <c:v>19-24岁</c:v>
                </c:pt>
                <c:pt idx="2">
                  <c:v>25-30岁</c:v>
                </c:pt>
                <c:pt idx="3">
                  <c:v>31-35岁</c:v>
                </c:pt>
                <c:pt idx="4">
                  <c:v>36-40岁</c:v>
                </c:pt>
                <c:pt idx="5">
                  <c:v>40岁以上</c:v>
                </c:pt>
              </c:strCache>
            </c:strRef>
          </c:cat>
          <c:val>
            <c:numRef>
              <c:f>'对比分析-2017'!$C$30:$C$35</c:f>
              <c:numCache>
                <c:formatCode>0.00%</c:formatCode>
                <c:ptCount val="6"/>
                <c:pt idx="0">
                  <c:v>8.7000000000000022E-2</c:v>
                </c:pt>
                <c:pt idx="1">
                  <c:v>0.2900000000000002</c:v>
                </c:pt>
                <c:pt idx="2">
                  <c:v>0.21300000000000011</c:v>
                </c:pt>
                <c:pt idx="3">
                  <c:v>0.17200000000000001</c:v>
                </c:pt>
                <c:pt idx="4">
                  <c:v>0.128</c:v>
                </c:pt>
                <c:pt idx="5">
                  <c:v>0.11</c:v>
                </c:pt>
              </c:numCache>
            </c:numRef>
          </c:val>
        </c:ser>
        <c:ser>
          <c:idx val="2"/>
          <c:order val="2"/>
          <c:tx>
            <c:strRef>
              <c:f>'对比分析-2017'!$D$29</c:f>
              <c:strCache>
                <c:ptCount val="1"/>
                <c:pt idx="0">
                  <c:v>2017年</c:v>
                </c:pt>
              </c:strCache>
            </c:strRef>
          </c:tx>
          <c:spPr>
            <a:solidFill>
              <a:srgbClr val="FFFF00"/>
            </a:solidFill>
            <a:ln>
              <a:solidFill>
                <a:srgbClr val="FFFF00"/>
              </a:solidFill>
            </a:ln>
          </c:spPr>
          <c:dLbls>
            <c:dLbl>
              <c:idx val="1"/>
              <c:layout>
                <c:manualLayout>
                  <c:x val="-9.6821344322940942E-17"/>
                  <c:y val="-1.4252627828255834E-2"/>
                </c:manualLayout>
              </c:layout>
              <c:showVal val="1"/>
            </c:dLbl>
            <c:numFmt formatCode="0.0%" sourceLinked="0"/>
            <c:showVal val="1"/>
          </c:dLbls>
          <c:cat>
            <c:strRef>
              <c:f>'对比分析-2017'!$A$30:$A$35</c:f>
              <c:strCache>
                <c:ptCount val="6"/>
                <c:pt idx="0">
                  <c:v>18岁以下</c:v>
                </c:pt>
                <c:pt idx="1">
                  <c:v>19-24岁</c:v>
                </c:pt>
                <c:pt idx="2">
                  <c:v>25-30岁</c:v>
                </c:pt>
                <c:pt idx="3">
                  <c:v>31-35岁</c:v>
                </c:pt>
                <c:pt idx="4">
                  <c:v>36-40岁</c:v>
                </c:pt>
                <c:pt idx="5">
                  <c:v>40岁以上</c:v>
                </c:pt>
              </c:strCache>
            </c:strRef>
          </c:cat>
          <c:val>
            <c:numRef>
              <c:f>'对比分析-2017'!$D$30:$D$35</c:f>
              <c:numCache>
                <c:formatCode>0.00%</c:formatCode>
                <c:ptCount val="6"/>
                <c:pt idx="0">
                  <c:v>8.5000000000000006E-2</c:v>
                </c:pt>
                <c:pt idx="1">
                  <c:v>0.28200000000000008</c:v>
                </c:pt>
                <c:pt idx="2">
                  <c:v>0.2070000000000001</c:v>
                </c:pt>
                <c:pt idx="3">
                  <c:v>0.17400000000000004</c:v>
                </c:pt>
                <c:pt idx="4">
                  <c:v>0.13</c:v>
                </c:pt>
                <c:pt idx="5">
                  <c:v>0.12100000000000002</c:v>
                </c:pt>
              </c:numCache>
            </c:numRef>
          </c:val>
        </c:ser>
        <c:gapWidth val="60"/>
        <c:axId val="233667968"/>
        <c:axId val="251053184"/>
      </c:barChart>
      <c:catAx>
        <c:axId val="233667968"/>
        <c:scaling>
          <c:orientation val="minMax"/>
        </c:scaling>
        <c:axPos val="l"/>
        <c:numFmt formatCode="General" sourceLinked="0"/>
        <c:majorTickMark val="none"/>
        <c:tickLblPos val="nextTo"/>
        <c:spPr>
          <a:ln w="12700">
            <a:solidFill>
              <a:schemeClr val="tx1">
                <a:lumMod val="50000"/>
                <a:lumOff val="50000"/>
              </a:schemeClr>
            </a:solidFill>
          </a:ln>
        </c:spPr>
        <c:crossAx val="251053184"/>
        <c:crosses val="autoZero"/>
        <c:auto val="1"/>
        <c:lblAlgn val="ctr"/>
        <c:lblOffset val="100"/>
      </c:catAx>
      <c:valAx>
        <c:axId val="251053184"/>
        <c:scaling>
          <c:orientation val="minMax"/>
        </c:scaling>
        <c:axPos val="b"/>
        <c:majorGridlines>
          <c:spPr>
            <a:ln>
              <a:noFill/>
            </a:ln>
          </c:spPr>
        </c:majorGridlines>
        <c:numFmt formatCode="0%" sourceLinked="0"/>
        <c:majorTickMark val="none"/>
        <c:tickLblPos val="none"/>
        <c:spPr>
          <a:ln w="9525">
            <a:noFill/>
          </a:ln>
        </c:spPr>
        <c:crossAx val="233667968"/>
        <c:crosses val="autoZero"/>
        <c:crossBetween val="between"/>
      </c:valAx>
      <c:spPr>
        <a:ln>
          <a:noFill/>
        </a:ln>
      </c:spPr>
    </c:plotArea>
    <c:legend>
      <c:legendPos val="b"/>
      <c:layout>
        <c:manualLayout>
          <c:xMode val="edge"/>
          <c:yMode val="edge"/>
          <c:x val="0.13159004385080342"/>
          <c:y val="0.69145659722222175"/>
          <c:w val="0.69593449617319181"/>
          <c:h val="5.8629643501937966E-2"/>
        </c:manualLayout>
      </c:layout>
    </c:legend>
    <c:plotVisOnly val="1"/>
    <c:dispBlanksAs val="gap"/>
  </c:chart>
  <c:spPr>
    <a:ln w="317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网民使用搜索服务人均月度访问天数</a:t>
            </a:r>
            <a:endParaRPr lang="zh-CN" sz="1200" b="1"/>
          </a:p>
        </c:rich>
      </c:tx>
      <c:layout>
        <c:manualLayout>
          <c:xMode val="edge"/>
          <c:yMode val="edge"/>
          <c:x val="0.14668018130405855"/>
          <c:y val="2.3200347222222254E-2"/>
        </c:manualLayout>
      </c:layout>
      <c:spPr>
        <a:noFill/>
        <a:ln w="25400">
          <a:noFill/>
        </a:ln>
      </c:spPr>
    </c:title>
    <c:plotArea>
      <c:layout>
        <c:manualLayout>
          <c:layoutTarget val="inner"/>
          <c:xMode val="edge"/>
          <c:yMode val="edge"/>
          <c:x val="0.10063834099945428"/>
          <c:y val="0.19117848956663233"/>
          <c:w val="0.85274582261375864"/>
          <c:h val="0.42516458333333357"/>
        </c:manualLayout>
      </c:layout>
      <c:barChart>
        <c:barDir val="col"/>
        <c:grouping val="clustered"/>
        <c:ser>
          <c:idx val="1"/>
          <c:order val="0"/>
          <c:tx>
            <c:strRef>
              <c:f>'02-网络使用粘性'!$A$99</c:f>
              <c:strCache>
                <c:ptCount val="1"/>
                <c:pt idx="0">
                  <c:v>人均月度访问天数(天)</c:v>
                </c:pt>
              </c:strCache>
            </c:strRef>
          </c:tx>
          <c:spPr>
            <a:solidFill>
              <a:srgbClr val="B2D234"/>
            </a:solidFill>
            <a:ln w="12700">
              <a:noFill/>
              <a:prstDash val="solid"/>
            </a:ln>
          </c:spPr>
          <c:dLbls>
            <c:numFmt formatCode="#,##0.00_);[Red]\(#,##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'02-网络使用粘性'!$C$98:$N$98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'02-网络使用粘性'!$C$99:$N$99</c:f>
              <c:numCache>
                <c:formatCode>General</c:formatCode>
                <c:ptCount val="12"/>
                <c:pt idx="0">
                  <c:v>9.69</c:v>
                </c:pt>
                <c:pt idx="1">
                  <c:v>9.43</c:v>
                </c:pt>
                <c:pt idx="2">
                  <c:v>10.89</c:v>
                </c:pt>
                <c:pt idx="3">
                  <c:v>9.92</c:v>
                </c:pt>
                <c:pt idx="4">
                  <c:v>10.56</c:v>
                </c:pt>
                <c:pt idx="5">
                  <c:v>10.31</c:v>
                </c:pt>
                <c:pt idx="6">
                  <c:v>10.89</c:v>
                </c:pt>
                <c:pt idx="7">
                  <c:v>11.42</c:v>
                </c:pt>
                <c:pt idx="8">
                  <c:v>10.48</c:v>
                </c:pt>
                <c:pt idx="9">
                  <c:v>10.14</c:v>
                </c:pt>
                <c:pt idx="10">
                  <c:v>10.49</c:v>
                </c:pt>
                <c:pt idx="11">
                  <c:v>10.28</c:v>
                </c:pt>
              </c:numCache>
            </c:numRef>
          </c:val>
          <c:extLst xmlns:c16r2="http://schemas.microsoft.com/office/drawing/2015/06/chart">
            <c:ext xmlns:c16="http://schemas.microsoft.com/office/drawing/2014/chart" uri="{C3380CC4-5D6E-409C-BE32-E72D297353CC}">
              <c16:uniqueId val="{00000000-5DC9-400E-95C9-6998BB7DAB03}"/>
            </c:ext>
          </c:extLst>
        </c:ser>
        <c:dLbls>
          <c:showVal val="1"/>
        </c:dLbls>
        <c:gapWidth val="60"/>
        <c:axId val="242091136"/>
        <c:axId val="242092672"/>
      </c:barChart>
      <c:lineChart>
        <c:grouping val="standard"/>
        <c:ser>
          <c:idx val="0"/>
          <c:order val="1"/>
          <c:tx>
            <c:strRef>
              <c:f>'02-网络使用粘性'!$A$100</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9-400E-95C9-6998BB7DAB03}"/>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C9-400E-95C9-6998BB7DAB03}"/>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9-400E-95C9-6998BB7DAB03}"/>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DC9-400E-95C9-6998BB7DAB03}"/>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'02-网络使用粘性'!$C$98:$N$98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'02-网络使用粘性'!$C$100:$N$100</c:f>
              <c:numCache>
                <c:formatCode>0.0%</c:formatCode>
                <c:ptCount val="12"/>
                <c:pt idx="0">
                  <c:v>-0.10277777777777791</c:v>
                </c:pt>
                <c:pt idx="1">
                  <c:v>-2.6831785345717195E-2</c:v>
                </c:pt>
                <c:pt idx="2">
                  <c:v>0.15482502651113494</c:v>
                </c:pt>
                <c:pt idx="3">
                  <c:v>-8.9072543617998212E-2</c:v>
                </c:pt>
                <c:pt idx="4">
                  <c:v>6.4516129032258313E-2</c:v>
                </c:pt>
                <c:pt idx="5">
                  <c:v>-2.3674242424242459E-2</c:v>
                </c:pt>
                <c:pt idx="6">
                  <c:v>5.6256062075654659E-2</c:v>
                </c:pt>
                <c:pt idx="7">
                  <c:v>4.8668503213957756E-2</c:v>
                </c:pt>
                <c:pt idx="8">
                  <c:v>-8.2311733800350034E-2</c:v>
                </c:pt>
                <c:pt idx="9">
                  <c:v>-3.2442748091603107E-2</c:v>
                </c:pt>
                <c:pt idx="10">
                  <c:v>3.4516765285996134E-2</c:v>
                </c:pt>
                <c:pt idx="11">
                  <c:v>-2.0019065776930481E-2</c:v>
                </c:pt>
              </c:numCache>
            </c:numRef>
          </c:val>
          <c:extLst xmlns:c16r2="http://schemas.microsoft.com/office/drawing/2015/06/chart">
            <c:ext xmlns:c16="http://schemas.microsoft.com/office/drawing/2014/chart" uri="{C3380CC4-5D6E-409C-BE32-E72D297353CC}">
              <c16:uniqueId val="{00000005-5DC9-400E-95C9-6998BB7DAB03}"/>
            </c:ext>
          </c:extLst>
        </c:ser>
        <c:dLbls>
          <c:showVal val="1"/>
        </c:dLbls>
        <c:marker val="1"/>
        <c:axId val="242106752"/>
        <c:axId val="242108288"/>
      </c:lineChart>
      <c:catAx>
        <c:axId val="2420911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092672"/>
        <c:crosses val="autoZero"/>
        <c:lblAlgn val="ctr"/>
        <c:lblOffset val="100"/>
        <c:tickLblSkip val="1"/>
        <c:tickMarkSkip val="1"/>
      </c:catAx>
      <c:valAx>
        <c:axId val="242092672"/>
        <c:scaling>
          <c:orientation val="minMax"/>
          <c:max val="2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091136"/>
        <c:crosses val="autoZero"/>
        <c:crossBetween val="between"/>
        <c:majorUnit val="5"/>
      </c:valAx>
      <c:catAx>
        <c:axId val="242106752"/>
        <c:scaling>
          <c:orientation val="minMax"/>
        </c:scaling>
        <c:delete val="1"/>
        <c:axPos val="b"/>
        <c:numFmt formatCode="General" sourceLinked="1"/>
        <c:tickLblPos val="none"/>
        <c:crossAx val="242108288"/>
        <c:crosses val="autoZero"/>
        <c:lblAlgn val="ctr"/>
        <c:lblOffset val="100"/>
      </c:catAx>
      <c:valAx>
        <c:axId val="242108288"/>
        <c:scaling>
          <c:orientation val="minMax"/>
          <c:max val="0.30000000000000027"/>
          <c:min val="-1.7"/>
        </c:scaling>
        <c:axPos val="r"/>
        <c:numFmt formatCode="0.0%" sourceLinked="1"/>
        <c:majorTickMark val="none"/>
        <c:tickLblPos val="none"/>
        <c:spPr>
          <a:ln w="3175">
            <a:noFill/>
            <a:prstDash val="solid"/>
          </a:ln>
        </c:spPr>
        <c:crossAx val="242106752"/>
        <c:crosses val="max"/>
        <c:crossBetween val="between"/>
        <c:majorUnit val="0.29000000000000031"/>
        <c:minorUnit val="0.29000000000000031"/>
      </c:valAx>
      <c:spPr>
        <a:noFill/>
        <a:ln w="12700">
          <a:noFill/>
          <a:prstDash val="solid"/>
        </a:ln>
      </c:spPr>
    </c:plotArea>
    <c:legend>
      <c:legendPos val="r"/>
      <c:layout>
        <c:manualLayout>
          <c:xMode val="edge"/>
          <c:yMode val="edge"/>
          <c:x val="0.12814516129032269"/>
          <c:y val="0.70579652777777779"/>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网民使用搜索服务人均月度访问次数</a:t>
            </a:r>
            <a:endParaRPr lang="zh-CN" sz="1200" b="1"/>
          </a:p>
        </c:rich>
      </c:tx>
      <c:layout>
        <c:manualLayout>
          <c:xMode val="edge"/>
          <c:yMode val="edge"/>
          <c:x val="0.14673278443113788"/>
          <c:y val="2.4592708333333334E-2"/>
        </c:manualLayout>
      </c:layout>
      <c:spPr>
        <a:noFill/>
        <a:ln w="25400">
          <a:noFill/>
        </a:ln>
      </c:spPr>
    </c:title>
    <c:plotArea>
      <c:layout>
        <c:manualLayout>
          <c:layoutTarget val="inner"/>
          <c:xMode val="edge"/>
          <c:yMode val="edge"/>
          <c:x val="0.10327860502585692"/>
          <c:y val="0.16092222222222224"/>
          <c:w val="0.85274582261375864"/>
          <c:h val="0.4560326388888889"/>
        </c:manualLayout>
      </c:layout>
      <c:barChart>
        <c:barDir val="col"/>
        <c:grouping val="clustered"/>
        <c:ser>
          <c:idx val="1"/>
          <c:order val="0"/>
          <c:tx>
            <c:strRef>
              <c:f>'02-网络使用粘性'!$A$104</c:f>
              <c:strCache>
                <c:ptCount val="1"/>
                <c:pt idx="0">
                  <c:v>人均月度访问次数(次)</c:v>
                </c:pt>
              </c:strCache>
            </c:strRef>
          </c:tx>
          <c:spPr>
            <a:solidFill>
              <a:srgbClr val="B2D234"/>
            </a:solidFill>
            <a:ln w="12700">
              <a:noFill/>
              <a:prstDash val="solid"/>
            </a:ln>
          </c:spPr>
          <c:dLbls>
            <c:numFmt formatCode="#,##0.00_);[Red]\(#,##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'02-网络使用粘性'!$C$103:$N$103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'02-网络使用粘性'!$C$104:$N$104</c:f>
              <c:numCache>
                <c:formatCode>0.0</c:formatCode>
                <c:ptCount val="12"/>
                <c:pt idx="0">
                  <c:v>39.36</c:v>
                </c:pt>
                <c:pt idx="1">
                  <c:v>39.760000000000012</c:v>
                </c:pt>
                <c:pt idx="2">
                  <c:v>45.4</c:v>
                </c:pt>
                <c:pt idx="3">
                  <c:v>40.31</c:v>
                </c:pt>
                <c:pt idx="4">
                  <c:v>43.37</c:v>
                </c:pt>
                <c:pt idx="5">
                  <c:v>43.41</c:v>
                </c:pt>
                <c:pt idx="6">
                  <c:v>46.67</c:v>
                </c:pt>
                <c:pt idx="7">
                  <c:v>49.99</c:v>
                </c:pt>
                <c:pt idx="8">
                  <c:v>46.15</c:v>
                </c:pt>
                <c:pt idx="9">
                  <c:v>43.65</c:v>
                </c:pt>
                <c:pt idx="10">
                  <c:v>45.08</c:v>
                </c:pt>
                <c:pt idx="11">
                  <c:v>42.85</c:v>
                </c:pt>
              </c:numCache>
            </c:numRef>
          </c:val>
          <c:extLst xmlns:c16r2="http://schemas.microsoft.com/office/drawing/2015/06/chart">
            <c:ext xmlns:c16="http://schemas.microsoft.com/office/drawing/2014/chart" uri="{C3380CC4-5D6E-409C-BE32-E72D297353CC}">
              <c16:uniqueId val="{00000000-6C1A-4393-938B-743B180E6C80}"/>
            </c:ext>
          </c:extLst>
        </c:ser>
        <c:dLbls>
          <c:showVal val="1"/>
        </c:dLbls>
        <c:gapWidth val="60"/>
        <c:axId val="242154112"/>
        <c:axId val="242164096"/>
      </c:barChart>
      <c:lineChart>
        <c:grouping val="standard"/>
        <c:ser>
          <c:idx val="0"/>
          <c:order val="1"/>
          <c:tx>
            <c:strRef>
              <c:f>'02-网络使用粘性'!$A$105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1A-4393-938B-743B180E6C80}"/>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1A-4393-938B-743B180E6C80}"/>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1A-4393-938B-743B180E6C80}"/>
                </c:ext>
              </c:extLst>
            </c:dLbl>
            <c:dLbl>
              <c:idx val="3"/>
              <c:layout>
                <c:manualLayout>
                  <c:x val="-5.6417581503659373E-2"/>
                  <c:y val="-4.747222222222228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C1A-4393-938B-743B180E6C80}"/>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'02-网络使用粘性'!$C$103:$N$103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'02-网络使用粘性'!$C$105:$N$105</c:f>
              <c:numCache>
                <c:formatCode>0.0%</c:formatCode>
                <c:ptCount val="12"/>
                <c:pt idx="0">
                  <c:v>-0.10728056248582457</c:v>
                </c:pt>
                <c:pt idx="1">
                  <c:v>1.0162601626016128E-2</c:v>
                </c:pt>
                <c:pt idx="2">
                  <c:v>0.14185110663983913</c:v>
                </c:pt>
                <c:pt idx="3">
                  <c:v>-0.11211453744493388</c:v>
                </c:pt>
                <c:pt idx="4">
                  <c:v>7.5911684445547051E-2</c:v>
                </c:pt>
                <c:pt idx="5">
                  <c:v>9.222965183306453E-4</c:v>
                </c:pt>
                <c:pt idx="6">
                  <c:v>7.5097903708823133E-2</c:v>
                </c:pt>
                <c:pt idx="7">
                  <c:v>7.1137775873151954E-2</c:v>
                </c:pt>
                <c:pt idx="8">
                  <c:v>-7.6815363072614606E-2</c:v>
                </c:pt>
                <c:pt idx="9">
                  <c:v>-5.4171180931744334E-2</c:v>
                </c:pt>
                <c:pt idx="10">
                  <c:v>3.2760595647193476E-2</c:v>
                </c:pt>
                <c:pt idx="11">
                  <c:v>-4.9467613132209445E-2</c:v>
                </c:pt>
              </c:numCache>
            </c:numRef>
          </c:val>
          <c:extLst xmlns:c16r2="http://schemas.microsoft.com/office/drawing/2015/06/chart">
            <c:ext xmlns:c16="http://schemas.microsoft.com/office/drawing/2014/chart" uri="{C3380CC4-5D6E-409C-BE32-E72D297353CC}">
              <c16:uniqueId val="{00000005-6C1A-4393-938B-743B180E6C80}"/>
            </c:ext>
          </c:extLst>
        </c:ser>
        <c:dLbls>
          <c:showVal val="1"/>
        </c:dLbls>
        <c:marker val="1"/>
        <c:axId val="242165632"/>
        <c:axId val="242167168"/>
      </c:lineChart>
      <c:catAx>
        <c:axId val="2421541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164096"/>
        <c:crosses val="autoZero"/>
        <c:lblAlgn val="ctr"/>
        <c:lblOffset val="100"/>
        <c:tickLblSkip val="1"/>
        <c:tickMarkSkip val="1"/>
      </c:catAx>
      <c:valAx>
        <c:axId val="242164096"/>
        <c:scaling>
          <c:orientation val="minMax"/>
          <c:max val="8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154112"/>
        <c:crosses val="autoZero"/>
        <c:crossBetween val="between"/>
        <c:majorUnit val="20"/>
      </c:valAx>
      <c:catAx>
        <c:axId val="242165632"/>
        <c:scaling>
          <c:orientation val="minMax"/>
        </c:scaling>
        <c:delete val="1"/>
        <c:axPos val="b"/>
        <c:numFmt formatCode="General" sourceLinked="1"/>
        <c:tickLblPos val="none"/>
        <c:crossAx val="242167168"/>
        <c:crosses val="autoZero"/>
        <c:lblAlgn val="ctr"/>
        <c:lblOffset val="100"/>
      </c:catAx>
      <c:valAx>
        <c:axId val="242167168"/>
        <c:scaling>
          <c:orientation val="minMax"/>
          <c:max val="0.4"/>
          <c:min val="-1.7"/>
        </c:scaling>
        <c:axPos val="r"/>
        <c:numFmt formatCode="0.0%" sourceLinked="1"/>
        <c:majorTickMark val="none"/>
        <c:tickLblPos val="none"/>
        <c:spPr>
          <a:ln w="3175">
            <a:noFill/>
            <a:prstDash val="solid"/>
          </a:ln>
        </c:spPr>
        <c:crossAx val="242165632"/>
        <c:crosses val="max"/>
        <c:crossBetween val="between"/>
        <c:majorUnit val="0.29000000000000031"/>
        <c:minorUnit val="0.29000000000000031"/>
      </c:valAx>
      <c:spPr>
        <a:noFill/>
        <a:ln w="12700">
          <a:noFill/>
          <a:prstDash val="solid"/>
        </a:ln>
      </c:spPr>
    </c:plotArea>
    <c:legend>
      <c:legendPos val="r"/>
      <c:layout>
        <c:manualLayout>
          <c:xMode val="edge"/>
          <c:yMode val="edge"/>
          <c:x val="0.10949644827094922"/>
          <c:y val="0.71262569444444546"/>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网民使用搜索服务人均单日有效浏览时间</a:t>
            </a:r>
            <a:endParaRPr lang="zh-CN" sz="1200" b="1"/>
          </a:p>
        </c:rich>
      </c:tx>
      <c:layout>
        <c:manualLayout>
          <c:xMode val="edge"/>
          <c:yMode val="edge"/>
          <c:x val="0.10654330249228983"/>
          <c:y val="2.3098263888888887E-2"/>
        </c:manualLayout>
      </c:layout>
      <c:spPr>
        <a:noFill/>
        <a:ln w="25400">
          <a:noFill/>
        </a:ln>
      </c:spPr>
    </c:title>
    <c:plotArea>
      <c:layout>
        <c:manualLayout>
          <c:layoutTarget val="inner"/>
          <c:xMode val="edge"/>
          <c:yMode val="edge"/>
          <c:x val="0.10063834099945428"/>
          <c:y val="0.18298437500000012"/>
          <c:w val="0.85274582261375864"/>
          <c:h val="0.43398402777777823"/>
        </c:manualLayout>
      </c:layout>
      <c:barChart>
        <c:barDir val="col"/>
        <c:grouping val="clustered"/>
        <c:ser>
          <c:idx val="1"/>
          <c:order val="0"/>
          <c:tx>
            <c:strRef>
              <c:f>'02-网络使用粘性'!$A$109</c:f>
              <c:strCache>
                <c:ptCount val="1"/>
                <c:pt idx="0">
                  <c:v>人均单日有效浏览时间(分)</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'02-网络使用粘性'!$C$108:$N$108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'02-网络使用粘性'!$C$109:$N$109</c:f>
              <c:numCache>
                <c:formatCode>0.0</c:formatCode>
                <c:ptCount val="12"/>
                <c:pt idx="0">
                  <c:v>9.4500000000000028</c:v>
                </c:pt>
                <c:pt idx="1">
                  <c:v>10.066666666666675</c:v>
                </c:pt>
                <c:pt idx="2">
                  <c:v>9.4666666666666774</c:v>
                </c:pt>
                <c:pt idx="3">
                  <c:v>9.4666666666666774</c:v>
                </c:pt>
                <c:pt idx="4">
                  <c:v>9.916666666666675</c:v>
                </c:pt>
                <c:pt idx="5">
                  <c:v>9.1833333333333336</c:v>
                </c:pt>
                <c:pt idx="6">
                  <c:v>9.1333333333333329</c:v>
                </c:pt>
                <c:pt idx="7">
                  <c:v>10.116666666666672</c:v>
                </c:pt>
                <c:pt idx="8">
                  <c:v>10.950000000000006</c:v>
                </c:pt>
                <c:pt idx="9">
                  <c:v>10.166666666666675</c:v>
                </c:pt>
                <c:pt idx="10">
                  <c:v>10.233333333333333</c:v>
                </c:pt>
                <c:pt idx="11">
                  <c:v>10.416666666666675</c:v>
                </c:pt>
              </c:numCache>
            </c:numRef>
          </c:val>
          <c:extLst xmlns:c16r2="http://schemas.microsoft.com/office/drawing/2015/06/chart">
            <c:ext xmlns:c16="http://schemas.microsoft.com/office/drawing/2014/chart" uri="{C3380CC4-5D6E-409C-BE32-E72D297353CC}">
              <c16:uniqueId val="{00000000-304E-4BF7-957D-71D286AF378A}"/>
            </c:ext>
          </c:extLst>
        </c:ser>
        <c:dLbls>
          <c:showVal val="1"/>
        </c:dLbls>
        <c:gapWidth val="60"/>
        <c:axId val="242205056"/>
        <c:axId val="242206592"/>
      </c:barChart>
      <c:lineChart>
        <c:grouping val="standard"/>
        <c:ser>
          <c:idx val="0"/>
          <c:order val="1"/>
          <c:tx>
            <c:strRef>
              <c:f>'02-网络使用粘性'!$A$110</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4E-4BF7-957D-71D286AF378A}"/>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4E-4BF7-957D-71D286AF378A}"/>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04E-4BF7-957D-71D286AF378A}"/>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04E-4BF7-957D-71D286AF378A}"/>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'02-网络使用粘性'!$C$108:$N$108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'02-网络使用粘性'!$C$110:$N$110</c:f>
              <c:numCache>
                <c:formatCode>0.0%</c:formatCode>
                <c:ptCount val="12"/>
                <c:pt idx="0">
                  <c:v>1.9784172661870401E-2</c:v>
                </c:pt>
                <c:pt idx="1">
                  <c:v>6.5255731922398807E-2</c:v>
                </c:pt>
                <c:pt idx="2">
                  <c:v>-5.9602649006622523E-2</c:v>
                </c:pt>
                <c:pt idx="3">
                  <c:v>0</c:v>
                </c:pt>
                <c:pt idx="4">
                  <c:v>4.7535211267605522E-2</c:v>
                </c:pt>
                <c:pt idx="5">
                  <c:v>-7.3949579831932732E-2</c:v>
                </c:pt>
                <c:pt idx="6">
                  <c:v>-5.4446460980036668E-3</c:v>
                </c:pt>
                <c:pt idx="7">
                  <c:v>0.10766423357664262</c:v>
                </c:pt>
                <c:pt idx="8">
                  <c:v>8.2372322899505634E-2</c:v>
                </c:pt>
                <c:pt idx="9">
                  <c:v>-7.1537290715372862E-2</c:v>
                </c:pt>
                <c:pt idx="10">
                  <c:v>6.5573770491802463E-3</c:v>
                </c:pt>
                <c:pt idx="11">
                  <c:v>1.7915309446254083E-2</c:v>
                </c:pt>
              </c:numCache>
            </c:numRef>
          </c:val>
          <c:extLst xmlns:c16r2="http://schemas.microsoft.com/office/drawing/2015/06/chart">
            <c:ext xmlns:c16="http://schemas.microsoft.com/office/drawing/2014/chart" uri="{C3380CC4-5D6E-409C-BE32-E72D297353CC}">
              <c16:uniqueId val="{00000005-304E-4BF7-957D-71D286AF378A}"/>
            </c:ext>
          </c:extLst>
        </c:ser>
        <c:dLbls>
          <c:showVal val="1"/>
        </c:dLbls>
        <c:marker val="1"/>
        <c:axId val="242208128"/>
        <c:axId val="242394240"/>
      </c:lineChart>
      <c:catAx>
        <c:axId val="24220505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206592"/>
        <c:crosses val="autoZero"/>
        <c:lblAlgn val="ctr"/>
        <c:lblOffset val="100"/>
        <c:tickLblSkip val="1"/>
        <c:tickMarkSkip val="1"/>
      </c:catAx>
      <c:valAx>
        <c:axId val="242206592"/>
        <c:scaling>
          <c:orientation val="minMax"/>
          <c:max val="2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205056"/>
        <c:crosses val="autoZero"/>
        <c:crossBetween val="between"/>
        <c:majorUnit val="5"/>
        <c:minorUnit val="1"/>
      </c:valAx>
      <c:catAx>
        <c:axId val="242208128"/>
        <c:scaling>
          <c:orientation val="minMax"/>
        </c:scaling>
        <c:delete val="1"/>
        <c:axPos val="b"/>
        <c:numFmt formatCode="General" sourceLinked="1"/>
        <c:tickLblPos val="none"/>
        <c:crossAx val="242394240"/>
        <c:crosses val="autoZero"/>
        <c:lblAlgn val="ctr"/>
        <c:lblOffset val="100"/>
      </c:catAx>
      <c:valAx>
        <c:axId val="242394240"/>
        <c:scaling>
          <c:orientation val="minMax"/>
          <c:max val="0.4"/>
          <c:min val="-2"/>
        </c:scaling>
        <c:axPos val="r"/>
        <c:numFmt formatCode="0.0%" sourceLinked="1"/>
        <c:majorTickMark val="none"/>
        <c:tickLblPos val="none"/>
        <c:spPr>
          <a:ln w="3175">
            <a:noFill/>
            <a:prstDash val="solid"/>
          </a:ln>
        </c:spPr>
        <c:crossAx val="242208128"/>
        <c:crosses val="max"/>
        <c:crossBetween val="between"/>
        <c:majorUnit val="0.29000000000000031"/>
        <c:minorUnit val="0.29000000000000031"/>
      </c:valAx>
      <c:spPr>
        <a:noFill/>
        <a:ln w="12700">
          <a:noFill/>
          <a:prstDash val="solid"/>
        </a:ln>
      </c:spPr>
    </c:plotArea>
    <c:legend>
      <c:legendPos val="r"/>
      <c:layout>
        <c:manualLayout>
          <c:xMode val="edge"/>
          <c:yMode val="edge"/>
          <c:x val="0.12020567641910489"/>
          <c:y val="0.7170354166666671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网民使用搜索服务人均单次浏览页面</a:t>
            </a:r>
            <a:endParaRPr lang="zh-CN" sz="1200" b="1"/>
          </a:p>
        </c:rich>
      </c:tx>
      <c:layout>
        <c:manualLayout>
          <c:xMode val="edge"/>
          <c:yMode val="edge"/>
          <c:x val="0.15469700758522986"/>
          <c:y val="1.8688541666666687E-2"/>
        </c:manualLayout>
      </c:layout>
      <c:spPr>
        <a:noFill/>
        <a:ln w="25400">
          <a:noFill/>
        </a:ln>
      </c:spPr>
    </c:title>
    <c:plotArea>
      <c:layout>
        <c:manualLayout>
          <c:layoutTarget val="inner"/>
          <c:xMode val="edge"/>
          <c:yMode val="edge"/>
          <c:x val="0.10063834099945428"/>
          <c:y val="0.16975520833333341"/>
          <c:w val="0.85274582261375864"/>
          <c:h val="0.44280347222222238"/>
        </c:manualLayout>
      </c:layout>
      <c:barChart>
        <c:barDir val="col"/>
        <c:grouping val="clustered"/>
        <c:ser>
          <c:idx val="1"/>
          <c:order val="0"/>
          <c:tx>
            <c:strRef>
              <c:f>'02-网络使用粘性'!$A$114</c:f>
              <c:strCache>
                <c:ptCount val="1"/>
                <c:pt idx="0">
                  <c:v>人均单次浏览页面(页)</c:v>
                </c:pt>
              </c:strCache>
            </c:strRef>
          </c:tx>
          <c:spPr>
            <a:solidFill>
              <a:srgbClr val="B2D234"/>
            </a:solidFill>
            <a:ln w="12700">
              <a:noFill/>
              <a:prstDash val="solid"/>
            </a:ln>
          </c:spPr>
          <c:dLbls>
            <c:numFmt formatCode="0.00_);[Red]\(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'02-网络使用粘性'!$C$113:$N$113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'02-网络使用粘性'!$C$114:$N$114</c:f>
              <c:numCache>
                <c:formatCode>0.0</c:formatCode>
                <c:ptCount val="12"/>
                <c:pt idx="0">
                  <c:v>2.5299999999999998</c:v>
                </c:pt>
                <c:pt idx="1">
                  <c:v>2.56</c:v>
                </c:pt>
                <c:pt idx="2">
                  <c:v>2.4699999999999998</c:v>
                </c:pt>
                <c:pt idx="3">
                  <c:v>2.4899999999999998</c:v>
                </c:pt>
                <c:pt idx="4">
                  <c:v>2.4699999999999998</c:v>
                </c:pt>
                <c:pt idx="5">
                  <c:v>2.4899999999999998</c:v>
                </c:pt>
                <c:pt idx="6">
                  <c:v>2.4499999999999997</c:v>
                </c:pt>
                <c:pt idx="7">
                  <c:v>2.4899999999999998</c:v>
                </c:pt>
                <c:pt idx="8">
                  <c:v>2.5099999999999998</c:v>
                </c:pt>
                <c:pt idx="9">
                  <c:v>2.56</c:v>
                </c:pt>
                <c:pt idx="10">
                  <c:v>2.4699999999999998</c:v>
                </c:pt>
                <c:pt idx="11">
                  <c:v>2.44</c:v>
                </c:pt>
              </c:numCache>
            </c:numRef>
          </c:val>
          <c:extLst xmlns:c16r2="http://schemas.microsoft.com/office/drawing/2015/06/chart">
            <c:ext xmlns:c16="http://schemas.microsoft.com/office/drawing/2014/chart" uri="{C3380CC4-5D6E-409C-BE32-E72D297353CC}">
              <c16:uniqueId val="{00000000-8350-4118-93F8-37C8DB438798}"/>
            </c:ext>
          </c:extLst>
        </c:ser>
        <c:dLbls>
          <c:showVal val="1"/>
        </c:dLbls>
        <c:gapWidth val="60"/>
        <c:axId val="242440064"/>
        <c:axId val="242441600"/>
      </c:barChart>
      <c:lineChart>
        <c:grouping val="standard"/>
        <c:ser>
          <c:idx val="0"/>
          <c:order val="1"/>
          <c:tx>
            <c:strRef>
              <c:f>'02-网络使用粘性'!$A$115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50-4118-93F8-37C8DB438798}"/>
                </c:ext>
              </c:extLst>
            </c:dLbl>
            <c:dLbl>
              <c:idx val="1"/>
              <c:layout>
                <c:manualLayout>
                  <c:x val="-6.0851462865716473E-2"/>
                  <c:y val="-4.299984179726016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50-4118-93F8-37C8DB438798}"/>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50-4118-93F8-37C8DB438798}"/>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350-4118-93F8-37C8DB438798}"/>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'02-网络使用粘性'!$C$113:$N$113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'02-网络使用粘性'!$C$115:$N$115</c:f>
              <c:numCache>
                <c:formatCode>0.00%</c:formatCode>
                <c:ptCount val="12"/>
                <c:pt idx="0">
                  <c:v>3.6885245901639385E-2</c:v>
                </c:pt>
                <c:pt idx="1">
                  <c:v>1.185770750988158E-2</c:v>
                </c:pt>
                <c:pt idx="2">
                  <c:v>-3.5156249999999889E-2</c:v>
                </c:pt>
                <c:pt idx="3">
                  <c:v>8.0971659919029191E-3</c:v>
                </c:pt>
                <c:pt idx="4">
                  <c:v>-8.0321285140562207E-3</c:v>
                </c:pt>
                <c:pt idx="5">
                  <c:v>8.0971659919029191E-3</c:v>
                </c:pt>
                <c:pt idx="6">
                  <c:v>-1.6064257028112441E-2</c:v>
                </c:pt>
                <c:pt idx="7">
                  <c:v>1.6326530612244886E-2</c:v>
                </c:pt>
                <c:pt idx="8">
                  <c:v>8.0321285140561027E-3</c:v>
                </c:pt>
                <c:pt idx="9">
                  <c:v>1.9920318725099809E-2</c:v>
                </c:pt>
                <c:pt idx="10">
                  <c:v>-3.5156249999999889E-2</c:v>
                </c:pt>
                <c:pt idx="11">
                  <c:v>-1.2145748987854359E-2</c:v>
                </c:pt>
              </c:numCache>
            </c:numRef>
          </c:val>
          <c:extLst xmlns:c16r2="http://schemas.microsoft.com/office/drawing/2015/06/chart">
            <c:ext xmlns:c16="http://schemas.microsoft.com/office/drawing/2014/chart" uri="{C3380CC4-5D6E-409C-BE32-E72D297353CC}">
              <c16:uniqueId val="{00000005-8350-4118-93F8-37C8DB438798}"/>
            </c:ext>
          </c:extLst>
        </c:ser>
        <c:dLbls>
          <c:showVal val="1"/>
        </c:dLbls>
        <c:marker val="1"/>
        <c:axId val="242455680"/>
        <c:axId val="242457216"/>
      </c:lineChart>
      <c:catAx>
        <c:axId val="24244006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441600"/>
        <c:crosses val="autoZero"/>
        <c:lblAlgn val="ctr"/>
        <c:lblOffset val="100"/>
        <c:tickLblSkip val="1"/>
        <c:tickMarkSkip val="1"/>
      </c:catAx>
      <c:valAx>
        <c:axId val="242441600"/>
        <c:scaling>
          <c:orientation val="minMax"/>
          <c:max val="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440064"/>
        <c:crosses val="autoZero"/>
        <c:crossBetween val="between"/>
        <c:majorUnit val="1"/>
        <c:minorUnit val="0.1"/>
      </c:valAx>
      <c:catAx>
        <c:axId val="242455680"/>
        <c:scaling>
          <c:orientation val="minMax"/>
        </c:scaling>
        <c:delete val="1"/>
        <c:axPos val="b"/>
        <c:numFmt formatCode="General" sourceLinked="1"/>
        <c:tickLblPos val="none"/>
        <c:crossAx val="242457216"/>
        <c:crosses val="autoZero"/>
        <c:lblAlgn val="ctr"/>
        <c:lblOffset val="100"/>
      </c:catAx>
      <c:valAx>
        <c:axId val="242457216"/>
        <c:scaling>
          <c:orientation val="minMax"/>
          <c:max val="0.5"/>
          <c:min val="-2.5"/>
        </c:scaling>
        <c:axPos val="r"/>
        <c:numFmt formatCode="0.00%" sourceLinked="1"/>
        <c:majorTickMark val="none"/>
        <c:tickLblPos val="none"/>
        <c:spPr>
          <a:ln w="3175">
            <a:noFill/>
            <a:prstDash val="solid"/>
          </a:ln>
        </c:spPr>
        <c:crossAx val="242455680"/>
        <c:crosses val="max"/>
        <c:crossBetween val="between"/>
        <c:majorUnit val="0.29000000000000031"/>
        <c:minorUnit val="0.29000000000000031"/>
      </c:valAx>
      <c:spPr>
        <a:noFill/>
        <a:ln w="12700">
          <a:noFill/>
          <a:prstDash val="solid"/>
        </a:ln>
      </c:spPr>
    </c:plotArea>
    <c:legend>
      <c:legendPos val="r"/>
      <c:layout>
        <c:manualLayout>
          <c:xMode val="edge"/>
          <c:yMode val="edge"/>
          <c:x val="0.11226619154788703"/>
          <c:y val="0.70380624999999997"/>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网民使用的主要搜索引擎网站</a:t>
            </a:r>
            <a:endParaRPr lang="en-US" altLang="zh-CN" sz="1200">
              <a:latin typeface="微软雅黑" panose="020B0503020204020204" pitchFamily="34" charset="-122"/>
              <a:ea typeface="微软雅黑" panose="020B0503020204020204" pitchFamily="34" charset="-122"/>
            </a:endParaRPr>
          </a:p>
        </c:rich>
      </c:tx>
      <c:layout>
        <c:manualLayout>
          <c:xMode val="edge"/>
          <c:yMode val="edge"/>
          <c:x val="0.19462136367425187"/>
          <c:y val="1.7798263888888888E-2"/>
        </c:manualLayout>
      </c:layout>
    </c:title>
    <c:plotArea>
      <c:layout>
        <c:manualLayout>
          <c:layoutTarget val="inner"/>
          <c:xMode val="edge"/>
          <c:yMode val="edge"/>
          <c:x val="0.32236913395015454"/>
          <c:y val="0.13698576388888889"/>
          <c:w val="0.59666479119779947"/>
          <c:h val="0.50578715277777753"/>
        </c:manualLayout>
      </c:layout>
      <c:barChart>
        <c:barDir val="bar"/>
        <c:grouping val="clustered"/>
        <c:ser>
          <c:idx val="1"/>
          <c:order val="0"/>
          <c:tx>
            <c:strRef>
              <c:f>'02-网络使用粘性'!$C$150</c:f>
              <c:strCache>
                <c:ptCount val="1"/>
                <c:pt idx="0">
                  <c:v>月度覆盖比例</c:v>
                </c:pt>
              </c:strCache>
            </c:strRef>
          </c:tx>
          <c:spPr>
            <a:solidFill>
              <a:srgbClr val="B2D234"/>
            </a:solidFill>
            <a:ln w="12700">
              <a:noFill/>
            </a:ln>
          </c:spPr>
          <c:dLbls>
            <c:numFmt formatCode="0.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'02-网络使用粘性'!$B$151:$B$160</c:f>
              <c:strCache>
                <c:ptCount val="10"/>
                <c:pt idx="0">
                  <c:v>360搜索(so.com) [百科搜索]</c:v>
                </c:pt>
                <c:pt idx="1">
                  <c:v>360搜索(so.com) [知识搜索]</c:v>
                </c:pt>
                <c:pt idx="2">
                  <c:v>搜狗 [网站导航]</c:v>
                </c:pt>
                <c:pt idx="3">
                  <c:v>搜狗 [网页搜索]</c:v>
                </c:pt>
                <c:pt idx="4">
                  <c:v>360安全中心 [网站导航]</c:v>
                </c:pt>
                <c:pt idx="5">
                  <c:v>360影视 [网站导航]</c:v>
                </c:pt>
                <c:pt idx="6">
                  <c:v>百度 [百科搜索]</c:v>
                </c:pt>
                <c:pt idx="7">
                  <c:v>百度 [知识搜索]</c:v>
                </c:pt>
                <c:pt idx="8">
                  <c:v>360搜索(so.com) [网页搜索]</c:v>
                </c:pt>
                <c:pt idx="9">
                  <c:v>百度 [网页搜索]</c:v>
                </c:pt>
              </c:strCache>
            </c:strRef>
          </c:cat>
          <c:val>
            <c:numRef>
              <c:f>'02-网络使用粘性'!$C$151:$C$160</c:f>
              <c:numCache>
                <c:formatCode>0.00%</c:formatCode>
                <c:ptCount val="10"/>
                <c:pt idx="0">
                  <c:v>0.23930000000000001</c:v>
                </c:pt>
                <c:pt idx="1">
                  <c:v>0.24500000000000011</c:v>
                </c:pt>
                <c:pt idx="2">
                  <c:v>0.26629999999999998</c:v>
                </c:pt>
                <c:pt idx="3">
                  <c:v>0.27630000000000021</c:v>
                </c:pt>
                <c:pt idx="4">
                  <c:v>0.31340000000000023</c:v>
                </c:pt>
                <c:pt idx="5">
                  <c:v>0.33620000000000022</c:v>
                </c:pt>
                <c:pt idx="6">
                  <c:v>0.4281000000000002</c:v>
                </c:pt>
                <c:pt idx="7">
                  <c:v>0.56540000000000001</c:v>
                </c:pt>
                <c:pt idx="8">
                  <c:v>0.57970000000000044</c:v>
                </c:pt>
                <c:pt idx="9">
                  <c:v>0.78900000000000003</c:v>
                </c:pt>
              </c:numCache>
            </c:numRef>
          </c:val>
          <c:extLst xmlns:c16r2="http://schemas.microsoft.com/office/drawing/2015/06/chart">
            <c:ext xmlns:c16="http://schemas.microsoft.com/office/drawing/2014/chart" uri="{C3380CC4-5D6E-409C-BE32-E72D297353CC}">
              <c16:uniqueId val="{00000000-8C1B-44A2-98E9-E2AAEF1AA9EF}"/>
            </c:ext>
          </c:extLst>
        </c:ser>
        <c:dLbls>
          <c:showVal val="1"/>
        </c:dLbls>
        <c:gapWidth val="60"/>
        <c:axId val="242473216"/>
        <c:axId val="242561792"/>
      </c:barChart>
      <c:catAx>
        <c:axId val="242473216"/>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42561792"/>
        <c:crosses val="autoZero"/>
        <c:auto val="1"/>
        <c:lblAlgn val="ctr"/>
        <c:lblOffset val="100"/>
      </c:catAx>
      <c:valAx>
        <c:axId val="242561792"/>
        <c:scaling>
          <c:orientation val="minMax"/>
          <c:max val="1"/>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42473216"/>
        <c:crosses val="autoZero"/>
        <c:crossBetween val="between"/>
        <c:minorUnit val="0.2"/>
      </c:valAx>
      <c:spPr>
        <a:ln>
          <a:noFill/>
        </a:ln>
      </c:spPr>
    </c:plotArea>
    <c:legend>
      <c:legendPos val="b"/>
      <c:layout>
        <c:manualLayout>
          <c:xMode val="edge"/>
          <c:yMode val="edge"/>
          <c:x val="0.19714636992581477"/>
          <c:y val="0.72611111111111115"/>
          <c:w val="0.67857401850462695"/>
          <c:h val="5.4848031496063022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使用在线视频服务网民月度覆盖比例</a:t>
            </a:r>
            <a:endParaRPr lang="zh-CN" sz="1200" b="1"/>
          </a:p>
        </c:rich>
      </c:tx>
      <c:layout>
        <c:manualLayout>
          <c:xMode val="edge"/>
          <c:yMode val="edge"/>
          <c:x val="0.16785387558216899"/>
          <c:y val="1.8043749999999997E-2"/>
        </c:manualLayout>
      </c:layout>
      <c:spPr>
        <a:noFill/>
        <a:ln w="25400">
          <a:noFill/>
        </a:ln>
      </c:spPr>
    </c:title>
    <c:plotArea>
      <c:layout>
        <c:manualLayout>
          <c:layoutTarget val="inner"/>
          <c:xMode val="edge"/>
          <c:yMode val="edge"/>
          <c:x val="0.10063834099945428"/>
          <c:y val="0.15351597222222238"/>
          <c:w val="0.85274582261375864"/>
          <c:h val="0.46044236111111131"/>
        </c:manualLayout>
      </c:layout>
      <c:areaChart>
        <c:grouping val="standard"/>
        <c:ser>
          <c:idx val="1"/>
          <c:order val="0"/>
          <c:tx>
            <c:strRef>
              <c:f>'02-网络使用粘性'!$A$184</c:f>
              <c:strCache>
                <c:ptCount val="1"/>
                <c:pt idx="0">
                  <c:v>月度覆盖比例</c:v>
                </c:pt>
              </c:strCache>
            </c:strRef>
          </c:tx>
          <c:spPr>
            <a:solidFill>
              <a:srgbClr val="B2D234"/>
            </a:solidFill>
            <a:ln w="12700">
              <a:noFill/>
              <a:prstDash val="solid"/>
            </a:ln>
          </c:spPr>
          <c:dLbls>
            <c:dLbl>
              <c:idx val="0"/>
              <c:delete val="1"/>
            </c:dLbl>
            <c:dLbl>
              <c:idx val="1"/>
              <c:layout>
                <c:manualLayout>
                  <c:x val="2.6402640264026429E-3"/>
                  <c:y val="-0.23373103196537531"/>
                </c:manualLayout>
              </c:layout>
              <c:showVal val="1"/>
            </c:dLbl>
            <c:dLbl>
              <c:idx val="2"/>
              <c:delete val="1"/>
            </c:dLbl>
            <c:dLbl>
              <c:idx val="3"/>
              <c:layout>
                <c:manualLayout>
                  <c:x val="-1.0561887684831487E-2"/>
                  <c:y val="-0.21609219377379174"/>
                </c:manualLayout>
              </c:layout>
              <c:showVal val="1"/>
            </c:dLbl>
            <c:dLbl>
              <c:idx val="4"/>
              <c:delete val="1"/>
            </c:dLbl>
            <c:dLbl>
              <c:idx val="5"/>
              <c:layout>
                <c:manualLayout>
                  <c:x val="-2.6402640264026429E-3"/>
                  <c:y val="-0.22494342180737364"/>
                </c:manualLayout>
              </c:layout>
              <c:showVal val="1"/>
            </c:dLbl>
            <c:dLbl>
              <c:idx val="6"/>
              <c:delete val="1"/>
            </c:dLbl>
            <c:dLbl>
              <c:idx val="7"/>
              <c:layout>
                <c:manualLayout>
                  <c:x val="-2.6404719212078692E-3"/>
                  <c:y val="-0.20727816307729763"/>
                </c:manualLayout>
              </c:layout>
              <c:showVal val="1"/>
            </c:dLbl>
            <c:dLbl>
              <c:idx val="8"/>
              <c:delete val="1"/>
            </c:dLbl>
            <c:dLbl>
              <c:idx val="9"/>
              <c:layout>
                <c:manualLayout>
                  <c:x val="-5.2807359476105091E-3"/>
                  <c:y val="-0.20727294849733208"/>
                </c:manualLayout>
              </c:layout>
              <c:showVal val="1"/>
            </c:dLbl>
            <c:dLbl>
              <c:idx val="10"/>
              <c:delete val="1"/>
            </c:dLbl>
            <c:dLbl>
              <c:idx val="11"/>
              <c:layout>
                <c:manualLayout>
                  <c:x val="-7.9216566866267494E-3"/>
                  <c:y val="-0.17197916666666671"/>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'02-网络使用粘性'!$C$183:$N$183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'02-网络使用粘性'!$C$184:$N$184</c:f>
              <c:numCache>
                <c:formatCode>0.00%</c:formatCode>
                <c:ptCount val="12"/>
                <c:pt idx="0">
                  <c:v>0.95290000000000041</c:v>
                </c:pt>
                <c:pt idx="1">
                  <c:v>0.92330000000000001</c:v>
                </c:pt>
                <c:pt idx="2">
                  <c:v>0.91949999999999998</c:v>
                </c:pt>
                <c:pt idx="3">
                  <c:v>0.91100000000000003</c:v>
                </c:pt>
                <c:pt idx="4">
                  <c:v>0.92190000000000005</c:v>
                </c:pt>
                <c:pt idx="5">
                  <c:v>0.90110000000000001</c:v>
                </c:pt>
                <c:pt idx="6">
                  <c:v>0.90769999999999995</c:v>
                </c:pt>
                <c:pt idx="7">
                  <c:v>0.92070000000000041</c:v>
                </c:pt>
                <c:pt idx="8">
                  <c:v>0.90559999999999996</c:v>
                </c:pt>
                <c:pt idx="9">
                  <c:v>0.89900000000000002</c:v>
                </c:pt>
                <c:pt idx="10">
                  <c:v>0.85820000000000041</c:v>
                </c:pt>
                <c:pt idx="11">
                  <c:v>0.85429999999999995</c:v>
                </c:pt>
              </c:numCache>
            </c:numRef>
          </c:val>
          <c:extLst xmlns:c16r2="http://schemas.microsoft.com/office/drawing/2015/06/chart">
            <c:ext xmlns:c16="http://schemas.microsoft.com/office/drawing/2014/chart" uri="{C3380CC4-5D6E-409C-BE32-E72D297353CC}">
              <c16:uniqueId val="{00000000-6401-48EC-85C2-7F0146065784}"/>
            </c:ext>
          </c:extLst>
        </c:ser>
        <c:dLbls>
          <c:showVal val="1"/>
        </c:dLbls>
        <c:axId val="242619136"/>
        <c:axId val="242621056"/>
      </c:areaChart>
      <c:catAx>
        <c:axId val="2426191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621056"/>
        <c:crosses val="autoZero"/>
        <c:lblAlgn val="ctr"/>
        <c:lblOffset val="100"/>
      </c:catAx>
      <c:valAx>
        <c:axId val="242621056"/>
        <c:scaling>
          <c:orientation val="minMax"/>
          <c:max val="1"/>
          <c:min val="0.60000000000000053"/>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619136"/>
        <c:crosses val="autoZero"/>
        <c:crossBetween val="midCat"/>
        <c:majorUnit val="0.1"/>
        <c:minorUnit val="1.0000000000000005E-2"/>
      </c:valAx>
      <c:spPr>
        <a:noFill/>
        <a:ln w="12700">
          <a:noFill/>
          <a:prstDash val="solid"/>
        </a:ln>
      </c:spPr>
    </c:plotArea>
    <c:legend>
      <c:legendPos val="r"/>
      <c:layout>
        <c:manualLayout>
          <c:xMode val="edge"/>
          <c:yMode val="edge"/>
          <c:x val="0.10696695007085116"/>
          <c:y val="0.70867048611111183"/>
          <c:w val="0.84222804391217621"/>
          <c:h val="7.2559374999999995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网民使用在线视频服务人均月度访问天数</a:t>
            </a:r>
            <a:endParaRPr lang="zh-CN" sz="1200" b="1"/>
          </a:p>
        </c:rich>
      </c:tx>
      <c:layout>
        <c:manualLayout>
          <c:xMode val="edge"/>
          <c:yMode val="edge"/>
          <c:x val="0.11753305888223559"/>
          <c:y val="2.3200347222222254E-2"/>
        </c:manualLayout>
      </c:layout>
      <c:spPr>
        <a:noFill/>
        <a:ln w="25400">
          <a:noFill/>
        </a:ln>
      </c:spPr>
    </c:title>
    <c:plotArea>
      <c:layout>
        <c:manualLayout>
          <c:layoutTarget val="inner"/>
          <c:xMode val="edge"/>
          <c:yMode val="edge"/>
          <c:x val="0.10063834099945428"/>
          <c:y val="0.19117848956663233"/>
          <c:w val="0.85274582261375864"/>
          <c:h val="0.42075486111111132"/>
        </c:manualLayout>
      </c:layout>
      <c:barChart>
        <c:barDir val="col"/>
        <c:grouping val="clustered"/>
        <c:ser>
          <c:idx val="1"/>
          <c:order val="0"/>
          <c:tx>
            <c:strRef>
              <c:f>'02-网络使用粘性'!$A$189</c:f>
              <c:strCache>
                <c:ptCount val="1"/>
                <c:pt idx="0">
                  <c:v>人均月度访问天数（天）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'02-网络使用粘性'!$C$193:$N$193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'02-网络使用粘性'!$C$189:$N$189</c:f>
              <c:numCache>
                <c:formatCode>General</c:formatCode>
                <c:ptCount val="12"/>
                <c:pt idx="0">
                  <c:v>6.39</c:v>
                </c:pt>
                <c:pt idx="1">
                  <c:v>6.1499999999999995</c:v>
                </c:pt>
                <c:pt idx="2">
                  <c:v>6.75</c:v>
                </c:pt>
                <c:pt idx="3">
                  <c:v>6.35</c:v>
                </c:pt>
                <c:pt idx="4">
                  <c:v>6.48</c:v>
                </c:pt>
                <c:pt idx="5">
                  <c:v>6.3</c:v>
                </c:pt>
                <c:pt idx="6">
                  <c:v>6.51</c:v>
                </c:pt>
                <c:pt idx="7">
                  <c:v>6.8199999999999985</c:v>
                </c:pt>
                <c:pt idx="8">
                  <c:v>5.95</c:v>
                </c:pt>
                <c:pt idx="9">
                  <c:v>5.85</c:v>
                </c:pt>
                <c:pt idx="10">
                  <c:v>5.92</c:v>
                </c:pt>
                <c:pt idx="11">
                  <c:v>5.89</c:v>
                </c:pt>
              </c:numCache>
            </c:numRef>
          </c:val>
          <c:extLst xmlns:c16r2="http://schemas.microsoft.com/office/drawing/2015/06/chart">
            <c:ext xmlns:c16="http://schemas.microsoft.com/office/drawing/2014/chart" uri="{C3380CC4-5D6E-409C-BE32-E72D297353CC}">
              <c16:uniqueId val="{00000000-D6E4-4F8F-AF42-632FB4CAC2A8}"/>
            </c:ext>
          </c:extLst>
        </c:ser>
        <c:dLbls>
          <c:showVal val="1"/>
        </c:dLbls>
        <c:gapWidth val="60"/>
        <c:axId val="242507136"/>
        <c:axId val="242521216"/>
      </c:barChart>
      <c:lineChart>
        <c:grouping val="standard"/>
        <c:ser>
          <c:idx val="0"/>
          <c:order val="1"/>
          <c:tx>
            <c:strRef>
              <c:f>'02-网络使用粘性'!$A$190</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E4-4F8F-AF42-632FB4CAC2A8}"/>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E4-4F8F-AF42-632FB4CAC2A8}"/>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E4-4F8F-AF42-632FB4CAC2A8}"/>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E4-4F8F-AF42-632FB4CAC2A8}"/>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'02-网络使用粘性'!$C$188:$N$188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'02-网络使用粘性'!$C$190:$N$190</c:f>
              <c:numCache>
                <c:formatCode>0.0%</c:formatCode>
                <c:ptCount val="12"/>
                <c:pt idx="0">
                  <c:v>-2.7397260273972733E-2</c:v>
                </c:pt>
                <c:pt idx="1">
                  <c:v>-3.7558685446009286E-2</c:v>
                </c:pt>
                <c:pt idx="2">
                  <c:v>9.7560975609755962E-2</c:v>
                </c:pt>
                <c:pt idx="3">
                  <c:v>-5.9259259259259352E-2</c:v>
                </c:pt>
                <c:pt idx="4">
                  <c:v>2.047244094488199E-2</c:v>
                </c:pt>
                <c:pt idx="5">
                  <c:v>-2.777777777777795E-2</c:v>
                </c:pt>
                <c:pt idx="6">
                  <c:v>3.3333333333333444E-2</c:v>
                </c:pt>
                <c:pt idx="7">
                  <c:v>4.7619047619047693E-2</c:v>
                </c:pt>
                <c:pt idx="8">
                  <c:v>-0.12756598240469219</c:v>
                </c:pt>
                <c:pt idx="9">
                  <c:v>-1.6806722689075695E-2</c:v>
                </c:pt>
                <c:pt idx="10">
                  <c:v>1.1965811965811932E-2</c:v>
                </c:pt>
                <c:pt idx="11">
                  <c:v>-5.0675675675676546E-3</c:v>
                </c:pt>
              </c:numCache>
            </c:numRef>
          </c:val>
          <c:extLst xmlns:c16r2="http://schemas.microsoft.com/office/drawing/2015/06/chart">
            <c:ext xmlns:c16="http://schemas.microsoft.com/office/drawing/2014/chart" uri="{C3380CC4-5D6E-409C-BE32-E72D297353CC}">
              <c16:uniqueId val="{00000005-D6E4-4F8F-AF42-632FB4CAC2A8}"/>
            </c:ext>
          </c:extLst>
        </c:ser>
        <c:dLbls>
          <c:showVal val="1"/>
        </c:dLbls>
        <c:marker val="1"/>
        <c:axId val="242522752"/>
        <c:axId val="242528640"/>
      </c:lineChart>
      <c:catAx>
        <c:axId val="242507136"/>
        <c:scaling>
          <c:orientation val="minMax"/>
        </c:scaling>
        <c:axPos val="b"/>
        <c:numFmt formatCode="0.0"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521216"/>
        <c:crosses val="autoZero"/>
        <c:lblAlgn val="ctr"/>
        <c:lblOffset val="100"/>
        <c:tickLblSkip val="1"/>
        <c:tickMarkSkip val="1"/>
      </c:catAx>
      <c:valAx>
        <c:axId val="242521216"/>
        <c:scaling>
          <c:orientation val="minMax"/>
          <c:max val="12"/>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507136"/>
        <c:crosses val="autoZero"/>
        <c:crossBetween val="between"/>
        <c:majorUnit val="4"/>
      </c:valAx>
      <c:catAx>
        <c:axId val="242522752"/>
        <c:scaling>
          <c:orientation val="minMax"/>
        </c:scaling>
        <c:delete val="1"/>
        <c:axPos val="b"/>
        <c:numFmt formatCode="General" sourceLinked="1"/>
        <c:tickLblPos val="none"/>
        <c:crossAx val="242528640"/>
        <c:crosses val="autoZero"/>
        <c:lblAlgn val="ctr"/>
        <c:lblOffset val="100"/>
      </c:catAx>
      <c:valAx>
        <c:axId val="242528640"/>
        <c:scaling>
          <c:orientation val="minMax"/>
          <c:max val="0.30000000000000027"/>
          <c:min val="-1.7"/>
        </c:scaling>
        <c:axPos val="r"/>
        <c:numFmt formatCode="0.0%" sourceLinked="1"/>
        <c:majorTickMark val="none"/>
        <c:tickLblPos val="none"/>
        <c:spPr>
          <a:ln w="3175">
            <a:noFill/>
            <a:prstDash val="solid"/>
          </a:ln>
        </c:spPr>
        <c:crossAx val="242522752"/>
        <c:crosses val="max"/>
        <c:crossBetween val="between"/>
        <c:majorUnit val="0.29000000000000031"/>
        <c:minorUnit val="0.29000000000000031"/>
      </c:valAx>
      <c:spPr>
        <a:noFill/>
        <a:ln w="12700">
          <a:noFill/>
          <a:prstDash val="solid"/>
        </a:ln>
      </c:spPr>
    </c:plotArea>
    <c:legend>
      <c:legendPos val="r"/>
      <c:layout>
        <c:manualLayout>
          <c:xMode val="edge"/>
          <c:yMode val="edge"/>
          <c:x val="0.11180929807052556"/>
          <c:y val="0.7084854166666666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网民使用在线视频服务人均月度访问次数</a:t>
            </a:r>
            <a:endParaRPr lang="zh-CN" sz="1200" b="1"/>
          </a:p>
        </c:rich>
      </c:tx>
      <c:layout>
        <c:manualLayout>
          <c:xMode val="edge"/>
          <c:yMode val="edge"/>
          <c:x val="0.12824891882900871"/>
          <c:y val="3.7821875000000026E-2"/>
        </c:manualLayout>
      </c:layout>
      <c:spPr>
        <a:noFill/>
        <a:ln w="25400">
          <a:noFill/>
        </a:ln>
      </c:spPr>
    </c:title>
    <c:plotArea>
      <c:layout>
        <c:manualLayout>
          <c:layoutTarget val="inner"/>
          <c:xMode val="edge"/>
          <c:yMode val="edge"/>
          <c:x val="0.10327860502585692"/>
          <c:y val="0.18738072228589481"/>
          <c:w val="0.85274582261375864"/>
          <c:h val="0.42516458333333357"/>
        </c:manualLayout>
      </c:layout>
      <c:barChart>
        <c:barDir val="col"/>
        <c:grouping val="clustered"/>
        <c:ser>
          <c:idx val="1"/>
          <c:order val="0"/>
          <c:tx>
            <c:strRef>
              <c:f>'02-网络使用粘性'!$A$194</c:f>
              <c:strCache>
                <c:ptCount val="1"/>
                <c:pt idx="0">
                  <c:v>人均月度访问次数(次)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'02-网络使用粘性'!$C$198:$N$198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'02-网络使用粘性'!$C$194:$N$194</c:f>
              <c:numCache>
                <c:formatCode>0.0</c:formatCode>
                <c:ptCount val="12"/>
                <c:pt idx="0">
                  <c:v>24.130000000000013</c:v>
                </c:pt>
                <c:pt idx="1">
                  <c:v>22.43</c:v>
                </c:pt>
                <c:pt idx="2">
                  <c:v>24.459999999999987</c:v>
                </c:pt>
                <c:pt idx="3">
                  <c:v>23.62</c:v>
                </c:pt>
                <c:pt idx="4">
                  <c:v>23.68</c:v>
                </c:pt>
                <c:pt idx="5">
                  <c:v>23.64</c:v>
                </c:pt>
                <c:pt idx="6">
                  <c:v>24.68</c:v>
                </c:pt>
                <c:pt idx="7">
                  <c:v>25.62</c:v>
                </c:pt>
                <c:pt idx="8">
                  <c:v>22.279999999999987</c:v>
                </c:pt>
                <c:pt idx="9">
                  <c:v>21.32</c:v>
                </c:pt>
                <c:pt idx="10">
                  <c:v>22.2</c:v>
                </c:pt>
                <c:pt idx="11">
                  <c:v>20.010000000000005</c:v>
                </c:pt>
              </c:numCache>
            </c:numRef>
          </c:val>
          <c:extLst xmlns:c16r2="http://schemas.microsoft.com/office/drawing/2015/06/chart">
            <c:ext xmlns:c16="http://schemas.microsoft.com/office/drawing/2014/chart" uri="{C3380CC4-5D6E-409C-BE32-E72D297353CC}">
              <c16:uniqueId val="{00000000-BBD6-44AC-82FE-5254394BE5F3}"/>
            </c:ext>
          </c:extLst>
        </c:ser>
        <c:dLbls>
          <c:showVal val="1"/>
        </c:dLbls>
        <c:gapWidth val="60"/>
        <c:axId val="242713728"/>
        <c:axId val="242715264"/>
      </c:barChart>
      <c:lineChart>
        <c:grouping val="standard"/>
        <c:ser>
          <c:idx val="0"/>
          <c:order val="1"/>
          <c:tx>
            <c:strRef>
              <c:f>'02-网络使用粘性'!$A$195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D6-44AC-82FE-5254394BE5F3}"/>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D6-44AC-82FE-5254394BE5F3}"/>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D6-44AC-82FE-5254394BE5F3}"/>
                </c:ext>
              </c:extLst>
            </c:dLbl>
            <c:dLbl>
              <c:idx val="3"/>
              <c:layout>
                <c:manualLayout>
                  <c:x val="-4.3214885268054323E-2"/>
                  <c:y val="-3.424321959755034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BD6-44AC-82FE-5254394BE5F3}"/>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'02-网络使用粘性'!$C$193:$N$193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'02-网络使用粘性'!$C$195:$N$195</c:f>
              <c:numCache>
                <c:formatCode>0.0%</c:formatCode>
                <c:ptCount val="12"/>
                <c:pt idx="0">
                  <c:v>5.0500653025685779E-2</c:v>
                </c:pt>
                <c:pt idx="1">
                  <c:v>-7.045171985080817E-2</c:v>
                </c:pt>
                <c:pt idx="2">
                  <c:v>9.0503789567543569E-2</c:v>
                </c:pt>
                <c:pt idx="3">
                  <c:v>-3.4341782502044144E-2</c:v>
                </c:pt>
                <c:pt idx="4">
                  <c:v>2.5402201524131777E-3</c:v>
                </c:pt>
                <c:pt idx="5">
                  <c:v>-1.689189189189145E-3</c:v>
                </c:pt>
                <c:pt idx="6">
                  <c:v>4.3993231810490828E-2</c:v>
                </c:pt>
                <c:pt idx="7">
                  <c:v>3.8087520259319392E-2</c:v>
                </c:pt>
                <c:pt idx="8">
                  <c:v>-0.1303669008587042</c:v>
                </c:pt>
                <c:pt idx="9">
                  <c:v>-4.3087971274685902E-2</c:v>
                </c:pt>
                <c:pt idx="10">
                  <c:v>4.1275797373358375E-2</c:v>
                </c:pt>
                <c:pt idx="11">
                  <c:v>-9.8648648648648612E-2</c:v>
                </c:pt>
              </c:numCache>
            </c:numRef>
          </c:val>
          <c:extLst xmlns:c16r2="http://schemas.microsoft.com/office/drawing/2015/06/chart">
            <c:ext xmlns:c16="http://schemas.microsoft.com/office/drawing/2014/chart" uri="{C3380CC4-5D6E-409C-BE32-E72D297353CC}">
              <c16:uniqueId val="{00000005-BBD6-44AC-82FE-5254394BE5F3}"/>
            </c:ext>
          </c:extLst>
        </c:ser>
        <c:dLbls>
          <c:showVal val="1"/>
        </c:dLbls>
        <c:marker val="1"/>
        <c:axId val="242729344"/>
        <c:axId val="242730880"/>
      </c:lineChart>
      <c:catAx>
        <c:axId val="24271372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715264"/>
        <c:crosses val="autoZero"/>
        <c:lblAlgn val="ctr"/>
        <c:lblOffset val="100"/>
        <c:tickLblSkip val="1"/>
        <c:tickMarkSkip val="1"/>
      </c:catAx>
      <c:valAx>
        <c:axId val="242715264"/>
        <c:scaling>
          <c:orientation val="minMax"/>
          <c:max val="5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713728"/>
        <c:crosses val="autoZero"/>
        <c:crossBetween val="between"/>
        <c:majorUnit val="10"/>
      </c:valAx>
      <c:catAx>
        <c:axId val="242729344"/>
        <c:scaling>
          <c:orientation val="minMax"/>
        </c:scaling>
        <c:delete val="1"/>
        <c:axPos val="b"/>
        <c:numFmt formatCode="General" sourceLinked="1"/>
        <c:tickLblPos val="none"/>
        <c:crossAx val="242730880"/>
        <c:crosses val="autoZero"/>
        <c:lblAlgn val="ctr"/>
        <c:lblOffset val="100"/>
      </c:catAx>
      <c:valAx>
        <c:axId val="242730880"/>
        <c:scaling>
          <c:orientation val="minMax"/>
          <c:max val="0.4"/>
          <c:min val="-1.7"/>
        </c:scaling>
        <c:axPos val="r"/>
        <c:numFmt formatCode="0.0%" sourceLinked="1"/>
        <c:majorTickMark val="none"/>
        <c:tickLblPos val="none"/>
        <c:spPr>
          <a:ln w="3175">
            <a:noFill/>
            <a:prstDash val="solid"/>
          </a:ln>
        </c:spPr>
        <c:crossAx val="242729344"/>
        <c:crosses val="max"/>
        <c:crossBetween val="between"/>
        <c:majorUnit val="0.29000000000000031"/>
        <c:minorUnit val="0.29000000000000031"/>
      </c:valAx>
      <c:spPr>
        <a:noFill/>
        <a:ln w="12700">
          <a:noFill/>
          <a:prstDash val="solid"/>
        </a:ln>
      </c:spPr>
    </c:plotArea>
    <c:legend>
      <c:legendPos val="r"/>
      <c:layout>
        <c:manualLayout>
          <c:xMode val="edge"/>
          <c:yMode val="edge"/>
          <c:x val="0.11224821190951437"/>
          <c:y val="0.70821597222222221"/>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网民使用在线视频服务</a:t>
            </a:r>
            <a:endParaRPr lang="en-US" altLang="zh-CN" sz="1200" b="1"/>
          </a:p>
          <a:p>
            <a:pPr>
              <a:defRPr sz="1200" b="1"/>
            </a:pPr>
            <a:r>
              <a:rPr lang="zh-CN" altLang="en-US" sz="1200" b="1"/>
              <a:t>人均单日有效浏览时间</a:t>
            </a:r>
          </a:p>
        </c:rich>
      </c:tx>
      <c:layout>
        <c:manualLayout>
          <c:xMode val="edge"/>
          <c:yMode val="edge"/>
          <c:x val="0.22420484382548794"/>
          <c:y val="2.4710800852282055E-2"/>
        </c:manualLayout>
      </c:layout>
      <c:spPr>
        <a:noFill/>
        <a:ln w="25400">
          <a:noFill/>
        </a:ln>
      </c:spPr>
    </c:title>
    <c:plotArea>
      <c:layout>
        <c:manualLayout>
          <c:layoutTarget val="inner"/>
          <c:xMode val="edge"/>
          <c:yMode val="edge"/>
          <c:x val="0.10063834099945428"/>
          <c:y val="0.25794965277777776"/>
          <c:w val="0.85274582261375864"/>
          <c:h val="0.35901875000000022"/>
        </c:manualLayout>
      </c:layout>
      <c:barChart>
        <c:barDir val="col"/>
        <c:grouping val="clustered"/>
        <c:ser>
          <c:idx val="1"/>
          <c:order val="0"/>
          <c:tx>
            <c:strRef>
              <c:f>'02-网络使用粘性'!$A$199</c:f>
              <c:strCache>
                <c:ptCount val="1"/>
                <c:pt idx="0">
                  <c:v>人均单日有效浏览时间(分)</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'02-网络使用粘性'!$C$198:$N$198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'02-网络使用粘性'!$C$199:$N$199</c:f>
              <c:numCache>
                <c:formatCode>0.0</c:formatCode>
                <c:ptCount val="12"/>
                <c:pt idx="0">
                  <c:v>80.433333333333309</c:v>
                </c:pt>
                <c:pt idx="1">
                  <c:v>78.8</c:v>
                </c:pt>
                <c:pt idx="2">
                  <c:v>79.25</c:v>
                </c:pt>
                <c:pt idx="3">
                  <c:v>80.149999999999991</c:v>
                </c:pt>
                <c:pt idx="4">
                  <c:v>76.766666666666666</c:v>
                </c:pt>
                <c:pt idx="5">
                  <c:v>78.633333333333255</c:v>
                </c:pt>
                <c:pt idx="6">
                  <c:v>77.86666666666666</c:v>
                </c:pt>
                <c:pt idx="7">
                  <c:v>79.533333333333289</c:v>
                </c:pt>
                <c:pt idx="8">
                  <c:v>78.766666666666666</c:v>
                </c:pt>
                <c:pt idx="9">
                  <c:v>77.566666666666663</c:v>
                </c:pt>
                <c:pt idx="10">
                  <c:v>80.416666666666728</c:v>
                </c:pt>
                <c:pt idx="11">
                  <c:v>74.433333333333309</c:v>
                </c:pt>
              </c:numCache>
            </c:numRef>
          </c:val>
          <c:extLst xmlns:c16r2="http://schemas.microsoft.com/office/drawing/2015/06/chart">
            <c:ext xmlns:c16="http://schemas.microsoft.com/office/drawing/2014/chart" uri="{C3380CC4-5D6E-409C-BE32-E72D297353CC}">
              <c16:uniqueId val="{00000000-9458-4E57-BC65-050519C6C917}"/>
            </c:ext>
          </c:extLst>
        </c:ser>
        <c:dLbls>
          <c:showVal val="1"/>
        </c:dLbls>
        <c:gapWidth val="60"/>
        <c:axId val="242871296"/>
        <c:axId val="242750208"/>
      </c:barChart>
      <c:lineChart>
        <c:grouping val="standard"/>
        <c:ser>
          <c:idx val="0"/>
          <c:order val="1"/>
          <c:tx>
            <c:strRef>
              <c:f>'02-网络使用粘性'!$A$200</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58-4E57-BC65-050519C6C917}"/>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58-4E57-BC65-050519C6C917}"/>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58-4E57-BC65-050519C6C917}"/>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458-4E57-BC65-050519C6C917}"/>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'02-网络使用粘性'!$C$198:$N$198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'02-网络使用粘性'!$C$200:$N$200</c:f>
              <c:numCache>
                <c:formatCode>0.0%</c:formatCode>
                <c:ptCount val="12"/>
                <c:pt idx="0">
                  <c:v>0.1124942369755649</c:v>
                </c:pt>
                <c:pt idx="1">
                  <c:v>-2.0306672192291868E-2</c:v>
                </c:pt>
                <c:pt idx="2">
                  <c:v>5.7106598984772994E-3</c:v>
                </c:pt>
                <c:pt idx="3">
                  <c:v>1.1356466876971661E-2</c:v>
                </c:pt>
                <c:pt idx="4">
                  <c:v>-4.2212518195051014E-2</c:v>
                </c:pt>
                <c:pt idx="5">
                  <c:v>2.4316109422492398E-2</c:v>
                </c:pt>
                <c:pt idx="6">
                  <c:v>-9.7498940228911684E-3</c:v>
                </c:pt>
                <c:pt idx="7">
                  <c:v>2.1404109589041188E-2</c:v>
                </c:pt>
                <c:pt idx="8">
                  <c:v>-9.6395641240569763E-3</c:v>
                </c:pt>
                <c:pt idx="9">
                  <c:v>-1.5234870926788002E-2</c:v>
                </c:pt>
                <c:pt idx="10">
                  <c:v>3.6742587021916691E-2</c:v>
                </c:pt>
                <c:pt idx="11">
                  <c:v>-7.4404145077720196E-2</c:v>
                </c:pt>
              </c:numCache>
            </c:numRef>
          </c:val>
          <c:extLst xmlns:c16r2="http://schemas.microsoft.com/office/drawing/2015/06/chart">
            <c:ext xmlns:c16="http://schemas.microsoft.com/office/drawing/2014/chart" uri="{C3380CC4-5D6E-409C-BE32-E72D297353CC}">
              <c16:uniqueId val="{00000005-9458-4E57-BC65-050519C6C917}"/>
            </c:ext>
          </c:extLst>
        </c:ser>
        <c:dLbls>
          <c:showVal val="1"/>
        </c:dLbls>
        <c:marker val="1"/>
        <c:axId val="242751360"/>
        <c:axId val="242752896"/>
      </c:lineChart>
      <c:catAx>
        <c:axId val="24287129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750208"/>
        <c:crosses val="autoZero"/>
        <c:lblAlgn val="ctr"/>
        <c:lblOffset val="100"/>
        <c:tickLblSkip val="1"/>
        <c:tickMarkSkip val="1"/>
      </c:catAx>
      <c:valAx>
        <c:axId val="242750208"/>
        <c:scaling>
          <c:orientation val="minMax"/>
          <c:max val="15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871296"/>
        <c:crosses val="autoZero"/>
        <c:crossBetween val="between"/>
        <c:majorUnit val="25"/>
      </c:valAx>
      <c:catAx>
        <c:axId val="242751360"/>
        <c:scaling>
          <c:orientation val="minMax"/>
        </c:scaling>
        <c:delete val="1"/>
        <c:axPos val="b"/>
        <c:numFmt formatCode="General" sourceLinked="1"/>
        <c:tickLblPos val="none"/>
        <c:crossAx val="242752896"/>
        <c:crosses val="autoZero"/>
        <c:lblAlgn val="ctr"/>
        <c:lblOffset val="100"/>
      </c:catAx>
      <c:valAx>
        <c:axId val="242752896"/>
        <c:scaling>
          <c:orientation val="minMax"/>
          <c:max val="0.4"/>
          <c:min val="-2"/>
        </c:scaling>
        <c:axPos val="r"/>
        <c:numFmt formatCode="0.0%" sourceLinked="1"/>
        <c:majorTickMark val="none"/>
        <c:tickLblPos val="none"/>
        <c:spPr>
          <a:ln w="3175">
            <a:noFill/>
            <a:prstDash val="solid"/>
          </a:ln>
        </c:spPr>
        <c:crossAx val="242751360"/>
        <c:crosses val="max"/>
        <c:crossBetween val="between"/>
        <c:majorUnit val="0.29000000000000031"/>
        <c:minorUnit val="0.29000000000000031"/>
      </c:valAx>
      <c:spPr>
        <a:noFill/>
        <a:ln w="12700">
          <a:noFill/>
          <a:prstDash val="solid"/>
        </a:ln>
      </c:spPr>
    </c:plotArea>
    <c:legend>
      <c:legendPos val="r"/>
      <c:layout>
        <c:manualLayout>
          <c:xMode val="edge"/>
          <c:yMode val="edge"/>
          <c:x val="0.11757692947438463"/>
          <c:y val="0.71973888888888926"/>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网民使用在线视频服务</a:t>
            </a:r>
            <a:r>
              <a:rPr lang="zh-CN" altLang="zh-CN" sz="1200" b="1" i="0" u="none" strike="noStrike" baseline="0">
                <a:effectLst/>
              </a:rPr>
              <a:t>人均单次浏览页面</a:t>
            </a:r>
            <a:endParaRPr lang="zh-CN" sz="1200" b="1"/>
          </a:p>
        </c:rich>
      </c:tx>
      <c:layout>
        <c:manualLayout>
          <c:xMode val="edge"/>
          <c:yMode val="edge"/>
          <c:x val="0.13617151321431334"/>
          <c:y val="2.7456441153235131E-2"/>
        </c:manualLayout>
      </c:layout>
      <c:spPr>
        <a:noFill/>
        <a:ln w="25400">
          <a:noFill/>
        </a:ln>
      </c:spPr>
    </c:title>
    <c:plotArea>
      <c:layout>
        <c:manualLayout>
          <c:layoutTarget val="inner"/>
          <c:xMode val="edge"/>
          <c:yMode val="edge"/>
          <c:x val="0.10063834099945428"/>
          <c:y val="0.174149241278615"/>
          <c:w val="0.85274582261375864"/>
          <c:h val="0.44233112536787389"/>
        </c:manualLayout>
      </c:layout>
      <c:barChart>
        <c:barDir val="col"/>
        <c:grouping val="clustered"/>
        <c:ser>
          <c:idx val="1"/>
          <c:order val="0"/>
          <c:tx>
            <c:strRef>
              <c:f>'02-网络使用粘性'!$A$204</c:f>
              <c:strCache>
                <c:ptCount val="1"/>
                <c:pt idx="0">
                  <c:v>人均单次浏览页面(页)</c:v>
                </c:pt>
              </c:strCache>
            </c:strRef>
          </c:tx>
          <c:spPr>
            <a:solidFill>
              <a:srgbClr val="B2D234"/>
            </a:solidFill>
            <a:ln w="12700">
              <a:noFill/>
              <a:prstDash val="solid"/>
            </a:ln>
          </c:spPr>
          <c:dLbls>
            <c:numFmt formatCode="#,##0.00_);[Red]\(#,##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'02-网络使用粘性'!$C$183:$N$183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'02-网络使用粘性'!$C$204:$N$204</c:f>
              <c:numCache>
                <c:formatCode>0.0</c:formatCode>
                <c:ptCount val="12"/>
                <c:pt idx="0">
                  <c:v>2.2599999999999998</c:v>
                </c:pt>
                <c:pt idx="1">
                  <c:v>2.2400000000000002</c:v>
                </c:pt>
                <c:pt idx="2">
                  <c:v>2.2599999999999998</c:v>
                </c:pt>
                <c:pt idx="3">
                  <c:v>2.17</c:v>
                </c:pt>
                <c:pt idx="4">
                  <c:v>2.21</c:v>
                </c:pt>
                <c:pt idx="5">
                  <c:v>2.1800000000000002</c:v>
                </c:pt>
                <c:pt idx="6">
                  <c:v>2.1800000000000002</c:v>
                </c:pt>
                <c:pt idx="7">
                  <c:v>2.2000000000000002</c:v>
                </c:pt>
                <c:pt idx="8">
                  <c:v>2.1800000000000002</c:v>
                </c:pt>
                <c:pt idx="9">
                  <c:v>2.15</c:v>
                </c:pt>
                <c:pt idx="10">
                  <c:v>2.16</c:v>
                </c:pt>
                <c:pt idx="11">
                  <c:v>2.16</c:v>
                </c:pt>
              </c:numCache>
            </c:numRef>
          </c:val>
          <c:extLst xmlns:c16r2="http://schemas.microsoft.com/office/drawing/2015/06/chart">
            <c:ext xmlns:c16="http://schemas.microsoft.com/office/drawing/2014/chart" uri="{C3380CC4-5D6E-409C-BE32-E72D297353CC}">
              <c16:uniqueId val="{00000000-1A7B-433C-BE18-B79D2D757D39}"/>
            </c:ext>
          </c:extLst>
        </c:ser>
        <c:dLbls>
          <c:showVal val="1"/>
        </c:dLbls>
        <c:gapWidth val="60"/>
        <c:axId val="242839936"/>
        <c:axId val="242841472"/>
      </c:barChart>
      <c:lineChart>
        <c:grouping val="standard"/>
        <c:ser>
          <c:idx val="0"/>
          <c:order val="1"/>
          <c:tx>
            <c:strRef>
              <c:f>'02-网络使用粘性'!$A$205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B-433C-BE18-B79D2D757D39}"/>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B-433C-BE18-B79D2D757D39}"/>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B-433C-BE18-B79D2D757D39}"/>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B-433C-BE18-B79D2D757D39}"/>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'02-网络使用粘性'!$C$203:$N$203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'02-网络使用粘性'!$C$205:$N$205</c:f>
              <c:numCache>
                <c:formatCode>0.0%</c:formatCode>
                <c:ptCount val="12"/>
                <c:pt idx="0">
                  <c:v>1.34529147982061E-2</c:v>
                </c:pt>
                <c:pt idx="1">
                  <c:v>-8.8495575221237011E-3</c:v>
                </c:pt>
                <c:pt idx="2">
                  <c:v>8.9285714285711679E-3</c:v>
                </c:pt>
                <c:pt idx="3">
                  <c:v>-3.982300884955748E-2</c:v>
                </c:pt>
                <c:pt idx="4">
                  <c:v>1.8433179723502245E-2</c:v>
                </c:pt>
                <c:pt idx="5">
                  <c:v>-1.357466063348412E-2</c:v>
                </c:pt>
                <c:pt idx="6">
                  <c:v>0</c:v>
                </c:pt>
                <c:pt idx="7">
                  <c:v>9.1743119266054496E-3</c:v>
                </c:pt>
                <c:pt idx="8">
                  <c:v>-9.0909090909091547E-3</c:v>
                </c:pt>
                <c:pt idx="9">
                  <c:v>-1.3761467889908407E-2</c:v>
                </c:pt>
                <c:pt idx="10">
                  <c:v>4.6511627906977776E-3</c:v>
                </c:pt>
                <c:pt idx="11">
                  <c:v>0</c:v>
                </c:pt>
              </c:numCache>
            </c:numRef>
          </c:val>
          <c:extLst xmlns:c16r2="http://schemas.microsoft.com/office/drawing/2015/06/chart">
            <c:ext xmlns:c16="http://schemas.microsoft.com/office/drawing/2014/chart" uri="{C3380CC4-5D6E-409C-BE32-E72D297353CC}">
              <c16:uniqueId val="{00000005-1A7B-433C-BE18-B79D2D757D39}"/>
            </c:ext>
          </c:extLst>
        </c:ser>
        <c:dLbls>
          <c:showVal val="1"/>
        </c:dLbls>
        <c:marker val="1"/>
        <c:axId val="242843008"/>
        <c:axId val="242893952"/>
      </c:lineChart>
      <c:catAx>
        <c:axId val="2428399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2841472"/>
        <c:crosses val="autoZero"/>
        <c:lblAlgn val="ctr"/>
        <c:lblOffset val="100"/>
        <c:tickLblSkip val="1"/>
        <c:tickMarkSkip val="1"/>
      </c:catAx>
      <c:valAx>
        <c:axId val="242841472"/>
        <c:scaling>
          <c:orientation val="minMax"/>
          <c:max val="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839936"/>
        <c:crosses val="autoZero"/>
        <c:crossBetween val="between"/>
        <c:majorUnit val="1"/>
        <c:minorUnit val="1"/>
      </c:valAx>
      <c:catAx>
        <c:axId val="242843008"/>
        <c:scaling>
          <c:orientation val="minMax"/>
        </c:scaling>
        <c:delete val="1"/>
        <c:axPos val="b"/>
        <c:numFmt formatCode="General" sourceLinked="1"/>
        <c:tickLblPos val="none"/>
        <c:crossAx val="242893952"/>
        <c:crosses val="autoZero"/>
        <c:lblAlgn val="ctr"/>
        <c:lblOffset val="100"/>
      </c:catAx>
      <c:valAx>
        <c:axId val="242893952"/>
        <c:scaling>
          <c:orientation val="minMax"/>
          <c:max val="0.5"/>
          <c:min val="-2.5"/>
        </c:scaling>
        <c:axPos val="r"/>
        <c:numFmt formatCode="0.0%" sourceLinked="1"/>
        <c:majorTickMark val="none"/>
        <c:tickLblPos val="none"/>
        <c:spPr>
          <a:ln w="3175">
            <a:noFill/>
            <a:prstDash val="solid"/>
          </a:ln>
        </c:spPr>
        <c:crossAx val="242843008"/>
        <c:crosses val="max"/>
        <c:crossBetween val="between"/>
        <c:majorUnit val="0.29000000000000031"/>
        <c:minorUnit val="0.29000000000000031"/>
      </c:valAx>
      <c:spPr>
        <a:noFill/>
        <a:ln w="12700">
          <a:noFill/>
          <a:prstDash val="solid"/>
        </a:ln>
      </c:spPr>
    </c:plotArea>
    <c:legend>
      <c:legendPos val="r"/>
      <c:layout>
        <c:manualLayout>
          <c:xMode val="edge"/>
          <c:yMode val="edge"/>
          <c:x val="0.11755925648702596"/>
          <c:y val="0.72109027777777823"/>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sz="1200" b="1"/>
              <a:t>2015</a:t>
            </a:r>
            <a:r>
              <a:rPr lang="en-US" altLang="zh-CN" sz="1200" b="1"/>
              <a:t>-</a:t>
            </a:r>
            <a:r>
              <a:rPr lang="en-US" sz="1200" b="1"/>
              <a:t>2017</a:t>
            </a:r>
            <a:r>
              <a:rPr lang="zh-CN" sz="1200" b="1"/>
              <a:t>年</a:t>
            </a:r>
            <a:r>
              <a:rPr lang="zh-CN" altLang="en-US" sz="1200" b="1"/>
              <a:t>陕西省网民婚姻变化情况</a:t>
            </a:r>
            <a:endParaRPr lang="zh-CN" sz="1200" b="1"/>
          </a:p>
        </c:rich>
      </c:tx>
      <c:layout>
        <c:manualLayout>
          <c:xMode val="edge"/>
          <c:yMode val="edge"/>
          <c:x val="0.24595369143213552"/>
          <c:y val="4.0350033423330406E-2"/>
        </c:manualLayout>
      </c:layout>
      <c:spPr>
        <a:noFill/>
        <a:ln w="25400">
          <a:noFill/>
        </a:ln>
      </c:spPr>
    </c:title>
    <c:plotArea>
      <c:layout>
        <c:manualLayout>
          <c:layoutTarget val="inner"/>
          <c:xMode val="edge"/>
          <c:yMode val="edge"/>
          <c:x val="0.1085591330786622"/>
          <c:y val="0.16424883375742189"/>
          <c:w val="0.8448250305345506"/>
          <c:h val="0.39785310442752031"/>
        </c:manualLayout>
      </c:layout>
      <c:barChart>
        <c:barDir val="col"/>
        <c:grouping val="percentStacked"/>
        <c:ser>
          <c:idx val="1"/>
          <c:order val="0"/>
          <c:tx>
            <c:strRef>
              <c:f>'对比分析-2017'!$B$48</c:f>
              <c:strCache>
                <c:ptCount val="1"/>
                <c:pt idx="0">
                  <c:v>未婚</c:v>
                </c:pt>
              </c:strCache>
            </c:strRef>
          </c:tx>
          <c:spPr>
            <a:solidFill>
              <a:srgbClr val="B2D234"/>
            </a:solidFill>
            <a:ln w="12700">
              <a:solidFill>
                <a:srgbClr val="B2D234"/>
              </a:solidFill>
              <a:prstDash val="solid"/>
            </a:ln>
          </c:spPr>
          <c:dLbls>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'对比分析-2017'!$A$49:$A$51</c:f>
              <c:strCache>
                <c:ptCount val="3"/>
                <c:pt idx="0">
                  <c:v>2015年</c:v>
                </c:pt>
                <c:pt idx="1">
                  <c:v>2016年</c:v>
                </c:pt>
                <c:pt idx="2">
                  <c:v>2017年</c:v>
                </c:pt>
              </c:strCache>
            </c:strRef>
          </c:cat>
          <c:val>
            <c:numRef>
              <c:f>'对比分析-2017'!$B$49:$B$51</c:f>
              <c:numCache>
                <c:formatCode>0.00%</c:formatCode>
                <c:ptCount val="3"/>
                <c:pt idx="0">
                  <c:v>0.50800000000000001</c:v>
                </c:pt>
                <c:pt idx="1">
                  <c:v>0.5</c:v>
                </c:pt>
                <c:pt idx="2">
                  <c:v>0.48600000000000027</c:v>
                </c:pt>
              </c:numCache>
            </c:numRef>
          </c:val>
          <c:extLst xmlns:c16r2="http://schemas.microsoft.com/office/drawing/2015/06/chart">
            <c:ext xmlns:c16="http://schemas.microsoft.com/office/drawing/2014/chart" uri="{C3380CC4-5D6E-409C-BE32-E72D297353CC}">
              <c16:uniqueId val="{00000000-949B-4F2E-A85A-6E46E4C2299B}"/>
            </c:ext>
          </c:extLst>
        </c:ser>
        <c:ser>
          <c:idx val="0"/>
          <c:order val="1"/>
          <c:tx>
            <c:strRef>
              <c:f>'对比分析-2017'!$C$48</c:f>
              <c:strCache>
                <c:ptCount val="1"/>
                <c:pt idx="0">
                  <c:v>已婚</c:v>
                </c:pt>
              </c:strCache>
            </c:strRef>
          </c:tx>
          <c:spPr>
            <a:solidFill>
              <a:srgbClr val="1EC8F3"/>
            </a:solidFill>
            <a:ln>
              <a:solidFill>
                <a:srgbClr val="1EC8F3"/>
              </a:solidFill>
            </a:ln>
          </c:spPr>
          <c:dLbls>
            <c:numFmt formatCode="0.0%" sourceLinked="0"/>
            <c:showVal val="1"/>
          </c:dLbls>
          <c:cat>
            <c:strRef>
              <c:f>'对比分析-2017'!$A$49:$A$51</c:f>
              <c:strCache>
                <c:ptCount val="3"/>
                <c:pt idx="0">
                  <c:v>2015年</c:v>
                </c:pt>
                <c:pt idx="1">
                  <c:v>2016年</c:v>
                </c:pt>
                <c:pt idx="2">
                  <c:v>2017年</c:v>
                </c:pt>
              </c:strCache>
            </c:strRef>
          </c:cat>
          <c:val>
            <c:numRef>
              <c:f>'对比分析-2017'!$C$49:$C$51</c:f>
              <c:numCache>
                <c:formatCode>0.00%</c:formatCode>
                <c:ptCount val="3"/>
                <c:pt idx="0">
                  <c:v>0.49200000000000027</c:v>
                </c:pt>
                <c:pt idx="1">
                  <c:v>0.5</c:v>
                </c:pt>
                <c:pt idx="2">
                  <c:v>0.51400000000000001</c:v>
                </c:pt>
              </c:numCache>
            </c:numRef>
          </c:val>
        </c:ser>
        <c:gapWidth val="60"/>
        <c:overlap val="100"/>
        <c:axId val="251059200"/>
        <c:axId val="252203776"/>
      </c:barChart>
      <c:catAx>
        <c:axId val="25105920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2203776"/>
        <c:crosses val="autoZero"/>
        <c:lblAlgn val="ctr"/>
        <c:lblOffset val="100"/>
        <c:tickLblSkip val="1"/>
        <c:tickMarkSkip val="1"/>
      </c:catAx>
      <c:valAx>
        <c:axId val="252203776"/>
        <c:scaling>
          <c:orientation val="minMax"/>
          <c:max val="1"/>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1059200"/>
        <c:crosses val="autoZero"/>
        <c:crossBetween val="between"/>
        <c:majorUnit val="0.2"/>
        <c:minorUnit val="0.1"/>
      </c:valAx>
      <c:spPr>
        <a:noFill/>
        <a:ln w="12700">
          <a:solidFill>
            <a:schemeClr val="bg1">
              <a:lumMod val="50000"/>
            </a:schemeClr>
          </a:solidFill>
          <a:prstDash val="solid"/>
        </a:ln>
      </c:spPr>
    </c:plotArea>
    <c:legend>
      <c:legendPos val="r"/>
      <c:layout>
        <c:manualLayout>
          <c:xMode val="edge"/>
          <c:yMode val="edge"/>
          <c:x val="9.9046074686208782E-2"/>
          <c:y val="0.65431525579699445"/>
          <c:w val="0.82702653257451808"/>
          <c:h val="6.3650869380831199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网民使用的主要在线视频网站</a:t>
            </a:r>
            <a:endParaRPr lang="en-US" altLang="zh-CN" sz="1200">
              <a:latin typeface="微软雅黑" panose="020B0503020204020204" pitchFamily="34" charset="-122"/>
              <a:ea typeface="微软雅黑" panose="020B0503020204020204" pitchFamily="34" charset="-122"/>
            </a:endParaRPr>
          </a:p>
        </c:rich>
      </c:tx>
      <c:layout>
        <c:manualLayout>
          <c:xMode val="edge"/>
          <c:yMode val="edge"/>
          <c:x val="0.17344940401767131"/>
          <c:y val="3.8770603674540681E-2"/>
        </c:manualLayout>
      </c:layout>
    </c:title>
    <c:plotArea>
      <c:layout>
        <c:manualLayout>
          <c:layoutTarget val="inner"/>
          <c:xMode val="edge"/>
          <c:yMode val="edge"/>
          <c:x val="0.33560311709746127"/>
          <c:y val="0.14580535115730206"/>
          <c:w val="0.55963858684331125"/>
          <c:h val="0.49255798611111112"/>
        </c:manualLayout>
      </c:layout>
      <c:barChart>
        <c:barDir val="bar"/>
        <c:grouping val="clustered"/>
        <c:ser>
          <c:idx val="1"/>
          <c:order val="0"/>
          <c:tx>
            <c:strRef>
              <c:f>'02-网络使用粘性'!$C$240</c:f>
              <c:strCache>
                <c:ptCount val="1"/>
                <c:pt idx="0">
                  <c:v>月度覆盖比例</c:v>
                </c:pt>
              </c:strCache>
            </c:strRef>
          </c:tx>
          <c:spPr>
            <a:solidFill>
              <a:srgbClr val="B2D234"/>
            </a:solidFill>
            <a:ln w="12700">
              <a:noFill/>
            </a:ln>
          </c:spPr>
          <c:dLbls>
            <c:numFmt formatCode="0.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'02-网络使用粘性'!$B$241:$B$250</c:f>
              <c:strCache>
                <c:ptCount val="10"/>
                <c:pt idx="0">
                  <c:v>中国网络电视台 [在线电视台]</c:v>
                </c:pt>
                <c:pt idx="1">
                  <c:v>凤凰网 [综合视频]</c:v>
                </c:pt>
                <c:pt idx="2">
                  <c:v>央视网 [在线电视台]</c:v>
                </c:pt>
                <c:pt idx="3">
                  <c:v>PPTV聚力 [网络电视]</c:v>
                </c:pt>
                <c:pt idx="4">
                  <c:v>芒果TV [宽频影视]</c:v>
                </c:pt>
                <c:pt idx="5">
                  <c:v>风行 [网络电视]</c:v>
                </c:pt>
                <c:pt idx="6">
                  <c:v>搜狐 [综合视频]</c:v>
                </c:pt>
                <c:pt idx="7">
                  <c:v>腾讯 [综合视频]</c:v>
                </c:pt>
                <c:pt idx="8">
                  <c:v>优酷 [综合视频]</c:v>
                </c:pt>
                <c:pt idx="9">
                  <c:v>爱奇艺 [宽频影视]</c:v>
                </c:pt>
              </c:strCache>
            </c:strRef>
          </c:cat>
          <c:val>
            <c:numRef>
              <c:f>'02-网络使用粘性'!$C$241:$C$250</c:f>
              <c:numCache>
                <c:formatCode>0.00%</c:formatCode>
                <c:ptCount val="10"/>
                <c:pt idx="0">
                  <c:v>8.3600000000000091E-2</c:v>
                </c:pt>
                <c:pt idx="1">
                  <c:v>0.1283</c:v>
                </c:pt>
                <c:pt idx="2">
                  <c:v>0.13189999999999999</c:v>
                </c:pt>
                <c:pt idx="3">
                  <c:v>0.18730000000000011</c:v>
                </c:pt>
                <c:pt idx="4">
                  <c:v>0.2744000000000002</c:v>
                </c:pt>
                <c:pt idx="5">
                  <c:v>0.2986000000000002</c:v>
                </c:pt>
                <c:pt idx="6">
                  <c:v>0.31690000000000035</c:v>
                </c:pt>
                <c:pt idx="7">
                  <c:v>0.44130000000000008</c:v>
                </c:pt>
                <c:pt idx="8">
                  <c:v>0.45190000000000002</c:v>
                </c:pt>
                <c:pt idx="9">
                  <c:v>0.46010000000000001</c:v>
                </c:pt>
              </c:numCache>
            </c:numRef>
          </c:val>
          <c:extLst xmlns:c16r2="http://schemas.microsoft.com/office/drawing/2015/06/chart">
            <c:ext xmlns:c16="http://schemas.microsoft.com/office/drawing/2014/chart" uri="{C3380CC4-5D6E-409C-BE32-E72D297353CC}">
              <c16:uniqueId val="{00000000-F2CF-4E44-9DDD-618AC2A3927C}"/>
            </c:ext>
          </c:extLst>
        </c:ser>
        <c:dLbls>
          <c:showVal val="1"/>
        </c:dLbls>
        <c:gapWidth val="60"/>
        <c:axId val="242909568"/>
        <c:axId val="242912256"/>
      </c:barChart>
      <c:catAx>
        <c:axId val="242909568"/>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42912256"/>
        <c:crosses val="autoZero"/>
        <c:auto val="1"/>
        <c:lblAlgn val="ctr"/>
        <c:lblOffset val="100"/>
      </c:catAx>
      <c:valAx>
        <c:axId val="242912256"/>
        <c:scaling>
          <c:orientation val="minMax"/>
          <c:max val="0.5"/>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42909568"/>
        <c:crosses val="autoZero"/>
        <c:crossBetween val="between"/>
        <c:majorUnit val="0.1"/>
        <c:minorUnit val="1.0000000000000005E-2"/>
      </c:valAx>
      <c:spPr>
        <a:ln>
          <a:noFill/>
        </a:ln>
      </c:spPr>
    </c:plotArea>
    <c:legend>
      <c:legendPos val="b"/>
      <c:layout>
        <c:manualLayout>
          <c:xMode val="edge"/>
          <c:yMode val="edge"/>
          <c:x val="0.23684379428190391"/>
          <c:y val="0.71513888888888921"/>
          <c:w val="0.58330020005001249"/>
          <c:h val="5.4848031496063022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使用新闻资讯服务网民月度覆盖比例</a:t>
            </a:r>
            <a:endParaRPr lang="zh-CN" sz="1200" b="1"/>
          </a:p>
        </c:rich>
      </c:tx>
      <c:layout>
        <c:manualLayout>
          <c:xMode val="edge"/>
          <c:yMode val="edge"/>
          <c:x val="0.1757754736103532"/>
          <c:y val="3.5682769383556801E-2"/>
        </c:manualLayout>
      </c:layout>
      <c:spPr>
        <a:noFill/>
        <a:ln w="25400">
          <a:noFill/>
        </a:ln>
      </c:spPr>
    </c:title>
    <c:plotArea>
      <c:layout>
        <c:manualLayout>
          <c:layoutTarget val="inner"/>
          <c:xMode val="edge"/>
          <c:yMode val="edge"/>
          <c:x val="0.10063834099945428"/>
          <c:y val="0.19761319444444456"/>
          <c:w val="0.85274582261375864"/>
          <c:h val="0.42075486111111132"/>
        </c:manualLayout>
      </c:layout>
      <c:areaChart>
        <c:grouping val="standard"/>
        <c:ser>
          <c:idx val="1"/>
          <c:order val="0"/>
          <c:tx>
            <c:strRef>
              <c:f>'02-网络使用粘性'!$A$272</c:f>
              <c:strCache>
                <c:ptCount val="1"/>
                <c:pt idx="0">
                  <c:v>月度覆盖比例</c:v>
                </c:pt>
              </c:strCache>
            </c:strRef>
          </c:tx>
          <c:spPr>
            <a:solidFill>
              <a:srgbClr val="B2D234"/>
            </a:solidFill>
            <a:ln w="12700">
              <a:noFill/>
              <a:prstDash val="solid"/>
            </a:ln>
          </c:spPr>
          <c:dLbls>
            <c:dLbl>
              <c:idx val="0"/>
              <c:delete val="1"/>
            </c:dLbl>
            <c:dLbl>
              <c:idx val="1"/>
              <c:layout>
                <c:manualLayout>
                  <c:x val="0"/>
                  <c:y val="-0.15875000000000011"/>
                </c:manualLayout>
              </c:layout>
              <c:showVal val="1"/>
            </c:dLbl>
            <c:dLbl>
              <c:idx val="2"/>
              <c:delete val="1"/>
            </c:dLbl>
            <c:dLbl>
              <c:idx val="3"/>
              <c:layout>
                <c:manualLayout>
                  <c:x val="0"/>
                  <c:y val="-0.18079861111111128"/>
                </c:manualLayout>
              </c:layout>
              <c:showVal val="1"/>
            </c:dLbl>
            <c:dLbl>
              <c:idx val="4"/>
              <c:delete val="1"/>
            </c:dLbl>
            <c:dLbl>
              <c:idx val="5"/>
              <c:layout>
                <c:manualLayout>
                  <c:x val="0"/>
                  <c:y val="-0.19843750000000004"/>
                </c:manualLayout>
              </c:layout>
              <c:showVal val="1"/>
            </c:dLbl>
            <c:dLbl>
              <c:idx val="6"/>
              <c:delete val="1"/>
            </c:dLbl>
            <c:dLbl>
              <c:idx val="7"/>
              <c:layout>
                <c:manualLayout>
                  <c:x val="-5.2811044577511703E-3"/>
                  <c:y val="-0.2116666666666667"/>
                </c:manualLayout>
              </c:layout>
              <c:showVal val="1"/>
            </c:dLbl>
            <c:dLbl>
              <c:idx val="8"/>
              <c:delete val="1"/>
            </c:dLbl>
            <c:dLbl>
              <c:idx val="9"/>
              <c:layout>
                <c:manualLayout>
                  <c:x val="-5.2811044577511703E-3"/>
                  <c:y val="-0.17197916666666671"/>
                </c:manualLayout>
              </c:layout>
              <c:showVal val="1"/>
            </c:dLbl>
            <c:dLbl>
              <c:idx val="10"/>
              <c:delete val="1"/>
            </c:dLbl>
            <c:dLbl>
              <c:idx val="11"/>
              <c:layout>
                <c:manualLayout>
                  <c:x val="-1.3202761144377925E-2"/>
                  <c:y val="-0.15434027777777792"/>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'02-网络使用粘性'!$C$271:$N$271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'02-网络使用粘性'!$C$272:$N$272</c:f>
              <c:numCache>
                <c:formatCode>0.00%</c:formatCode>
                <c:ptCount val="12"/>
                <c:pt idx="0">
                  <c:v>0.87339999999999995</c:v>
                </c:pt>
                <c:pt idx="1">
                  <c:v>0.84550000000000003</c:v>
                </c:pt>
                <c:pt idx="2">
                  <c:v>0.87270000000000059</c:v>
                </c:pt>
                <c:pt idx="3">
                  <c:v>0.8653000000000004</c:v>
                </c:pt>
                <c:pt idx="4">
                  <c:v>0.88639999999999997</c:v>
                </c:pt>
                <c:pt idx="5">
                  <c:v>0.89559999999999951</c:v>
                </c:pt>
                <c:pt idx="6">
                  <c:v>0.91490000000000005</c:v>
                </c:pt>
                <c:pt idx="7">
                  <c:v>0.91649999999999998</c:v>
                </c:pt>
                <c:pt idx="8">
                  <c:v>0.88009999999999999</c:v>
                </c:pt>
                <c:pt idx="9">
                  <c:v>0.8676000000000007</c:v>
                </c:pt>
                <c:pt idx="10">
                  <c:v>0.85260000000000058</c:v>
                </c:pt>
                <c:pt idx="11">
                  <c:v>0.86040000000000005</c:v>
                </c:pt>
              </c:numCache>
            </c:numRef>
          </c:val>
          <c:extLst xmlns:c16r2="http://schemas.microsoft.com/office/drawing/2015/06/chart">
            <c:ext xmlns:c16="http://schemas.microsoft.com/office/drawing/2014/chart" uri="{C3380CC4-5D6E-409C-BE32-E72D297353CC}">
              <c16:uniqueId val="{00000000-B266-4439-B928-F91F5AAD8BE1}"/>
            </c:ext>
          </c:extLst>
        </c:ser>
        <c:dLbls>
          <c:showVal val="1"/>
        </c:dLbls>
        <c:axId val="242916736"/>
        <c:axId val="243008640"/>
      </c:areaChart>
      <c:catAx>
        <c:axId val="2429167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008640"/>
        <c:crosses val="autoZero"/>
        <c:lblAlgn val="ctr"/>
        <c:lblOffset val="100"/>
      </c:catAx>
      <c:valAx>
        <c:axId val="243008640"/>
        <c:scaling>
          <c:orientation val="minMax"/>
          <c:max val="1"/>
          <c:min val="0.60000000000000053"/>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2916736"/>
        <c:crosses val="autoZero"/>
        <c:crossBetween val="midCat"/>
        <c:majorUnit val="0.1"/>
        <c:minorUnit val="1.0000000000000005E-2"/>
      </c:valAx>
      <c:spPr>
        <a:noFill/>
        <a:ln w="12700">
          <a:noFill/>
          <a:prstDash val="solid"/>
        </a:ln>
      </c:spPr>
    </c:plotArea>
    <c:legend>
      <c:legendPos val="r"/>
      <c:layout>
        <c:manualLayout>
          <c:xMode val="edge"/>
          <c:yMode val="edge"/>
          <c:x val="0.11488855622089149"/>
          <c:y val="0.71444583333333433"/>
          <c:w val="0.8085354291417165"/>
          <c:h val="7.2559374999999995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网民使用新闻资讯服务人均月度访问天数</a:t>
            </a:r>
            <a:endParaRPr lang="zh-CN" sz="1200" b="1"/>
          </a:p>
        </c:rich>
      </c:tx>
      <c:layout>
        <c:manualLayout>
          <c:xMode val="edge"/>
          <c:yMode val="edge"/>
          <c:x val="0.11225195442448439"/>
          <c:y val="2.7610069444444451E-2"/>
        </c:manualLayout>
      </c:layout>
      <c:spPr>
        <a:noFill/>
        <a:ln w="25400">
          <a:noFill/>
        </a:ln>
      </c:spPr>
    </c:title>
    <c:plotArea>
      <c:layout>
        <c:manualLayout>
          <c:layoutTarget val="inner"/>
          <c:xMode val="edge"/>
          <c:yMode val="edge"/>
          <c:x val="0.10063834099945428"/>
          <c:y val="0.19117848956663233"/>
          <c:w val="0.85274582261375864"/>
          <c:h val="0.42075486111111132"/>
        </c:manualLayout>
      </c:layout>
      <c:barChart>
        <c:barDir val="col"/>
        <c:grouping val="clustered"/>
        <c:ser>
          <c:idx val="1"/>
          <c:order val="0"/>
          <c:tx>
            <c:strRef>
              <c:f>'02-网络使用粘性'!$A$277</c:f>
              <c:strCache>
                <c:ptCount val="1"/>
                <c:pt idx="0">
                  <c:v>人均月度访问天数(天)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'02-网络使用粘性'!$C$276:$N$276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'02-网络使用粘性'!$C$277:$N$277</c:f>
              <c:numCache>
                <c:formatCode>General</c:formatCode>
                <c:ptCount val="12"/>
                <c:pt idx="0">
                  <c:v>5.37</c:v>
                </c:pt>
                <c:pt idx="1">
                  <c:v>5.59</c:v>
                </c:pt>
                <c:pt idx="2">
                  <c:v>6.55</c:v>
                </c:pt>
                <c:pt idx="3">
                  <c:v>5.74</c:v>
                </c:pt>
                <c:pt idx="4">
                  <c:v>6.33</c:v>
                </c:pt>
                <c:pt idx="5">
                  <c:v>6.39</c:v>
                </c:pt>
                <c:pt idx="6">
                  <c:v>6.4300000000000024</c:v>
                </c:pt>
                <c:pt idx="7">
                  <c:v>6.89</c:v>
                </c:pt>
                <c:pt idx="8">
                  <c:v>6.3</c:v>
                </c:pt>
                <c:pt idx="9">
                  <c:v>6.03</c:v>
                </c:pt>
                <c:pt idx="10">
                  <c:v>6.37</c:v>
                </c:pt>
                <c:pt idx="11">
                  <c:v>6.26</c:v>
                </c:pt>
              </c:numCache>
            </c:numRef>
          </c:val>
          <c:extLst xmlns:c16r2="http://schemas.microsoft.com/office/drawing/2015/06/chart">
            <c:ext xmlns:c16="http://schemas.microsoft.com/office/drawing/2014/chart" uri="{C3380CC4-5D6E-409C-BE32-E72D297353CC}">
              <c16:uniqueId val="{00000000-3414-4F1D-9CAC-6F38D0DF292B}"/>
            </c:ext>
          </c:extLst>
        </c:ser>
        <c:dLbls>
          <c:showVal val="1"/>
        </c:dLbls>
        <c:gapWidth val="60"/>
        <c:axId val="243214208"/>
        <c:axId val="243215744"/>
      </c:barChart>
      <c:lineChart>
        <c:grouping val="standard"/>
        <c:ser>
          <c:idx val="0"/>
          <c:order val="1"/>
          <c:tx>
            <c:strRef>
              <c:f>'02-网络使用粘性'!$A$278</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14-4F1D-9CAC-6F38D0DF292B}"/>
                </c:ext>
              </c:extLst>
            </c:dLbl>
            <c:dLbl>
              <c:idx val="1"/>
              <c:layout>
                <c:manualLayout>
                  <c:x val="-6.3497957822789081E-2"/>
                  <c:y val="-4.300022155856557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14-4F1D-9CAC-6F38D0DF292B}"/>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14-4F1D-9CAC-6F38D0DF292B}"/>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14-4F1D-9CAC-6F38D0DF292B}"/>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'02-网络使用粘性'!$C$276:$N$276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'02-网络使用粘性'!$C$278:$N$278</c:f>
              <c:numCache>
                <c:formatCode>0.0%</c:formatCode>
                <c:ptCount val="12"/>
                <c:pt idx="0">
                  <c:v>-0.13247172859450718</c:v>
                </c:pt>
                <c:pt idx="1">
                  <c:v>4.0968342644320116E-2</c:v>
                </c:pt>
                <c:pt idx="2">
                  <c:v>0.17173524150268352</c:v>
                </c:pt>
                <c:pt idx="3">
                  <c:v>-0.1236641221374046</c:v>
                </c:pt>
                <c:pt idx="4">
                  <c:v>0.10278745644599296</c:v>
                </c:pt>
                <c:pt idx="5">
                  <c:v>9.4786729857818663E-3</c:v>
                </c:pt>
                <c:pt idx="6">
                  <c:v>6.2597809076683263E-3</c:v>
                </c:pt>
                <c:pt idx="7">
                  <c:v>7.153965785381039E-2</c:v>
                </c:pt>
                <c:pt idx="8">
                  <c:v>-8.5631349782293323E-2</c:v>
                </c:pt>
                <c:pt idx="9">
                  <c:v>-4.2857142857142823E-2</c:v>
                </c:pt>
                <c:pt idx="10">
                  <c:v>5.6384742951907103E-2</c:v>
                </c:pt>
                <c:pt idx="11">
                  <c:v>-1.7268445839874413E-2</c:v>
                </c:pt>
              </c:numCache>
            </c:numRef>
          </c:val>
          <c:extLst xmlns:c16r2="http://schemas.microsoft.com/office/drawing/2015/06/chart">
            <c:ext xmlns:c16="http://schemas.microsoft.com/office/drawing/2014/chart" uri="{C3380CC4-5D6E-409C-BE32-E72D297353CC}">
              <c16:uniqueId val="{00000005-3414-4F1D-9CAC-6F38D0DF292B}"/>
            </c:ext>
          </c:extLst>
        </c:ser>
        <c:dLbls>
          <c:showVal val="1"/>
        </c:dLbls>
        <c:marker val="1"/>
        <c:axId val="243229824"/>
        <c:axId val="243231360"/>
      </c:lineChart>
      <c:catAx>
        <c:axId val="24321420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215744"/>
        <c:crosses val="autoZero"/>
        <c:lblAlgn val="ctr"/>
        <c:lblOffset val="100"/>
        <c:tickLblSkip val="1"/>
        <c:tickMarkSkip val="1"/>
      </c:catAx>
      <c:valAx>
        <c:axId val="243215744"/>
        <c:scaling>
          <c:orientation val="minMax"/>
          <c:max val="12"/>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214208"/>
        <c:crosses val="autoZero"/>
        <c:crossBetween val="between"/>
        <c:majorUnit val="4"/>
      </c:valAx>
      <c:catAx>
        <c:axId val="243229824"/>
        <c:scaling>
          <c:orientation val="minMax"/>
        </c:scaling>
        <c:delete val="1"/>
        <c:axPos val="b"/>
        <c:numFmt formatCode="General" sourceLinked="1"/>
        <c:tickLblPos val="none"/>
        <c:crossAx val="243231360"/>
        <c:crosses val="autoZero"/>
        <c:lblAlgn val="ctr"/>
        <c:lblOffset val="100"/>
      </c:catAx>
      <c:valAx>
        <c:axId val="243231360"/>
        <c:scaling>
          <c:orientation val="minMax"/>
          <c:max val="0.30000000000000027"/>
          <c:min val="-1.7"/>
        </c:scaling>
        <c:axPos val="r"/>
        <c:numFmt formatCode="0.0%" sourceLinked="1"/>
        <c:majorTickMark val="none"/>
        <c:tickLblPos val="none"/>
        <c:spPr>
          <a:ln w="3175">
            <a:noFill/>
            <a:prstDash val="solid"/>
          </a:ln>
        </c:spPr>
        <c:crossAx val="243229824"/>
        <c:crosses val="max"/>
        <c:crossBetween val="between"/>
        <c:majorUnit val="0.29000000000000031"/>
        <c:minorUnit val="0.29000000000000031"/>
      </c:valAx>
      <c:spPr>
        <a:noFill/>
        <a:ln w="12700">
          <a:noFill/>
          <a:prstDash val="solid"/>
        </a:ln>
      </c:spPr>
    </c:plotArea>
    <c:legend>
      <c:legendPos val="r"/>
      <c:layout>
        <c:manualLayout>
          <c:xMode val="edge"/>
          <c:yMode val="edge"/>
          <c:x val="0.10697320163374177"/>
          <c:y val="0.70542048611111152"/>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网民使用新闻资讯服务人均月度访问次数</a:t>
            </a:r>
            <a:endParaRPr lang="zh-CN" sz="1200" b="1"/>
          </a:p>
        </c:rich>
      </c:tx>
      <c:layout>
        <c:manualLayout>
          <c:xMode val="edge"/>
          <c:yMode val="edge"/>
          <c:x val="0.12307925815036594"/>
          <c:y val="2.4592708333333334E-2"/>
        </c:manualLayout>
      </c:layout>
      <c:spPr>
        <a:noFill/>
        <a:ln w="25400">
          <a:noFill/>
        </a:ln>
      </c:spPr>
    </c:title>
    <c:plotArea>
      <c:layout>
        <c:manualLayout>
          <c:layoutTarget val="inner"/>
          <c:xMode val="edge"/>
          <c:yMode val="edge"/>
          <c:x val="0.10327860502585692"/>
          <c:y val="0.18738072228589481"/>
          <c:w val="0.85274582261375864"/>
          <c:h val="0.42075486111111132"/>
        </c:manualLayout>
      </c:layout>
      <c:barChart>
        <c:barDir val="col"/>
        <c:grouping val="clustered"/>
        <c:ser>
          <c:idx val="1"/>
          <c:order val="0"/>
          <c:tx>
            <c:strRef>
              <c:f>'02-网络使用粘性'!$A$282</c:f>
              <c:strCache>
                <c:ptCount val="1"/>
                <c:pt idx="0">
                  <c:v>人均月度访问次数(次)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'02-网络使用粘性'!$C$281:$N$281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'02-网络使用粘性'!$C$282:$N$282</c:f>
              <c:numCache>
                <c:formatCode>0.0</c:formatCode>
                <c:ptCount val="12"/>
                <c:pt idx="0">
                  <c:v>13.25</c:v>
                </c:pt>
                <c:pt idx="1">
                  <c:v>14.62</c:v>
                </c:pt>
                <c:pt idx="2">
                  <c:v>17.809999999999999</c:v>
                </c:pt>
                <c:pt idx="3">
                  <c:v>14.23</c:v>
                </c:pt>
                <c:pt idx="4">
                  <c:v>15.19</c:v>
                </c:pt>
                <c:pt idx="5">
                  <c:v>16.600000000000001</c:v>
                </c:pt>
                <c:pt idx="6">
                  <c:v>16.670000000000005</c:v>
                </c:pt>
                <c:pt idx="7">
                  <c:v>18.97</c:v>
                </c:pt>
                <c:pt idx="8">
                  <c:v>17.45</c:v>
                </c:pt>
                <c:pt idx="9">
                  <c:v>15.8</c:v>
                </c:pt>
                <c:pt idx="10">
                  <c:v>17.479999999999986</c:v>
                </c:pt>
                <c:pt idx="11">
                  <c:v>16.75</c:v>
                </c:pt>
              </c:numCache>
            </c:numRef>
          </c:val>
          <c:extLst xmlns:c16r2="http://schemas.microsoft.com/office/drawing/2015/06/chart">
            <c:ext xmlns:c16="http://schemas.microsoft.com/office/drawing/2014/chart" uri="{C3380CC4-5D6E-409C-BE32-E72D297353CC}">
              <c16:uniqueId val="{00000000-7181-4146-9997-48079F60DED4}"/>
            </c:ext>
          </c:extLst>
        </c:ser>
        <c:dLbls>
          <c:showVal val="1"/>
        </c:dLbls>
        <c:gapWidth val="60"/>
        <c:axId val="243248512"/>
        <c:axId val="243086464"/>
      </c:barChart>
      <c:lineChart>
        <c:grouping val="standard"/>
        <c:ser>
          <c:idx val="0"/>
          <c:order val="1"/>
          <c:tx>
            <c:strRef>
              <c:f>'02-网络使用粘性'!$A$283</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81-4146-9997-48079F60DED4}"/>
                </c:ext>
              </c:extLst>
            </c:dLbl>
            <c:dLbl>
              <c:idx val="1"/>
              <c:layout>
                <c:manualLayout>
                  <c:x val="-6.614466116529133E-2"/>
                  <c:y val="-5.21322163496686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81-4146-9997-48079F60DED4}"/>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81-4146-9997-48079F60DED4}"/>
                </c:ext>
              </c:extLst>
            </c:dLbl>
            <c:dLbl>
              <c:idx val="3"/>
              <c:layout>
                <c:manualLayout>
                  <c:x val="-4.8514123853330288E-2"/>
                  <c:y val="-5.631815890563349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181-4146-9997-48079F60DED4}"/>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'02-网络使用粘性'!$C$281:$N$281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'02-网络使用粘性'!$C$283:$N$283</c:f>
              <c:numCache>
                <c:formatCode>0.0%</c:formatCode>
                <c:ptCount val="12"/>
                <c:pt idx="0">
                  <c:v>-0.13793103448275873</c:v>
                </c:pt>
                <c:pt idx="1">
                  <c:v>0.10339622641509436</c:v>
                </c:pt>
                <c:pt idx="2">
                  <c:v>0.21819425444596474</c:v>
                </c:pt>
                <c:pt idx="3">
                  <c:v>-0.20101066816395272</c:v>
                </c:pt>
                <c:pt idx="4">
                  <c:v>6.7463106113844012E-2</c:v>
                </c:pt>
                <c:pt idx="5">
                  <c:v>9.2824226464779711E-2</c:v>
                </c:pt>
                <c:pt idx="6">
                  <c:v>4.2168674698794834E-3</c:v>
                </c:pt>
                <c:pt idx="7">
                  <c:v>0.13797240551889611</c:v>
                </c:pt>
                <c:pt idx="8">
                  <c:v>-8.0126515550869942E-2</c:v>
                </c:pt>
                <c:pt idx="9">
                  <c:v>-9.4555873925501494E-2</c:v>
                </c:pt>
                <c:pt idx="10">
                  <c:v>0.10632911392405053</c:v>
                </c:pt>
                <c:pt idx="11">
                  <c:v>-4.1762013729977121E-2</c:v>
                </c:pt>
              </c:numCache>
            </c:numRef>
          </c:val>
          <c:extLst xmlns:c16r2="http://schemas.microsoft.com/office/drawing/2015/06/chart">
            <c:ext xmlns:c16="http://schemas.microsoft.com/office/drawing/2014/chart" uri="{C3380CC4-5D6E-409C-BE32-E72D297353CC}">
              <c16:uniqueId val="{00000005-7181-4146-9997-48079F60DED4}"/>
            </c:ext>
          </c:extLst>
        </c:ser>
        <c:dLbls>
          <c:showVal val="1"/>
        </c:dLbls>
        <c:marker val="1"/>
        <c:axId val="243088000"/>
        <c:axId val="243093888"/>
      </c:lineChart>
      <c:catAx>
        <c:axId val="2432485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086464"/>
        <c:crosses val="autoZero"/>
        <c:lblAlgn val="ctr"/>
        <c:lblOffset val="100"/>
        <c:tickLblSkip val="1"/>
        <c:tickMarkSkip val="1"/>
      </c:catAx>
      <c:valAx>
        <c:axId val="243086464"/>
        <c:scaling>
          <c:orientation val="minMax"/>
          <c:max val="3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248512"/>
        <c:crosses val="autoZero"/>
        <c:crossBetween val="between"/>
        <c:majorUnit val="10"/>
      </c:valAx>
      <c:catAx>
        <c:axId val="243088000"/>
        <c:scaling>
          <c:orientation val="minMax"/>
        </c:scaling>
        <c:delete val="1"/>
        <c:axPos val="b"/>
        <c:numFmt formatCode="General" sourceLinked="1"/>
        <c:tickLblPos val="none"/>
        <c:crossAx val="243093888"/>
        <c:crosses val="autoZero"/>
        <c:lblAlgn val="ctr"/>
        <c:lblOffset val="100"/>
      </c:catAx>
      <c:valAx>
        <c:axId val="243093888"/>
        <c:scaling>
          <c:orientation val="minMax"/>
          <c:max val="0.4"/>
          <c:min val="-1.7"/>
        </c:scaling>
        <c:axPos val="r"/>
        <c:numFmt formatCode="0.0%" sourceLinked="1"/>
        <c:majorTickMark val="none"/>
        <c:tickLblPos val="none"/>
        <c:spPr>
          <a:ln w="3175">
            <a:noFill/>
            <a:prstDash val="solid"/>
          </a:ln>
        </c:spPr>
        <c:crossAx val="243088000"/>
        <c:crosses val="max"/>
        <c:crossBetween val="between"/>
        <c:majorUnit val="0.29000000000000031"/>
        <c:minorUnit val="0.29000000000000031"/>
      </c:valAx>
      <c:spPr>
        <a:noFill/>
        <a:ln w="12700">
          <a:noFill/>
          <a:prstDash val="solid"/>
        </a:ln>
      </c:spPr>
    </c:plotArea>
    <c:legend>
      <c:legendPos val="r"/>
      <c:layout>
        <c:manualLayout>
          <c:xMode val="edge"/>
          <c:yMode val="edge"/>
          <c:x val="0.12017007651363952"/>
          <c:y val="0.70790312500000008"/>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网民使用新闻资讯服务</a:t>
            </a:r>
            <a:endParaRPr lang="en-US" altLang="zh-CN" sz="1200" b="1"/>
          </a:p>
          <a:p>
            <a:pPr>
              <a:defRPr sz="1200" b="1"/>
            </a:pPr>
            <a:r>
              <a:rPr lang="zh-CN" altLang="en-US" sz="1200" b="1"/>
              <a:t>人均单日有效浏览时间</a:t>
            </a:r>
          </a:p>
        </c:rich>
      </c:tx>
      <c:layout>
        <c:manualLayout>
          <c:xMode val="edge"/>
          <c:yMode val="edge"/>
          <c:x val="0.2235237857618097"/>
          <c:y val="1.8688541666666687E-2"/>
        </c:manualLayout>
      </c:layout>
      <c:spPr>
        <a:noFill/>
        <a:ln w="25400">
          <a:noFill/>
        </a:ln>
      </c:spPr>
    </c:title>
    <c:plotArea>
      <c:layout>
        <c:manualLayout>
          <c:layoutTarget val="inner"/>
          <c:xMode val="edge"/>
          <c:yMode val="edge"/>
          <c:x val="0.10063834099945428"/>
          <c:y val="0.25794965277777776"/>
          <c:w val="0.85274582261375864"/>
          <c:h val="0.35901875000000022"/>
        </c:manualLayout>
      </c:layout>
      <c:barChart>
        <c:barDir val="col"/>
        <c:grouping val="clustered"/>
        <c:ser>
          <c:idx val="1"/>
          <c:order val="0"/>
          <c:tx>
            <c:strRef>
              <c:f>'02-网络使用粘性'!$A$287</c:f>
              <c:strCache>
                <c:ptCount val="1"/>
                <c:pt idx="0">
                  <c:v>人均单日有效浏览时间(分)</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'02-网络使用粘性'!$C$286:$N$286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'02-网络使用粘性'!$C$287:$N$287</c:f>
              <c:numCache>
                <c:formatCode>0.0</c:formatCode>
                <c:ptCount val="12"/>
                <c:pt idx="0">
                  <c:v>7.4666666666666694</c:v>
                </c:pt>
                <c:pt idx="1">
                  <c:v>8.8833333333333346</c:v>
                </c:pt>
                <c:pt idx="2">
                  <c:v>8.6333333333333329</c:v>
                </c:pt>
                <c:pt idx="3">
                  <c:v>8.65</c:v>
                </c:pt>
                <c:pt idx="4">
                  <c:v>8.2000000000000011</c:v>
                </c:pt>
                <c:pt idx="5">
                  <c:v>9.2666666666666728</c:v>
                </c:pt>
                <c:pt idx="6">
                  <c:v>8.8000000000000007</c:v>
                </c:pt>
                <c:pt idx="7">
                  <c:v>9.3166666666666753</c:v>
                </c:pt>
                <c:pt idx="8">
                  <c:v>8.8000000000000007</c:v>
                </c:pt>
                <c:pt idx="9">
                  <c:v>9.166666666666675</c:v>
                </c:pt>
                <c:pt idx="10">
                  <c:v>9.166666666666675</c:v>
                </c:pt>
                <c:pt idx="11">
                  <c:v>9.4833333333333325</c:v>
                </c:pt>
              </c:numCache>
            </c:numRef>
          </c:val>
          <c:extLst xmlns:c16r2="http://schemas.microsoft.com/office/drawing/2015/06/chart">
            <c:ext xmlns:c16="http://schemas.microsoft.com/office/drawing/2014/chart" uri="{C3380CC4-5D6E-409C-BE32-E72D297353CC}">
              <c16:uniqueId val="{00000000-725F-461A-84D5-4C47074F5BB6}"/>
            </c:ext>
          </c:extLst>
        </c:ser>
        <c:dLbls>
          <c:showVal val="1"/>
        </c:dLbls>
        <c:gapWidth val="60"/>
        <c:axId val="243348992"/>
        <c:axId val="243350528"/>
      </c:barChart>
      <c:lineChart>
        <c:grouping val="standard"/>
        <c:ser>
          <c:idx val="0"/>
          <c:order val="1"/>
          <c:tx>
            <c:strRef>
              <c:f>'02-网络使用粘性'!$A$288</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5F-461A-84D5-4C47074F5BB6}"/>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5F-461A-84D5-4C47074F5BB6}"/>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25F-461A-84D5-4C47074F5BB6}"/>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25F-461A-84D5-4C47074F5BB6}"/>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'02-网络使用粘性'!$C$286:$N$286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'02-网络使用粘性'!$C$288:$N$288</c:f>
              <c:numCache>
                <c:formatCode>0.0%</c:formatCode>
                <c:ptCount val="12"/>
                <c:pt idx="0">
                  <c:v>-4.8832271762208099E-2</c:v>
                </c:pt>
                <c:pt idx="1">
                  <c:v>0.18973214285714304</c:v>
                </c:pt>
                <c:pt idx="2">
                  <c:v>-2.814258911819886E-2</c:v>
                </c:pt>
                <c:pt idx="3">
                  <c:v>1.9305019305020401E-3</c:v>
                </c:pt>
                <c:pt idx="4">
                  <c:v>-5.2023121387283384E-2</c:v>
                </c:pt>
                <c:pt idx="5">
                  <c:v>0.13008130081300839</c:v>
                </c:pt>
                <c:pt idx="6">
                  <c:v>-5.0359712230215854E-2</c:v>
                </c:pt>
                <c:pt idx="7">
                  <c:v>5.8712121212121174E-2</c:v>
                </c:pt>
                <c:pt idx="8">
                  <c:v>-5.5456171735241484E-2</c:v>
                </c:pt>
                <c:pt idx="9">
                  <c:v>4.1666666666666505E-2</c:v>
                </c:pt>
                <c:pt idx="10">
                  <c:v>0</c:v>
                </c:pt>
                <c:pt idx="11">
                  <c:v>3.4545454545454435E-2</c:v>
                </c:pt>
              </c:numCache>
            </c:numRef>
          </c:val>
          <c:extLst xmlns:c16r2="http://schemas.microsoft.com/office/drawing/2015/06/chart">
            <c:ext xmlns:c16="http://schemas.microsoft.com/office/drawing/2014/chart" uri="{C3380CC4-5D6E-409C-BE32-E72D297353CC}">
              <c16:uniqueId val="{00000005-725F-461A-84D5-4C47074F5BB6}"/>
            </c:ext>
          </c:extLst>
        </c:ser>
        <c:dLbls>
          <c:showVal val="1"/>
        </c:dLbls>
        <c:marker val="1"/>
        <c:axId val="243360512"/>
        <c:axId val="243362048"/>
      </c:lineChart>
      <c:catAx>
        <c:axId val="24334899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350528"/>
        <c:crosses val="autoZero"/>
        <c:lblAlgn val="ctr"/>
        <c:lblOffset val="100"/>
        <c:tickLblSkip val="1"/>
        <c:tickMarkSkip val="1"/>
      </c:catAx>
      <c:valAx>
        <c:axId val="243350528"/>
        <c:scaling>
          <c:orientation val="minMax"/>
          <c:max val="2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348992"/>
        <c:crosses val="autoZero"/>
        <c:crossBetween val="between"/>
        <c:majorUnit val="5"/>
        <c:minorUnit val="1"/>
      </c:valAx>
      <c:catAx>
        <c:axId val="243360512"/>
        <c:scaling>
          <c:orientation val="minMax"/>
        </c:scaling>
        <c:delete val="1"/>
        <c:axPos val="b"/>
        <c:numFmt formatCode="General" sourceLinked="1"/>
        <c:tickLblPos val="none"/>
        <c:crossAx val="243362048"/>
        <c:crosses val="autoZero"/>
        <c:lblAlgn val="ctr"/>
        <c:lblOffset val="100"/>
      </c:catAx>
      <c:valAx>
        <c:axId val="243362048"/>
        <c:scaling>
          <c:orientation val="minMax"/>
          <c:max val="0.4"/>
          <c:min val="-2"/>
        </c:scaling>
        <c:axPos val="r"/>
        <c:numFmt formatCode="0.0%" sourceLinked="1"/>
        <c:majorTickMark val="none"/>
        <c:tickLblPos val="none"/>
        <c:spPr>
          <a:ln w="3175">
            <a:noFill/>
            <a:prstDash val="solid"/>
          </a:ln>
        </c:spPr>
        <c:crossAx val="243360512"/>
        <c:crosses val="max"/>
        <c:crossBetween val="between"/>
        <c:majorUnit val="0.29000000000000031"/>
        <c:minorUnit val="0.29000000000000031"/>
      </c:valAx>
      <c:spPr>
        <a:noFill/>
        <a:ln w="12700">
          <a:noFill/>
          <a:prstDash val="solid"/>
        </a:ln>
      </c:spPr>
    </c:plotArea>
    <c:legend>
      <c:legendPos val="r"/>
      <c:layout>
        <c:manualLayout>
          <c:xMode val="edge"/>
          <c:yMode val="edge"/>
          <c:x val="0.12017007651363952"/>
          <c:y val="0.70650972222222219"/>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年陕西省网民使用新闻资讯服务</a:t>
            </a:r>
            <a:r>
              <a:rPr lang="zh-CN" altLang="zh-CN" sz="1200" b="1" i="0" u="none" strike="noStrike" baseline="0">
                <a:effectLst/>
              </a:rPr>
              <a:t>人均单次浏览页面</a:t>
            </a:r>
            <a:endParaRPr lang="zh-CN" sz="1200" b="1"/>
          </a:p>
        </c:rich>
      </c:tx>
      <c:layout>
        <c:manualLayout>
          <c:xMode val="edge"/>
          <c:yMode val="edge"/>
          <c:x val="0.12824995841650041"/>
          <c:y val="2.7507986111111136E-2"/>
        </c:manualLayout>
      </c:layout>
      <c:spPr>
        <a:noFill/>
        <a:ln w="25400">
          <a:noFill/>
        </a:ln>
      </c:spPr>
    </c:title>
    <c:plotArea>
      <c:layout>
        <c:manualLayout>
          <c:layoutTarget val="inner"/>
          <c:xMode val="edge"/>
          <c:yMode val="edge"/>
          <c:x val="0.10063834099945428"/>
          <c:y val="0.18739422809169182"/>
          <c:w val="0.85274582261375864"/>
          <c:h val="0.42957430555555592"/>
        </c:manualLayout>
      </c:layout>
      <c:barChart>
        <c:barDir val="col"/>
        <c:grouping val="clustered"/>
        <c:ser>
          <c:idx val="1"/>
          <c:order val="0"/>
          <c:tx>
            <c:strRef>
              <c:f>'02-网络使用粘性'!$A$292</c:f>
              <c:strCache>
                <c:ptCount val="1"/>
                <c:pt idx="0">
                  <c:v>人均单次浏览页面(页)</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'02-网络使用粘性'!$C$291:$N$291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'02-网络使用粘性'!$C$292:$N$292</c:f>
              <c:numCache>
                <c:formatCode>0.0</c:formatCode>
                <c:ptCount val="12"/>
                <c:pt idx="0">
                  <c:v>3.04</c:v>
                </c:pt>
                <c:pt idx="1">
                  <c:v>3.13</c:v>
                </c:pt>
                <c:pt idx="2">
                  <c:v>2.9299999999999997</c:v>
                </c:pt>
                <c:pt idx="3">
                  <c:v>2.75</c:v>
                </c:pt>
                <c:pt idx="4">
                  <c:v>2.8099999999999987</c:v>
                </c:pt>
                <c:pt idx="5">
                  <c:v>2.79</c:v>
                </c:pt>
                <c:pt idx="6">
                  <c:v>2.84</c:v>
                </c:pt>
                <c:pt idx="7">
                  <c:v>2.7600000000000002</c:v>
                </c:pt>
                <c:pt idx="8">
                  <c:v>2.8299999999999987</c:v>
                </c:pt>
                <c:pt idx="9">
                  <c:v>2.82</c:v>
                </c:pt>
                <c:pt idx="10">
                  <c:v>2.68</c:v>
                </c:pt>
                <c:pt idx="11">
                  <c:v>2.63</c:v>
                </c:pt>
              </c:numCache>
            </c:numRef>
          </c:val>
          <c:extLst xmlns:c16r2="http://schemas.microsoft.com/office/drawing/2015/06/chart">
            <c:ext xmlns:c16="http://schemas.microsoft.com/office/drawing/2014/chart" uri="{C3380CC4-5D6E-409C-BE32-E72D297353CC}">
              <c16:uniqueId val="{00000000-DE55-458B-A6EE-2BEE568F4576}"/>
            </c:ext>
          </c:extLst>
        </c:ser>
        <c:dLbls>
          <c:showVal val="1"/>
        </c:dLbls>
        <c:gapWidth val="60"/>
        <c:axId val="243395584"/>
        <c:axId val="243434240"/>
      </c:barChart>
      <c:lineChart>
        <c:grouping val="standard"/>
        <c:ser>
          <c:idx val="0"/>
          <c:order val="1"/>
          <c:tx>
            <c:strRef>
              <c:f>'02-网络使用粘性'!$A$293</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55-458B-A6EE-2BEE568F4576}"/>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E55-458B-A6EE-2BEE568F4576}"/>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55-458B-A6EE-2BEE568F4576}"/>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55-458B-A6EE-2BEE568F4576}"/>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'\艾瑞\图表\四川\[四川省2015数据作图-王蕊.xlsx]02-网络应用情况'!$C$293:$N$293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'02-网络使用粘性'!$C$293:$N$293</c:f>
              <c:numCache>
                <c:formatCode>0.0%</c:formatCode>
                <c:ptCount val="12"/>
                <c:pt idx="0">
                  <c:v>-6.5359477124182809E-3</c:v>
                </c:pt>
                <c:pt idx="1">
                  <c:v>2.9605263157894711E-2</c:v>
                </c:pt>
                <c:pt idx="2">
                  <c:v>-6.3897763578274702E-2</c:v>
                </c:pt>
                <c:pt idx="3">
                  <c:v>-6.143344709897617E-2</c:v>
                </c:pt>
                <c:pt idx="4">
                  <c:v>2.181818181818174E-2</c:v>
                </c:pt>
                <c:pt idx="5">
                  <c:v>-7.1174377224199059E-3</c:v>
                </c:pt>
                <c:pt idx="6">
                  <c:v>1.7921146953404854E-2</c:v>
                </c:pt>
                <c:pt idx="7">
                  <c:v>-2.8169014084507116E-2</c:v>
                </c:pt>
                <c:pt idx="8">
                  <c:v>2.5362318840579844E-2</c:v>
                </c:pt>
                <c:pt idx="9">
                  <c:v>-3.5335689045937757E-3</c:v>
                </c:pt>
                <c:pt idx="10">
                  <c:v>-4.9645390070921835E-2</c:v>
                </c:pt>
                <c:pt idx="11">
                  <c:v>-1.8656716417910561E-2</c:v>
                </c:pt>
              </c:numCache>
            </c:numRef>
          </c:val>
          <c:extLst xmlns:c16r2="http://schemas.microsoft.com/office/drawing/2015/06/chart">
            <c:ext xmlns:c16="http://schemas.microsoft.com/office/drawing/2014/chart" uri="{C3380CC4-5D6E-409C-BE32-E72D297353CC}">
              <c16:uniqueId val="{00000005-DE55-458B-A6EE-2BEE568F4576}"/>
            </c:ext>
          </c:extLst>
        </c:ser>
        <c:dLbls>
          <c:showVal val="1"/>
        </c:dLbls>
        <c:marker val="1"/>
        <c:axId val="243435776"/>
        <c:axId val="243445760"/>
      </c:lineChart>
      <c:catAx>
        <c:axId val="24339558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434240"/>
        <c:crosses val="autoZero"/>
        <c:lblAlgn val="ctr"/>
        <c:lblOffset val="100"/>
        <c:tickLblSkip val="1"/>
        <c:tickMarkSkip val="1"/>
      </c:catAx>
      <c:valAx>
        <c:axId val="243434240"/>
        <c:scaling>
          <c:orientation val="minMax"/>
          <c:max val="6"/>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395584"/>
        <c:crosses val="autoZero"/>
        <c:crossBetween val="between"/>
        <c:minorUnit val="1"/>
      </c:valAx>
      <c:catAx>
        <c:axId val="243435776"/>
        <c:scaling>
          <c:orientation val="minMax"/>
        </c:scaling>
        <c:delete val="1"/>
        <c:axPos val="b"/>
        <c:numFmt formatCode="General" sourceLinked="1"/>
        <c:tickLblPos val="none"/>
        <c:crossAx val="243445760"/>
        <c:crosses val="autoZero"/>
        <c:lblAlgn val="ctr"/>
        <c:lblOffset val="100"/>
      </c:catAx>
      <c:valAx>
        <c:axId val="243445760"/>
        <c:scaling>
          <c:orientation val="minMax"/>
          <c:max val="0.5"/>
          <c:min val="-2.5"/>
        </c:scaling>
        <c:axPos val="r"/>
        <c:numFmt formatCode="0.0%" sourceLinked="1"/>
        <c:majorTickMark val="none"/>
        <c:tickLblPos val="none"/>
        <c:spPr>
          <a:ln w="3175">
            <a:noFill/>
            <a:prstDash val="solid"/>
          </a:ln>
        </c:spPr>
        <c:crossAx val="243435776"/>
        <c:crosses val="max"/>
        <c:crossBetween val="between"/>
        <c:majorUnit val="0.29000000000000031"/>
        <c:minorUnit val="0.29000000000000031"/>
      </c:valAx>
      <c:spPr>
        <a:noFill/>
        <a:ln w="12700">
          <a:noFill/>
          <a:prstDash val="solid"/>
        </a:ln>
      </c:spPr>
    </c:plotArea>
    <c:legend>
      <c:legendPos val="r"/>
      <c:layout>
        <c:manualLayout>
          <c:xMode val="edge"/>
          <c:yMode val="edge"/>
          <c:x val="0.12016986859614105"/>
          <c:y val="0.7170354166666671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6.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网民使用的主要新闻资讯网站</a:t>
            </a:r>
            <a:endParaRPr lang="en-US" altLang="zh-CN" sz="1200">
              <a:latin typeface="微软雅黑" panose="020B0503020204020204" pitchFamily="34" charset="-122"/>
              <a:ea typeface="微软雅黑" panose="020B0503020204020204" pitchFamily="34" charset="-122"/>
            </a:endParaRPr>
          </a:p>
        </c:rich>
      </c:tx>
      <c:layout>
        <c:manualLayout>
          <c:xMode val="edge"/>
          <c:yMode val="edge"/>
          <c:x val="0.17344940401767131"/>
          <c:y val="2.5541319444444481E-2"/>
        </c:manualLayout>
      </c:layout>
    </c:title>
    <c:plotArea>
      <c:layout>
        <c:manualLayout>
          <c:layoutTarget val="inner"/>
          <c:xMode val="edge"/>
          <c:yMode val="edge"/>
          <c:x val="0.25356026506626678"/>
          <c:y val="0.14580535115730206"/>
          <c:w val="0.64165520546803456"/>
          <c:h val="0.49255798611111112"/>
        </c:manualLayout>
      </c:layout>
      <c:barChart>
        <c:barDir val="bar"/>
        <c:grouping val="clustered"/>
        <c:ser>
          <c:idx val="1"/>
          <c:order val="0"/>
          <c:tx>
            <c:strRef>
              <c:f>'02-网络使用粘性'!$H$330</c:f>
              <c:strCache>
                <c:ptCount val="1"/>
                <c:pt idx="0">
                  <c:v>月度覆盖比例</c:v>
                </c:pt>
              </c:strCache>
            </c:strRef>
          </c:tx>
          <c:spPr>
            <a:solidFill>
              <a:srgbClr val="B2D234"/>
            </a:solidFill>
            <a:ln w="12700">
              <a:noFill/>
            </a:ln>
          </c:spPr>
          <c:dLbls>
            <c:numFmt formatCode="0.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'02-网络使用粘性'!$F$331:$F$340</c:f>
              <c:strCache>
                <c:ptCount val="10"/>
                <c:pt idx="0">
                  <c:v>环球网 [新闻门户]</c:v>
                </c:pt>
                <c:pt idx="1">
                  <c:v>北青网 [新闻门户]</c:v>
                </c:pt>
                <c:pt idx="2">
                  <c:v>人民网 [新闻门户]</c:v>
                </c:pt>
                <c:pt idx="3">
                  <c:v>今日头条 [新闻门户]</c:v>
                </c:pt>
                <c:pt idx="4">
                  <c:v>网易 [新闻资讯]</c:v>
                </c:pt>
                <c:pt idx="5">
                  <c:v>中华网 [新闻资讯]</c:v>
                </c:pt>
                <c:pt idx="6">
                  <c:v>新浪 [新闻资讯]</c:v>
                </c:pt>
                <c:pt idx="7">
                  <c:v>腾讯 [地方网站]</c:v>
                </c:pt>
                <c:pt idx="8">
                  <c:v>腾讯 [新闻资讯]</c:v>
                </c:pt>
                <c:pt idx="9">
                  <c:v>凤凰网 [新闻资讯]</c:v>
                </c:pt>
              </c:strCache>
            </c:strRef>
          </c:cat>
          <c:val>
            <c:numRef>
              <c:f>'02-网络使用粘性'!$H$331:$H$340</c:f>
              <c:numCache>
                <c:formatCode>0.00%</c:formatCode>
                <c:ptCount val="10"/>
                <c:pt idx="0">
                  <c:v>0.10390000000000002</c:v>
                </c:pt>
                <c:pt idx="1">
                  <c:v>0.1178</c:v>
                </c:pt>
                <c:pt idx="2">
                  <c:v>0.12620000000000001</c:v>
                </c:pt>
                <c:pt idx="3">
                  <c:v>0.1603</c:v>
                </c:pt>
                <c:pt idx="4">
                  <c:v>0.1666</c:v>
                </c:pt>
                <c:pt idx="5">
                  <c:v>0.17530000000000001</c:v>
                </c:pt>
                <c:pt idx="6">
                  <c:v>0.21040000000000011</c:v>
                </c:pt>
                <c:pt idx="7">
                  <c:v>0.21290000000000012</c:v>
                </c:pt>
                <c:pt idx="8">
                  <c:v>0.25319999999999998</c:v>
                </c:pt>
                <c:pt idx="9">
                  <c:v>0.3031000000000002</c:v>
                </c:pt>
              </c:numCache>
            </c:numRef>
          </c:val>
          <c:extLst xmlns:c16r2="http://schemas.microsoft.com/office/drawing/2015/06/chart">
            <c:ext xmlns:c16="http://schemas.microsoft.com/office/drawing/2014/chart" uri="{C3380CC4-5D6E-409C-BE32-E72D297353CC}">
              <c16:uniqueId val="{00000000-03A3-4A7A-A3CD-CB373280702C}"/>
            </c:ext>
          </c:extLst>
        </c:ser>
        <c:dLbls>
          <c:showVal val="1"/>
        </c:dLbls>
        <c:gapWidth val="60"/>
        <c:axId val="243499392"/>
        <c:axId val="243500928"/>
      </c:barChart>
      <c:catAx>
        <c:axId val="243499392"/>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43500928"/>
        <c:crosses val="autoZero"/>
        <c:auto val="1"/>
        <c:lblAlgn val="ctr"/>
        <c:lblOffset val="100"/>
      </c:catAx>
      <c:valAx>
        <c:axId val="243500928"/>
        <c:scaling>
          <c:orientation val="minMax"/>
          <c:max val="0.3300000000000004"/>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43499392"/>
        <c:crosses val="autoZero"/>
        <c:crossBetween val="between"/>
        <c:majorUnit val="0.1"/>
        <c:minorUnit val="1.0000000000000005E-2"/>
      </c:valAx>
      <c:spPr>
        <a:ln>
          <a:noFill/>
        </a:ln>
      </c:spPr>
    </c:plotArea>
    <c:legend>
      <c:legendPos val="b"/>
      <c:layout>
        <c:manualLayout>
          <c:xMode val="edge"/>
          <c:yMode val="edge"/>
          <c:x val="0.22625781445361337"/>
          <c:y val="0.72836805555555562"/>
          <c:w val="0.60447215970659329"/>
          <c:h val="5.4848031496063022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使用社区交友服务网民月度覆盖比例</a:t>
            </a:r>
            <a:endParaRPr lang="zh-CN" sz="1200" b="1"/>
          </a:p>
        </c:rich>
      </c:tx>
      <c:layout>
        <c:manualLayout>
          <c:xMode val="edge"/>
          <c:yMode val="edge"/>
          <c:x val="0.1360957252162342"/>
          <c:y val="2.6863194444444446E-2"/>
        </c:manualLayout>
      </c:layout>
      <c:spPr>
        <a:noFill/>
        <a:ln w="25400">
          <a:noFill/>
        </a:ln>
      </c:spPr>
    </c:title>
    <c:plotArea>
      <c:layout>
        <c:manualLayout>
          <c:layoutTarget val="inner"/>
          <c:xMode val="edge"/>
          <c:yMode val="edge"/>
          <c:x val="0.10063834099945428"/>
          <c:y val="0.18879383320328214"/>
          <c:w val="0.85274582261375864"/>
          <c:h val="0.43839375000000008"/>
        </c:manualLayout>
      </c:layout>
      <c:areaChart>
        <c:grouping val="standard"/>
        <c:ser>
          <c:idx val="1"/>
          <c:order val="0"/>
          <c:tx>
            <c:strRef>
              <c:f>'02-网络使用粘性'!$A$360</c:f>
              <c:strCache>
                <c:ptCount val="1"/>
                <c:pt idx="0">
                  <c:v>月度覆盖比例</c:v>
                </c:pt>
              </c:strCache>
            </c:strRef>
          </c:tx>
          <c:spPr>
            <a:solidFill>
              <a:srgbClr val="B2D234"/>
            </a:solidFill>
            <a:ln w="12700">
              <a:noFill/>
              <a:prstDash val="solid"/>
            </a:ln>
          </c:spPr>
          <c:dLbls>
            <c:dLbl>
              <c:idx val="0"/>
              <c:delete val="1"/>
            </c:dLbl>
            <c:dLbl>
              <c:idx val="1"/>
              <c:layout>
                <c:manualLayout>
                  <c:x val="-7.9216236584288436E-3"/>
                  <c:y val="-0.18967096000417166"/>
                </c:manualLayout>
              </c:layout>
              <c:showVal val="1"/>
            </c:dLbl>
            <c:dLbl>
              <c:idx val="2"/>
              <c:delete val="1"/>
            </c:dLbl>
            <c:dLbl>
              <c:idx val="3"/>
              <c:layout>
                <c:manualLayout>
                  <c:x val="2.6404719212078692E-3"/>
                  <c:y val="-0.20291112617545337"/>
                </c:manualLayout>
              </c:layout>
              <c:showVal val="1"/>
            </c:dLbl>
            <c:dLbl>
              <c:idx val="4"/>
              <c:delete val="1"/>
            </c:dLbl>
            <c:dLbl>
              <c:idx val="5"/>
              <c:layout>
                <c:manualLayout>
                  <c:x val="2.6404719212078692E-3"/>
                  <c:y val="-0.19406997966313813"/>
                </c:manualLayout>
              </c:layout>
              <c:showVal val="1"/>
            </c:dLbl>
            <c:dLbl>
              <c:idx val="6"/>
              <c:delete val="1"/>
            </c:dLbl>
            <c:dLbl>
              <c:idx val="7"/>
              <c:layout>
                <c:manualLayout>
                  <c:x val="0"/>
                  <c:y val="-0.2249646277659002"/>
                </c:manualLayout>
              </c:layout>
              <c:showVal val="1"/>
            </c:dLbl>
            <c:dLbl>
              <c:idx val="8"/>
              <c:delete val="1"/>
            </c:dLbl>
            <c:dLbl>
              <c:idx val="9"/>
              <c:layout>
                <c:manualLayout>
                  <c:x val="2.6404719212078692E-3"/>
                  <c:y val="-0.2338050790008864"/>
                </c:manualLayout>
              </c:layout>
              <c:showVal val="1"/>
            </c:dLbl>
            <c:dLbl>
              <c:idx val="10"/>
              <c:delete val="1"/>
            </c:dLbl>
            <c:dLbl>
              <c:idx val="11"/>
              <c:layout>
                <c:manualLayout>
                  <c:x val="-1.0562303474441924E-2"/>
                  <c:y val="-0.2205600458883038"/>
                </c:manualLayout>
              </c:layout>
              <c:showVal val="1"/>
            </c:dLbl>
            <c:numFmt formatCode="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'02-网络使用粘性'!$C$359:$N$359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'02-网络使用粘性'!$C$360:$N$360</c:f>
              <c:numCache>
                <c:formatCode>0.00%</c:formatCode>
                <c:ptCount val="12"/>
                <c:pt idx="0">
                  <c:v>0.7903</c:v>
                </c:pt>
                <c:pt idx="1">
                  <c:v>0.79670000000000041</c:v>
                </c:pt>
                <c:pt idx="2">
                  <c:v>0.77720000000000045</c:v>
                </c:pt>
                <c:pt idx="3">
                  <c:v>0.77450000000000041</c:v>
                </c:pt>
                <c:pt idx="4">
                  <c:v>0.80620000000000003</c:v>
                </c:pt>
                <c:pt idx="5">
                  <c:v>0.79570000000000041</c:v>
                </c:pt>
                <c:pt idx="6">
                  <c:v>0.79649999999999999</c:v>
                </c:pt>
                <c:pt idx="7">
                  <c:v>0.82490000000000041</c:v>
                </c:pt>
                <c:pt idx="8">
                  <c:v>0.82990000000000042</c:v>
                </c:pt>
                <c:pt idx="9">
                  <c:v>0.82580000000000042</c:v>
                </c:pt>
                <c:pt idx="10">
                  <c:v>0.80289999999999995</c:v>
                </c:pt>
                <c:pt idx="11">
                  <c:v>0.79849999999999999</c:v>
                </c:pt>
              </c:numCache>
            </c:numRef>
          </c:val>
          <c:extLst xmlns:c16r2="http://schemas.microsoft.com/office/drawing/2015/06/chart">
            <c:ext xmlns:c16="http://schemas.microsoft.com/office/drawing/2014/chart" uri="{C3380CC4-5D6E-409C-BE32-E72D297353CC}">
              <c16:uniqueId val="{00000000-E541-443F-B33F-FA9350EE97E6}"/>
            </c:ext>
          </c:extLst>
        </c:ser>
        <c:dLbls>
          <c:showVal val="1"/>
        </c:dLbls>
        <c:axId val="243527680"/>
        <c:axId val="243529984"/>
      </c:areaChart>
      <c:catAx>
        <c:axId val="24352768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529984"/>
        <c:crosses val="autoZero"/>
        <c:lblAlgn val="ctr"/>
        <c:lblOffset val="100"/>
        <c:tickLblSkip val="1"/>
        <c:tickMarkSkip val="1"/>
      </c:catAx>
      <c:valAx>
        <c:axId val="243529984"/>
        <c:scaling>
          <c:orientation val="minMax"/>
          <c:max val="0.9"/>
          <c:min val="0.5"/>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527680"/>
        <c:crosses val="autoZero"/>
        <c:crossBetween val="midCat"/>
        <c:majorUnit val="0.1"/>
        <c:minorUnit val="1.0000000000000005E-2"/>
      </c:valAx>
      <c:spPr>
        <a:noFill/>
        <a:ln w="12700">
          <a:noFill/>
          <a:prstDash val="solid"/>
        </a:ln>
      </c:spPr>
    </c:plotArea>
    <c:legend>
      <c:legendPos val="r"/>
      <c:layout>
        <c:manualLayout>
          <c:xMode val="edge"/>
          <c:yMode val="edge"/>
          <c:x val="0.11225403359946763"/>
          <c:y val="0.72326527777777783"/>
          <c:w val="0.78985335166437565"/>
          <c:h val="5.6548064067966877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8.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网民使用社区交友服务人均月度访问天数</a:t>
            </a:r>
            <a:endParaRPr lang="zh-CN" sz="1200" b="1"/>
          </a:p>
        </c:rich>
      </c:tx>
      <c:layout>
        <c:manualLayout>
          <c:xMode val="edge"/>
          <c:yMode val="edge"/>
          <c:x val="0.1360406768358757"/>
          <c:y val="2.7610069444444451E-2"/>
        </c:manualLayout>
      </c:layout>
      <c:spPr>
        <a:noFill/>
        <a:ln w="25400">
          <a:noFill/>
        </a:ln>
      </c:spPr>
    </c:title>
    <c:plotArea>
      <c:layout>
        <c:manualLayout>
          <c:layoutTarget val="inner"/>
          <c:xMode val="edge"/>
          <c:yMode val="edge"/>
          <c:x val="0.10063834099945428"/>
          <c:y val="0.19117848956663233"/>
          <c:w val="0.85274582261375864"/>
          <c:h val="0.42516458333333357"/>
        </c:manualLayout>
      </c:layout>
      <c:barChart>
        <c:barDir val="col"/>
        <c:grouping val="clustered"/>
        <c:ser>
          <c:idx val="1"/>
          <c:order val="0"/>
          <c:tx>
            <c:strRef>
              <c:f>'02-网络使用粘性'!$A$365</c:f>
              <c:strCache>
                <c:ptCount val="1"/>
                <c:pt idx="0">
                  <c:v>人均月度访问天数(天)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'02-网络使用粘性'!$C$364:$N$364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'02-网络使用粘性'!$C$365:$N$365</c:f>
              <c:numCache>
                <c:formatCode>General</c:formatCode>
                <c:ptCount val="12"/>
                <c:pt idx="0">
                  <c:v>5.42</c:v>
                </c:pt>
                <c:pt idx="1">
                  <c:v>5.74</c:v>
                </c:pt>
                <c:pt idx="2">
                  <c:v>6.6599999999999975</c:v>
                </c:pt>
                <c:pt idx="3">
                  <c:v>5.85</c:v>
                </c:pt>
                <c:pt idx="4">
                  <c:v>5.91</c:v>
                </c:pt>
                <c:pt idx="5">
                  <c:v>5.8</c:v>
                </c:pt>
                <c:pt idx="6">
                  <c:v>6.1499999999999995</c:v>
                </c:pt>
                <c:pt idx="7">
                  <c:v>6.4</c:v>
                </c:pt>
                <c:pt idx="8">
                  <c:v>5.84</c:v>
                </c:pt>
                <c:pt idx="9">
                  <c:v>5.75</c:v>
                </c:pt>
                <c:pt idx="10">
                  <c:v>5.94</c:v>
                </c:pt>
                <c:pt idx="11">
                  <c:v>5.74</c:v>
                </c:pt>
              </c:numCache>
            </c:numRef>
          </c:val>
          <c:extLst xmlns:c16r2="http://schemas.microsoft.com/office/drawing/2015/06/chart">
            <c:ext xmlns:c16="http://schemas.microsoft.com/office/drawing/2014/chart" uri="{C3380CC4-5D6E-409C-BE32-E72D297353CC}">
              <c16:uniqueId val="{00000000-E35F-4700-997A-ABC15BE14617}"/>
            </c:ext>
          </c:extLst>
        </c:ser>
        <c:dLbls>
          <c:showVal val="1"/>
        </c:dLbls>
        <c:gapWidth val="60"/>
        <c:axId val="243634944"/>
        <c:axId val="243636480"/>
      </c:barChart>
      <c:lineChart>
        <c:grouping val="standard"/>
        <c:ser>
          <c:idx val="0"/>
          <c:order val="1"/>
          <c:tx>
            <c:strRef>
              <c:f>'02-网络使用粘性'!$A$366</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5F-4700-997A-ABC15BE14617}"/>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5F-4700-997A-ABC15BE14617}"/>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5F-4700-997A-ABC15BE14617}"/>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5F-4700-997A-ABC15BE14617}"/>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'02-网络使用粘性'!$C$364:$N$364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'02-网络使用粘性'!$C$366:$N$366</c:f>
              <c:numCache>
                <c:formatCode>0.0%</c:formatCode>
                <c:ptCount val="12"/>
                <c:pt idx="0">
                  <c:v>-0.13001605136436611</c:v>
                </c:pt>
                <c:pt idx="1">
                  <c:v>5.9040590405904154E-2</c:v>
                </c:pt>
                <c:pt idx="2">
                  <c:v>0.16027874564459932</c:v>
                </c:pt>
                <c:pt idx="3">
                  <c:v>-0.12162162162162181</c:v>
                </c:pt>
                <c:pt idx="4">
                  <c:v>1.0256410256410445E-2</c:v>
                </c:pt>
                <c:pt idx="5">
                  <c:v>-1.8612521150592323E-2</c:v>
                </c:pt>
                <c:pt idx="6">
                  <c:v>6.0344827586207073E-2</c:v>
                </c:pt>
                <c:pt idx="7">
                  <c:v>4.0650406504064887E-2</c:v>
                </c:pt>
                <c:pt idx="8">
                  <c:v>-8.7500000000000022E-2</c:v>
                </c:pt>
                <c:pt idx="9">
                  <c:v>-1.5410958904109595E-2</c:v>
                </c:pt>
                <c:pt idx="10">
                  <c:v>3.3043478260869757E-2</c:v>
                </c:pt>
                <c:pt idx="11">
                  <c:v>-3.3670033670033767E-2</c:v>
                </c:pt>
              </c:numCache>
            </c:numRef>
          </c:val>
          <c:extLst xmlns:c16r2="http://schemas.microsoft.com/office/drawing/2015/06/chart">
            <c:ext xmlns:c16="http://schemas.microsoft.com/office/drawing/2014/chart" uri="{C3380CC4-5D6E-409C-BE32-E72D297353CC}">
              <c16:uniqueId val="{00000005-E35F-4700-997A-ABC15BE14617}"/>
            </c:ext>
          </c:extLst>
        </c:ser>
        <c:dLbls>
          <c:showVal val="1"/>
        </c:dLbls>
        <c:marker val="1"/>
        <c:axId val="243642368"/>
        <c:axId val="243643904"/>
      </c:lineChart>
      <c:catAx>
        <c:axId val="24363494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636480"/>
        <c:crosses val="autoZero"/>
        <c:lblAlgn val="ctr"/>
        <c:lblOffset val="100"/>
        <c:tickLblSkip val="1"/>
        <c:tickMarkSkip val="1"/>
      </c:catAx>
      <c:valAx>
        <c:axId val="243636480"/>
        <c:scaling>
          <c:orientation val="minMax"/>
          <c:max val="13"/>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634944"/>
        <c:crosses val="autoZero"/>
        <c:crossBetween val="between"/>
      </c:valAx>
      <c:catAx>
        <c:axId val="243642368"/>
        <c:scaling>
          <c:orientation val="minMax"/>
        </c:scaling>
        <c:delete val="1"/>
        <c:axPos val="b"/>
        <c:numFmt formatCode="General" sourceLinked="1"/>
        <c:tickLblPos val="none"/>
        <c:crossAx val="243643904"/>
        <c:crosses val="autoZero"/>
        <c:lblAlgn val="ctr"/>
        <c:lblOffset val="100"/>
      </c:catAx>
      <c:valAx>
        <c:axId val="243643904"/>
        <c:scaling>
          <c:orientation val="minMax"/>
          <c:max val="0.30000000000000027"/>
          <c:min val="-1.7"/>
        </c:scaling>
        <c:axPos val="r"/>
        <c:numFmt formatCode="0.0%" sourceLinked="1"/>
        <c:majorTickMark val="none"/>
        <c:tickLblPos val="none"/>
        <c:spPr>
          <a:ln w="3175">
            <a:noFill/>
            <a:prstDash val="solid"/>
          </a:ln>
        </c:spPr>
        <c:crossAx val="243642368"/>
        <c:crosses val="max"/>
        <c:crossBetween val="between"/>
        <c:majorUnit val="0.29000000000000031"/>
        <c:minorUnit val="0.29000000000000031"/>
      </c:valAx>
      <c:spPr>
        <a:noFill/>
        <a:ln w="12700">
          <a:noFill/>
          <a:prstDash val="solid"/>
        </a:ln>
      </c:spPr>
    </c:plotArea>
    <c:legend>
      <c:legendPos val="r"/>
      <c:layout>
        <c:manualLayout>
          <c:xMode val="edge"/>
          <c:yMode val="edge"/>
          <c:x val="0.10696731536926148"/>
          <c:y val="0.70983020833333377"/>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网民使用社区交友服务人均月度访问次数</a:t>
            </a:r>
            <a:endParaRPr lang="zh-CN" sz="1200" b="1"/>
          </a:p>
        </c:rich>
      </c:tx>
      <c:layout>
        <c:manualLayout>
          <c:xMode val="edge"/>
          <c:yMode val="edge"/>
          <c:x val="0.1256640884896873"/>
          <c:y val="2.4592708333333334E-2"/>
        </c:manualLayout>
      </c:layout>
      <c:spPr>
        <a:noFill/>
        <a:ln w="25400">
          <a:noFill/>
        </a:ln>
      </c:spPr>
    </c:title>
    <c:plotArea>
      <c:layout>
        <c:manualLayout>
          <c:layoutTarget val="inner"/>
          <c:xMode val="edge"/>
          <c:yMode val="edge"/>
          <c:x val="0.10327860502585692"/>
          <c:y val="0.18738072228589481"/>
          <c:w val="0.85274582261375864"/>
          <c:h val="0.42516458333333357"/>
        </c:manualLayout>
      </c:layout>
      <c:barChart>
        <c:barDir val="col"/>
        <c:grouping val="clustered"/>
        <c:ser>
          <c:idx val="1"/>
          <c:order val="0"/>
          <c:tx>
            <c:strRef>
              <c:f>'02-网络使用粘性'!$A$370</c:f>
              <c:strCache>
                <c:ptCount val="1"/>
                <c:pt idx="0">
                  <c:v>人均月度访问次数(次)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'02-网络使用粘性'!$C$369:$N$369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'02-网络使用粘性'!$C$370:$N$370</c:f>
              <c:numCache>
                <c:formatCode>General</c:formatCode>
                <c:ptCount val="12"/>
                <c:pt idx="0">
                  <c:v>16.04</c:v>
                </c:pt>
                <c:pt idx="1">
                  <c:v>17.39</c:v>
                </c:pt>
                <c:pt idx="2">
                  <c:v>20.59</c:v>
                </c:pt>
                <c:pt idx="3">
                  <c:v>17.130000000000013</c:v>
                </c:pt>
                <c:pt idx="4">
                  <c:v>16.95</c:v>
                </c:pt>
                <c:pt idx="5">
                  <c:v>15.39</c:v>
                </c:pt>
                <c:pt idx="6">
                  <c:v>18.279999999999987</c:v>
                </c:pt>
                <c:pt idx="7">
                  <c:v>19.489999999999977</c:v>
                </c:pt>
                <c:pt idx="8">
                  <c:v>16.52</c:v>
                </c:pt>
                <c:pt idx="9">
                  <c:v>15.850000000000007</c:v>
                </c:pt>
                <c:pt idx="10">
                  <c:v>16.47</c:v>
                </c:pt>
                <c:pt idx="11">
                  <c:v>15.84</c:v>
                </c:pt>
              </c:numCache>
            </c:numRef>
          </c:val>
          <c:extLst xmlns:c16r2="http://schemas.microsoft.com/office/drawing/2015/06/chart">
            <c:ext xmlns:c16="http://schemas.microsoft.com/office/drawing/2014/chart" uri="{C3380CC4-5D6E-409C-BE32-E72D297353CC}">
              <c16:uniqueId val="{00000000-D9FF-426A-90B2-5A7DF20AD3E6}"/>
            </c:ext>
          </c:extLst>
        </c:ser>
        <c:dLbls>
          <c:showVal val="1"/>
        </c:dLbls>
        <c:gapWidth val="60"/>
        <c:axId val="243697920"/>
        <c:axId val="243712000"/>
      </c:barChart>
      <c:lineChart>
        <c:grouping val="standard"/>
        <c:ser>
          <c:idx val="0"/>
          <c:order val="1"/>
          <c:tx>
            <c:strRef>
              <c:f>'02-网络使用粘性'!$A$371</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FF-426A-90B2-5A7DF20AD3E6}"/>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FF-426A-90B2-5A7DF20AD3E6}"/>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FF-426A-90B2-5A7DF20AD3E6}"/>
                </c:ext>
              </c:extLst>
            </c:dLbl>
            <c:dLbl>
              <c:idx val="3"/>
              <c:layout>
                <c:manualLayout>
                  <c:x val="-4.3214885268054323E-2"/>
                  <c:y val="-3.424321959755034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FF-426A-90B2-5A7DF20AD3E6}"/>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'02-网络使用粘性'!$C$369:$N$369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'02-网络使用粘性'!$C$371:$N$371</c:f>
              <c:numCache>
                <c:formatCode>0.0%</c:formatCode>
                <c:ptCount val="12"/>
                <c:pt idx="0">
                  <c:v>-0.13344138303619704</c:v>
                </c:pt>
                <c:pt idx="1">
                  <c:v>8.4164588528678475E-2</c:v>
                </c:pt>
                <c:pt idx="2">
                  <c:v>0.18401380103507772</c:v>
                </c:pt>
                <c:pt idx="3">
                  <c:v>-0.16804273919378343</c:v>
                </c:pt>
                <c:pt idx="4">
                  <c:v>-1.0507880910683009E-2</c:v>
                </c:pt>
                <c:pt idx="5">
                  <c:v>-9.2035398230088564E-2</c:v>
                </c:pt>
                <c:pt idx="6">
                  <c:v>0.18778427550357371</c:v>
                </c:pt>
                <c:pt idx="7">
                  <c:v>6.6192560175054579E-2</c:v>
                </c:pt>
                <c:pt idx="8">
                  <c:v>-0.15238583889173946</c:v>
                </c:pt>
                <c:pt idx="9">
                  <c:v>-4.0556900726392293E-2</c:v>
                </c:pt>
                <c:pt idx="10">
                  <c:v>3.9116719242902047E-2</c:v>
                </c:pt>
                <c:pt idx="11">
                  <c:v>-3.8251366120218538E-2</c:v>
                </c:pt>
              </c:numCache>
            </c:numRef>
          </c:val>
          <c:extLst xmlns:c16r2="http://schemas.microsoft.com/office/drawing/2015/06/chart">
            <c:ext xmlns:c16="http://schemas.microsoft.com/office/drawing/2014/chart" uri="{C3380CC4-5D6E-409C-BE32-E72D297353CC}">
              <c16:uniqueId val="{00000005-D9FF-426A-90B2-5A7DF20AD3E6}"/>
            </c:ext>
          </c:extLst>
        </c:ser>
        <c:dLbls>
          <c:showVal val="1"/>
        </c:dLbls>
        <c:marker val="1"/>
        <c:axId val="243713536"/>
        <c:axId val="243715072"/>
      </c:lineChart>
      <c:catAx>
        <c:axId val="24369792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712000"/>
        <c:crosses val="autoZero"/>
        <c:lblAlgn val="ctr"/>
        <c:lblOffset val="100"/>
        <c:tickLblSkip val="1"/>
        <c:tickMarkSkip val="1"/>
      </c:catAx>
      <c:valAx>
        <c:axId val="243712000"/>
        <c:scaling>
          <c:orientation val="minMax"/>
          <c:max val="4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697920"/>
        <c:crosses val="autoZero"/>
        <c:crossBetween val="between"/>
        <c:majorUnit val="10"/>
        <c:minorUnit val="1"/>
      </c:valAx>
      <c:catAx>
        <c:axId val="243713536"/>
        <c:scaling>
          <c:orientation val="minMax"/>
        </c:scaling>
        <c:delete val="1"/>
        <c:axPos val="b"/>
        <c:numFmt formatCode="General" sourceLinked="1"/>
        <c:tickLblPos val="none"/>
        <c:crossAx val="243715072"/>
        <c:crosses val="autoZero"/>
        <c:lblAlgn val="ctr"/>
        <c:lblOffset val="100"/>
      </c:catAx>
      <c:valAx>
        <c:axId val="243715072"/>
        <c:scaling>
          <c:orientation val="minMax"/>
          <c:max val="0.4"/>
          <c:min val="-1.7"/>
        </c:scaling>
        <c:axPos val="r"/>
        <c:numFmt formatCode="0.0%" sourceLinked="1"/>
        <c:majorTickMark val="none"/>
        <c:tickLblPos val="none"/>
        <c:spPr>
          <a:ln w="3175">
            <a:noFill/>
            <a:prstDash val="solid"/>
          </a:ln>
        </c:spPr>
        <c:crossAx val="243713536"/>
        <c:crosses val="max"/>
        <c:crossBetween val="between"/>
        <c:majorUnit val="0.29000000000000031"/>
        <c:minorUnit val="0.29000000000000031"/>
      </c:valAx>
      <c:spPr>
        <a:noFill/>
        <a:ln w="12700">
          <a:noFill/>
          <a:prstDash val="solid"/>
        </a:ln>
      </c:spPr>
    </c:plotArea>
    <c:legend>
      <c:legendPos val="r"/>
      <c:layout>
        <c:manualLayout>
          <c:xMode val="edge"/>
          <c:yMode val="edge"/>
          <c:x val="0.11488876413838989"/>
          <c:y val="0.70821597222222221"/>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lgn="ctr" rtl="0">
              <a:defRPr sz="1200" b="1"/>
            </a:pPr>
            <a:r>
              <a:rPr lang="en-US" sz="1200" b="1"/>
              <a:t>2015</a:t>
            </a:r>
            <a:r>
              <a:rPr lang="en-US" altLang="zh-CN" sz="1200" b="1"/>
              <a:t>-</a:t>
            </a:r>
            <a:r>
              <a:rPr lang="en-US" sz="1200" b="1"/>
              <a:t>2017</a:t>
            </a:r>
            <a:r>
              <a:rPr lang="zh-CN" sz="1200" b="1"/>
              <a:t>年陕西省网民</a:t>
            </a:r>
            <a:r>
              <a:rPr lang="zh-CN" altLang="en-US" sz="1200" b="1"/>
              <a:t>学历</a:t>
            </a:r>
            <a:r>
              <a:rPr lang="zh-CN" sz="1200" b="1"/>
              <a:t>分布</a:t>
            </a:r>
          </a:p>
        </c:rich>
      </c:tx>
    </c:title>
    <c:plotArea>
      <c:layout>
        <c:manualLayout>
          <c:layoutTarget val="inner"/>
          <c:xMode val="edge"/>
          <c:yMode val="edge"/>
          <c:x val="0.22440362699579372"/>
          <c:y val="0.14461086538421072"/>
          <c:w val="0.70958105745099842"/>
          <c:h val="0.49309616625790653"/>
        </c:manualLayout>
      </c:layout>
      <c:barChart>
        <c:barDir val="bar"/>
        <c:grouping val="clustered"/>
        <c:ser>
          <c:idx val="1"/>
          <c:order val="0"/>
          <c:tx>
            <c:strRef>
              <c:f>'对比分析-2017'!$B$77</c:f>
              <c:strCache>
                <c:ptCount val="1"/>
                <c:pt idx="0">
                  <c:v>2015年</c:v>
                </c:pt>
              </c:strCache>
            </c:strRef>
          </c:tx>
          <c:spPr>
            <a:solidFill>
              <a:srgbClr val="B2D234"/>
            </a:solidFill>
            <a:ln w="12700">
              <a:noFill/>
            </a:ln>
          </c:spPr>
          <c:cat>
            <c:strRef>
              <c:f>'对比分析-2017'!$A$78:$A$82</c:f>
              <c:strCache>
                <c:ptCount val="5"/>
                <c:pt idx="0">
                  <c:v>初中及初中以下</c:v>
                </c:pt>
                <c:pt idx="1">
                  <c:v>高中（中专）</c:v>
                </c:pt>
                <c:pt idx="2">
                  <c:v>大学专科</c:v>
                </c:pt>
                <c:pt idx="3">
                  <c:v>大学本科</c:v>
                </c:pt>
                <c:pt idx="4">
                  <c:v>硕士及以上</c:v>
                </c:pt>
              </c:strCache>
            </c:strRef>
          </c:cat>
          <c:val>
            <c:numRef>
              <c:f>'对比分析-2017'!$B$78:$B$82</c:f>
              <c:numCache>
                <c:formatCode>0.00%</c:formatCode>
                <c:ptCount val="5"/>
                <c:pt idx="0">
                  <c:v>2.1999999999999999E-2</c:v>
                </c:pt>
                <c:pt idx="1">
                  <c:v>0.11899999999999998</c:v>
                </c:pt>
                <c:pt idx="2">
                  <c:v>0.25800000000000001</c:v>
                </c:pt>
                <c:pt idx="3">
                  <c:v>0.504</c:v>
                </c:pt>
                <c:pt idx="4">
                  <c:v>9.7000000000000003E-2</c:v>
                </c:pt>
              </c:numCache>
            </c:numRef>
          </c:val>
          <c:extLst xmlns:c16r2="http://schemas.microsoft.com/office/drawing/2015/06/chart">
            <c:ext xmlns:c16="http://schemas.microsoft.com/office/drawing/2014/chart" uri="{C3380CC4-5D6E-409C-BE32-E72D297353CC}">
              <c16:uniqueId val="{00000000-4505-42C4-B067-5D59BB516BB0}"/>
            </c:ext>
          </c:extLst>
        </c:ser>
        <c:ser>
          <c:idx val="0"/>
          <c:order val="1"/>
          <c:tx>
            <c:strRef>
              <c:f>'对比分析-2017'!$C$77</c:f>
              <c:strCache>
                <c:ptCount val="1"/>
                <c:pt idx="0">
                  <c:v>2016年</c:v>
                </c:pt>
              </c:strCache>
            </c:strRef>
          </c:tx>
          <c:spPr>
            <a:solidFill>
              <a:srgbClr val="1EC8F3"/>
            </a:solidFill>
            <a:ln>
              <a:solidFill>
                <a:srgbClr val="1EC8F3"/>
              </a:solidFill>
            </a:ln>
          </c:spPr>
          <c:cat>
            <c:strRef>
              <c:f>'对比分析-2017'!$A$78:$A$82</c:f>
              <c:strCache>
                <c:ptCount val="5"/>
                <c:pt idx="0">
                  <c:v>初中及初中以下</c:v>
                </c:pt>
                <c:pt idx="1">
                  <c:v>高中（中专）</c:v>
                </c:pt>
                <c:pt idx="2">
                  <c:v>大学专科</c:v>
                </c:pt>
                <c:pt idx="3">
                  <c:v>大学本科</c:v>
                </c:pt>
                <c:pt idx="4">
                  <c:v>硕士及以上</c:v>
                </c:pt>
              </c:strCache>
            </c:strRef>
          </c:cat>
          <c:val>
            <c:numRef>
              <c:f>'对比分析-2017'!$C$78:$C$82</c:f>
              <c:numCache>
                <c:formatCode>0.00%</c:formatCode>
                <c:ptCount val="5"/>
                <c:pt idx="0">
                  <c:v>2.1000000000000012E-2</c:v>
                </c:pt>
                <c:pt idx="1">
                  <c:v>0.11799999999999998</c:v>
                </c:pt>
                <c:pt idx="2">
                  <c:v>0.26400000000000001</c:v>
                </c:pt>
                <c:pt idx="3">
                  <c:v>0.49900000000000022</c:v>
                </c:pt>
                <c:pt idx="4">
                  <c:v>9.8000000000000087E-2</c:v>
                </c:pt>
              </c:numCache>
            </c:numRef>
          </c:val>
        </c:ser>
        <c:ser>
          <c:idx val="2"/>
          <c:order val="2"/>
          <c:tx>
            <c:strRef>
              <c:f>'对比分析-2017'!$D$77</c:f>
              <c:strCache>
                <c:ptCount val="1"/>
                <c:pt idx="0">
                  <c:v>2017年</c:v>
                </c:pt>
              </c:strCache>
            </c:strRef>
          </c:tx>
          <c:spPr>
            <a:solidFill>
              <a:srgbClr val="FFFF00"/>
            </a:solidFill>
            <a:ln>
              <a:solidFill>
                <a:srgbClr val="FFFF00"/>
              </a:solidFill>
            </a:ln>
          </c:spPr>
          <c:dLbls>
            <c:numFmt formatCode="0.0%" sourceLinked="0"/>
            <c:showVal val="1"/>
          </c:dLbls>
          <c:cat>
            <c:strRef>
              <c:f>'对比分析-2017'!$A$78:$A$82</c:f>
              <c:strCache>
                <c:ptCount val="5"/>
                <c:pt idx="0">
                  <c:v>初中及初中以下</c:v>
                </c:pt>
                <c:pt idx="1">
                  <c:v>高中（中专）</c:v>
                </c:pt>
                <c:pt idx="2">
                  <c:v>大学专科</c:v>
                </c:pt>
                <c:pt idx="3">
                  <c:v>大学本科</c:v>
                </c:pt>
                <c:pt idx="4">
                  <c:v>硕士及以上</c:v>
                </c:pt>
              </c:strCache>
            </c:strRef>
          </c:cat>
          <c:val>
            <c:numRef>
              <c:f>'对比分析-2017'!$D$78:$D$82</c:f>
              <c:numCache>
                <c:formatCode>0.00%</c:formatCode>
                <c:ptCount val="5"/>
                <c:pt idx="0">
                  <c:v>2.1999999999999999E-2</c:v>
                </c:pt>
                <c:pt idx="1">
                  <c:v>0.11600000000000002</c:v>
                </c:pt>
                <c:pt idx="2">
                  <c:v>0.26300000000000001</c:v>
                </c:pt>
                <c:pt idx="3">
                  <c:v>0.504</c:v>
                </c:pt>
                <c:pt idx="4">
                  <c:v>9.5000000000000043E-2</c:v>
                </c:pt>
              </c:numCache>
            </c:numRef>
          </c:val>
        </c:ser>
        <c:gapWidth val="60"/>
        <c:axId val="252267136"/>
        <c:axId val="252273024"/>
      </c:barChart>
      <c:catAx>
        <c:axId val="252267136"/>
        <c:scaling>
          <c:orientation val="minMax"/>
        </c:scaling>
        <c:axPos val="l"/>
        <c:numFmt formatCode="General" sourceLinked="0"/>
        <c:majorTickMark val="none"/>
        <c:tickLblPos val="nextTo"/>
        <c:spPr>
          <a:ln w="12700">
            <a:solidFill>
              <a:schemeClr val="tx1">
                <a:lumMod val="50000"/>
                <a:lumOff val="50000"/>
              </a:schemeClr>
            </a:solidFill>
          </a:ln>
        </c:spPr>
        <c:crossAx val="252273024"/>
        <c:crosses val="autoZero"/>
        <c:auto val="1"/>
        <c:lblAlgn val="ctr"/>
        <c:lblOffset val="100"/>
      </c:catAx>
      <c:valAx>
        <c:axId val="252273024"/>
        <c:scaling>
          <c:orientation val="minMax"/>
        </c:scaling>
        <c:axPos val="b"/>
        <c:majorGridlines>
          <c:spPr>
            <a:ln>
              <a:noFill/>
            </a:ln>
          </c:spPr>
        </c:majorGridlines>
        <c:numFmt formatCode="0%" sourceLinked="0"/>
        <c:majorTickMark val="none"/>
        <c:tickLblPos val="none"/>
        <c:spPr>
          <a:ln w="9525">
            <a:noFill/>
          </a:ln>
        </c:spPr>
        <c:crossAx val="252267136"/>
        <c:crosses val="autoZero"/>
        <c:crossBetween val="between"/>
      </c:valAx>
      <c:spPr>
        <a:ln>
          <a:noFill/>
        </a:ln>
      </c:spPr>
    </c:plotArea>
    <c:legend>
      <c:legendPos val="b"/>
      <c:layout>
        <c:manualLayout>
          <c:xMode val="edge"/>
          <c:yMode val="edge"/>
          <c:x val="0.22137087300316655"/>
          <c:y val="0.67381770833333365"/>
          <c:w val="0.64576285635275299"/>
          <c:h val="5.8629643501937966E-2"/>
        </c:manualLayout>
      </c:layout>
    </c:legend>
    <c:plotVisOnly val="1"/>
    <c:dispBlanksAs val="gap"/>
  </c:chart>
  <c:spPr>
    <a:ln w="12700">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5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网民使用社区交友服务</a:t>
            </a:r>
            <a:endParaRPr lang="en-US" altLang="zh-CN" sz="1200" b="1"/>
          </a:p>
          <a:p>
            <a:pPr>
              <a:defRPr sz="1200" b="1"/>
            </a:pPr>
            <a:r>
              <a:rPr lang="zh-CN" altLang="en-US" sz="1200" b="1"/>
              <a:t>人均单日有效浏览时间</a:t>
            </a:r>
          </a:p>
        </c:rich>
      </c:tx>
      <c:layout>
        <c:manualLayout>
          <c:xMode val="edge"/>
          <c:yMode val="edge"/>
          <c:x val="0.2394263556220893"/>
          <c:y val="2.3739930555555584E-2"/>
        </c:manualLayout>
      </c:layout>
      <c:spPr>
        <a:noFill/>
        <a:ln w="25400">
          <a:noFill/>
        </a:ln>
      </c:spPr>
    </c:title>
    <c:plotArea>
      <c:layout>
        <c:manualLayout>
          <c:layoutTarget val="inner"/>
          <c:xMode val="edge"/>
          <c:yMode val="edge"/>
          <c:x val="0.10063834099945428"/>
          <c:y val="0.27999826388888926"/>
          <c:w val="0.85274582261375864"/>
          <c:h val="0.33697013888888927"/>
        </c:manualLayout>
      </c:layout>
      <c:barChart>
        <c:barDir val="col"/>
        <c:grouping val="clustered"/>
        <c:ser>
          <c:idx val="1"/>
          <c:order val="0"/>
          <c:tx>
            <c:strRef>
              <c:f>'02-网络使用粘性'!$A$375</c:f>
              <c:strCache>
                <c:ptCount val="1"/>
                <c:pt idx="0">
                  <c:v>人均单日有效浏览时间(分)</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'02-网络使用粘性'!$C$369:$N$369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'02-网络使用粘性'!$C$375:$N$375</c:f>
              <c:numCache>
                <c:formatCode>General</c:formatCode>
                <c:ptCount val="12"/>
                <c:pt idx="0">
                  <c:v>12.850000000000007</c:v>
                </c:pt>
                <c:pt idx="1">
                  <c:v>15.083333333333334</c:v>
                </c:pt>
                <c:pt idx="2">
                  <c:v>15.083333333333334</c:v>
                </c:pt>
                <c:pt idx="3">
                  <c:v>14.133333333333333</c:v>
                </c:pt>
                <c:pt idx="4">
                  <c:v>14.933333333333334</c:v>
                </c:pt>
                <c:pt idx="5">
                  <c:v>13.566666666666675</c:v>
                </c:pt>
                <c:pt idx="6">
                  <c:v>12.033333333333333</c:v>
                </c:pt>
                <c:pt idx="7">
                  <c:v>12.933333333333334</c:v>
                </c:pt>
                <c:pt idx="8">
                  <c:v>13.21666666666667</c:v>
                </c:pt>
                <c:pt idx="9">
                  <c:v>11.6</c:v>
                </c:pt>
                <c:pt idx="10">
                  <c:v>14</c:v>
                </c:pt>
                <c:pt idx="11">
                  <c:v>12.233333333333333</c:v>
                </c:pt>
              </c:numCache>
            </c:numRef>
          </c:val>
          <c:extLst xmlns:c16r2="http://schemas.microsoft.com/office/drawing/2015/06/chart">
            <c:ext xmlns:c16="http://schemas.microsoft.com/office/drawing/2014/chart" uri="{C3380CC4-5D6E-409C-BE32-E72D297353CC}">
              <c16:uniqueId val="{00000000-7C87-43D6-BDCA-0D25E5B45290}"/>
            </c:ext>
          </c:extLst>
        </c:ser>
        <c:dLbls>
          <c:showVal val="1"/>
        </c:dLbls>
        <c:gapWidth val="60"/>
        <c:axId val="243793920"/>
        <c:axId val="243795456"/>
      </c:barChart>
      <c:lineChart>
        <c:grouping val="standard"/>
        <c:ser>
          <c:idx val="0"/>
          <c:order val="1"/>
          <c:tx>
            <c:strRef>
              <c:f>'02-网络使用粘性'!$A$376</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C87-43D6-BDCA-0D25E5B45290}"/>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C87-43D6-BDCA-0D25E5B45290}"/>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C87-43D6-BDCA-0D25E5B45290}"/>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C87-43D6-BDCA-0D25E5B45290}"/>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'02-网络使用粘性'!$C$374:$N$374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'02-网络使用粘性'!$C$376:$N$376</c:f>
              <c:numCache>
                <c:formatCode>0.0%</c:formatCode>
                <c:ptCount val="12"/>
                <c:pt idx="0">
                  <c:v>-0.14712389380530988</c:v>
                </c:pt>
                <c:pt idx="1">
                  <c:v>0.17380025940337229</c:v>
                </c:pt>
                <c:pt idx="2">
                  <c:v>0</c:v>
                </c:pt>
                <c:pt idx="3">
                  <c:v>-6.298342541436476E-2</c:v>
                </c:pt>
                <c:pt idx="4">
                  <c:v>5.6603773584905662E-2</c:v>
                </c:pt>
                <c:pt idx="5">
                  <c:v>-9.1517857142857248E-2</c:v>
                </c:pt>
                <c:pt idx="6">
                  <c:v>-0.11302211302211312</c:v>
                </c:pt>
                <c:pt idx="7">
                  <c:v>7.4792243767313027E-2</c:v>
                </c:pt>
                <c:pt idx="8">
                  <c:v>2.1907216494845307E-2</c:v>
                </c:pt>
                <c:pt idx="9">
                  <c:v>-0.12232030264817152</c:v>
                </c:pt>
                <c:pt idx="10">
                  <c:v>0.2068965517241379</c:v>
                </c:pt>
                <c:pt idx="11">
                  <c:v>-0.12619047619047641</c:v>
                </c:pt>
              </c:numCache>
            </c:numRef>
          </c:val>
          <c:extLst xmlns:c16r2="http://schemas.microsoft.com/office/drawing/2015/06/chart">
            <c:ext xmlns:c16="http://schemas.microsoft.com/office/drawing/2014/chart" uri="{C3380CC4-5D6E-409C-BE32-E72D297353CC}">
              <c16:uniqueId val="{00000005-7C87-43D6-BDCA-0D25E5B45290}"/>
            </c:ext>
          </c:extLst>
        </c:ser>
        <c:dLbls>
          <c:showVal val="1"/>
        </c:dLbls>
        <c:marker val="1"/>
        <c:axId val="243796992"/>
        <c:axId val="243815168"/>
      </c:lineChart>
      <c:catAx>
        <c:axId val="24379392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795456"/>
        <c:crosses val="autoZero"/>
        <c:lblAlgn val="ctr"/>
        <c:lblOffset val="100"/>
        <c:tickLblSkip val="1"/>
        <c:tickMarkSkip val="1"/>
      </c:catAx>
      <c:valAx>
        <c:axId val="243795456"/>
        <c:scaling>
          <c:orientation val="minMax"/>
          <c:max val="4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793920"/>
        <c:crosses val="autoZero"/>
        <c:crossBetween val="between"/>
        <c:majorUnit val="10"/>
        <c:minorUnit val="1"/>
      </c:valAx>
      <c:catAx>
        <c:axId val="243796992"/>
        <c:scaling>
          <c:orientation val="minMax"/>
        </c:scaling>
        <c:delete val="1"/>
        <c:axPos val="b"/>
        <c:numFmt formatCode="General" sourceLinked="1"/>
        <c:tickLblPos val="none"/>
        <c:crossAx val="243815168"/>
        <c:crosses val="autoZero"/>
        <c:lblAlgn val="ctr"/>
        <c:lblOffset val="100"/>
      </c:catAx>
      <c:valAx>
        <c:axId val="243815168"/>
        <c:scaling>
          <c:orientation val="minMax"/>
          <c:max val="0.4"/>
          <c:min val="-2"/>
        </c:scaling>
        <c:axPos val="r"/>
        <c:numFmt formatCode="0.0%" sourceLinked="1"/>
        <c:majorTickMark val="none"/>
        <c:tickLblPos val="none"/>
        <c:spPr>
          <a:ln w="3175">
            <a:noFill/>
            <a:prstDash val="solid"/>
          </a:ln>
        </c:spPr>
        <c:crossAx val="243796992"/>
        <c:crosses val="max"/>
        <c:crossBetween val="between"/>
        <c:majorUnit val="0.29000000000000031"/>
        <c:minorUnit val="0.29000000000000031"/>
      </c:valAx>
      <c:spPr>
        <a:noFill/>
        <a:ln w="12700">
          <a:noFill/>
          <a:prstDash val="solid"/>
        </a:ln>
      </c:spPr>
    </c:plotArea>
    <c:legend>
      <c:legendPos val="r"/>
      <c:layout>
        <c:manualLayout>
          <c:xMode val="edge"/>
          <c:yMode val="edge"/>
          <c:x val="9.6404898536260941E-2"/>
          <c:y val="0.70821597222222221"/>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1.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网民使用社区交友服务</a:t>
            </a:r>
            <a:r>
              <a:rPr lang="zh-CN" altLang="zh-CN" sz="1200" b="1" i="0" u="none" strike="noStrike" baseline="0">
                <a:effectLst/>
              </a:rPr>
              <a:t>人均单次浏览页面</a:t>
            </a:r>
            <a:endParaRPr lang="zh-CN" sz="1200" b="1"/>
          </a:p>
        </c:rich>
      </c:tx>
      <c:layout>
        <c:manualLayout>
          <c:xMode val="edge"/>
          <c:yMode val="edge"/>
          <c:x val="0.13617151321431334"/>
          <c:y val="4.5146726862302484E-2"/>
        </c:manualLayout>
      </c:layout>
      <c:spPr>
        <a:noFill/>
        <a:ln w="25400">
          <a:noFill/>
        </a:ln>
      </c:spPr>
    </c:title>
    <c:plotArea>
      <c:layout>
        <c:manualLayout>
          <c:layoutTarget val="inner"/>
          <c:xMode val="edge"/>
          <c:yMode val="edge"/>
          <c:x val="0.10063834099945428"/>
          <c:y val="0.18739422809169182"/>
          <c:w val="0.85274582261375864"/>
          <c:h val="0.42957430555555592"/>
        </c:manualLayout>
      </c:layout>
      <c:barChart>
        <c:barDir val="col"/>
        <c:grouping val="clustered"/>
        <c:ser>
          <c:idx val="1"/>
          <c:order val="0"/>
          <c:tx>
            <c:strRef>
              <c:f>'02-网络使用粘性'!$A$380</c:f>
              <c:strCache>
                <c:ptCount val="1"/>
                <c:pt idx="0">
                  <c:v>人均单次浏览页面(页)</c:v>
                </c:pt>
              </c:strCache>
            </c:strRef>
          </c:tx>
          <c:spPr>
            <a:solidFill>
              <a:srgbClr val="B2D234"/>
            </a:solidFill>
            <a:ln w="12700">
              <a:noFill/>
              <a:prstDash val="solid"/>
            </a:ln>
          </c:spPr>
          <c:dLbls>
            <c:numFmt formatCode="0.00_);[Red]\(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'02-网络使用粘性'!$C$379:$N$379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'02-网络使用粘性'!$C$380:$N$380</c:f>
              <c:numCache>
                <c:formatCode>General</c:formatCode>
                <c:ptCount val="12"/>
                <c:pt idx="0">
                  <c:v>2.9</c:v>
                </c:pt>
                <c:pt idx="1">
                  <c:v>2.8899999999999997</c:v>
                </c:pt>
                <c:pt idx="2">
                  <c:v>3.02</c:v>
                </c:pt>
                <c:pt idx="3">
                  <c:v>2.9499999999999997</c:v>
                </c:pt>
                <c:pt idx="4">
                  <c:v>3.01</c:v>
                </c:pt>
                <c:pt idx="5">
                  <c:v>2.71</c:v>
                </c:pt>
                <c:pt idx="6">
                  <c:v>2.72</c:v>
                </c:pt>
                <c:pt idx="7">
                  <c:v>2.82</c:v>
                </c:pt>
                <c:pt idx="8">
                  <c:v>2.82</c:v>
                </c:pt>
                <c:pt idx="9">
                  <c:v>2.5499999999999998</c:v>
                </c:pt>
                <c:pt idx="10">
                  <c:v>2.9699999999999998</c:v>
                </c:pt>
                <c:pt idx="11">
                  <c:v>2.62</c:v>
                </c:pt>
              </c:numCache>
            </c:numRef>
          </c:val>
          <c:extLst xmlns:c16r2="http://schemas.microsoft.com/office/drawing/2015/06/chart">
            <c:ext xmlns:c16="http://schemas.microsoft.com/office/drawing/2014/chart" uri="{C3380CC4-5D6E-409C-BE32-E72D297353CC}">
              <c16:uniqueId val="{00000000-EFCE-4F45-B9C1-25327EDFA5BD}"/>
            </c:ext>
          </c:extLst>
        </c:ser>
        <c:dLbls>
          <c:showVal val="1"/>
        </c:dLbls>
        <c:gapWidth val="60"/>
        <c:axId val="243934720"/>
        <c:axId val="243936256"/>
      </c:barChart>
      <c:lineChart>
        <c:grouping val="standard"/>
        <c:ser>
          <c:idx val="0"/>
          <c:order val="1"/>
          <c:tx>
            <c:strRef>
              <c:f>'02-网络使用粘性'!$A$381</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CE-4F45-B9C1-25327EDFA5BD}"/>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CE-4F45-B9C1-25327EDFA5BD}"/>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CE-4F45-B9C1-25327EDFA5BD}"/>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CE-4F45-B9C1-25327EDFA5BD}"/>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'02-网络使用粘性'!$C$379:$N$379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'02-网络使用粘性'!$C$381:$N$381</c:f>
              <c:numCache>
                <c:formatCode>0.0%</c:formatCode>
                <c:ptCount val="12"/>
                <c:pt idx="0">
                  <c:v>2.8368794326241158E-2</c:v>
                </c:pt>
                <c:pt idx="1">
                  <c:v>-3.4482758620688614E-3</c:v>
                </c:pt>
                <c:pt idx="2">
                  <c:v>4.4982698961937809E-2</c:v>
                </c:pt>
                <c:pt idx="3">
                  <c:v>-2.3178807947019785E-2</c:v>
                </c:pt>
                <c:pt idx="4">
                  <c:v>2.0338983050847349E-2</c:v>
                </c:pt>
                <c:pt idx="5">
                  <c:v>-9.9667774086378724E-2</c:v>
                </c:pt>
                <c:pt idx="6">
                  <c:v>3.6900369003691775E-3</c:v>
                </c:pt>
                <c:pt idx="7">
                  <c:v>3.6764705882352811E-2</c:v>
                </c:pt>
                <c:pt idx="8">
                  <c:v>0</c:v>
                </c:pt>
                <c:pt idx="9">
                  <c:v>-9.5744680851063843E-2</c:v>
                </c:pt>
                <c:pt idx="10">
                  <c:v>0.16470588235294137</c:v>
                </c:pt>
                <c:pt idx="11">
                  <c:v>-0.11784511784511786</c:v>
                </c:pt>
              </c:numCache>
            </c:numRef>
          </c:val>
          <c:extLst xmlns:c16r2="http://schemas.microsoft.com/office/drawing/2015/06/chart">
            <c:ext xmlns:c16="http://schemas.microsoft.com/office/drawing/2014/chart" uri="{C3380CC4-5D6E-409C-BE32-E72D297353CC}">
              <c16:uniqueId val="{00000005-EFCE-4F45-B9C1-25327EDFA5BD}"/>
            </c:ext>
          </c:extLst>
        </c:ser>
        <c:dLbls>
          <c:showVal val="1"/>
        </c:dLbls>
        <c:marker val="1"/>
        <c:axId val="243962624"/>
        <c:axId val="243964160"/>
      </c:lineChart>
      <c:catAx>
        <c:axId val="24393472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936256"/>
        <c:crosses val="autoZero"/>
        <c:lblAlgn val="ctr"/>
        <c:lblOffset val="100"/>
        <c:tickLblSkip val="1"/>
        <c:tickMarkSkip val="1"/>
      </c:catAx>
      <c:valAx>
        <c:axId val="243936256"/>
        <c:scaling>
          <c:orientation val="minMax"/>
          <c:max val="6"/>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934720"/>
        <c:crosses val="autoZero"/>
        <c:crossBetween val="between"/>
        <c:minorUnit val="1"/>
      </c:valAx>
      <c:catAx>
        <c:axId val="243962624"/>
        <c:scaling>
          <c:orientation val="minMax"/>
        </c:scaling>
        <c:delete val="1"/>
        <c:axPos val="b"/>
        <c:numFmt formatCode="General" sourceLinked="1"/>
        <c:tickLblPos val="none"/>
        <c:crossAx val="243964160"/>
        <c:crosses val="autoZero"/>
        <c:lblAlgn val="ctr"/>
        <c:lblOffset val="100"/>
      </c:catAx>
      <c:valAx>
        <c:axId val="243964160"/>
        <c:scaling>
          <c:orientation val="minMax"/>
          <c:max val="0.5"/>
          <c:min val="-2.5"/>
        </c:scaling>
        <c:axPos val="r"/>
        <c:numFmt formatCode="0.0%" sourceLinked="1"/>
        <c:majorTickMark val="none"/>
        <c:tickLblPos val="none"/>
        <c:spPr>
          <a:ln w="3175">
            <a:noFill/>
            <a:prstDash val="solid"/>
          </a:ln>
        </c:spPr>
        <c:crossAx val="243962624"/>
        <c:crosses val="max"/>
        <c:crossBetween val="between"/>
        <c:majorUnit val="0.29000000000000031"/>
        <c:minorUnit val="0.29000000000000031"/>
      </c:valAx>
      <c:spPr>
        <a:noFill/>
        <a:ln w="12700">
          <a:noFill/>
          <a:prstDash val="solid"/>
        </a:ln>
      </c:spPr>
    </c:plotArea>
    <c:legend>
      <c:legendPos val="r"/>
      <c:layout>
        <c:manualLayout>
          <c:xMode val="edge"/>
          <c:yMode val="edge"/>
          <c:x val="0.10168600299401202"/>
          <c:y val="0.721445138888889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2.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网民使用的主要社区交友网站</a:t>
            </a:r>
            <a:endParaRPr lang="en-US" altLang="zh-CN" sz="1200">
              <a:latin typeface="微软雅黑" panose="020B0503020204020204" pitchFamily="34" charset="-122"/>
              <a:ea typeface="微软雅黑" panose="020B0503020204020204" pitchFamily="34" charset="-122"/>
            </a:endParaRPr>
          </a:p>
        </c:rich>
      </c:tx>
      <c:layout>
        <c:manualLayout>
          <c:xMode val="edge"/>
          <c:yMode val="edge"/>
          <c:x val="0.16550991914645324"/>
          <c:y val="2.1131597222222246E-2"/>
        </c:manualLayout>
      </c:layout>
    </c:title>
    <c:plotArea>
      <c:layout>
        <c:manualLayout>
          <c:layoutTarget val="inner"/>
          <c:xMode val="edge"/>
          <c:yMode val="edge"/>
          <c:x val="0.21121634575310508"/>
          <c:y val="0.14580535115730206"/>
          <c:w val="0.71046407435192127"/>
          <c:h val="0.4837385416666668"/>
        </c:manualLayout>
      </c:layout>
      <c:barChart>
        <c:barDir val="bar"/>
        <c:grouping val="clustered"/>
        <c:ser>
          <c:idx val="1"/>
          <c:order val="0"/>
          <c:tx>
            <c:strRef>
              <c:f>'02-网络使用粘性'!$C$418</c:f>
              <c:strCache>
                <c:ptCount val="1"/>
                <c:pt idx="0">
                  <c:v>月度覆盖比例</c:v>
                </c:pt>
              </c:strCache>
            </c:strRef>
          </c:tx>
          <c:spPr>
            <a:solidFill>
              <a:srgbClr val="B2D234"/>
            </a:solidFill>
            <a:ln w="12700">
              <a:noFill/>
            </a:ln>
          </c:spPr>
          <c:dLbls>
            <c:numFmt formatCode="0.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'02-网络使用粘性'!$B$419:$B$428</c:f>
              <c:strCache>
                <c:ptCount val="10"/>
                <c:pt idx="0">
                  <c:v>腾讯 [微博]</c:v>
                </c:pt>
                <c:pt idx="1">
                  <c:v>网易 [博客]</c:v>
                </c:pt>
                <c:pt idx="2">
                  <c:v>奇虎 [社区搜索]</c:v>
                </c:pt>
                <c:pt idx="3">
                  <c:v>天涯社区 [社区]</c:v>
                </c:pt>
                <c:pt idx="4">
                  <c:v>豆瓣 [独立SNS]</c:v>
                </c:pt>
                <c:pt idx="5">
                  <c:v>知乎 [社区]</c:v>
                </c:pt>
                <c:pt idx="6">
                  <c:v>腾讯 [SNS服务]</c:v>
                </c:pt>
                <c:pt idx="7">
                  <c:v>百度 [社区]</c:v>
                </c:pt>
                <c:pt idx="8">
                  <c:v>新浪微博 [微博]</c:v>
                </c:pt>
                <c:pt idx="9">
                  <c:v>新浪 [博客]</c:v>
                </c:pt>
              </c:strCache>
            </c:strRef>
          </c:cat>
          <c:val>
            <c:numRef>
              <c:f>'02-网络使用粘性'!$C$419:$C$428</c:f>
              <c:numCache>
                <c:formatCode>0.00%</c:formatCode>
                <c:ptCount val="10"/>
                <c:pt idx="0">
                  <c:v>5.6700000000000014E-2</c:v>
                </c:pt>
                <c:pt idx="1">
                  <c:v>6.3899999999999998E-2</c:v>
                </c:pt>
                <c:pt idx="2">
                  <c:v>0.1169</c:v>
                </c:pt>
                <c:pt idx="3">
                  <c:v>0.11860000000000002</c:v>
                </c:pt>
                <c:pt idx="4">
                  <c:v>0.19489999999999999</c:v>
                </c:pt>
                <c:pt idx="5">
                  <c:v>0.20500000000000004</c:v>
                </c:pt>
                <c:pt idx="6">
                  <c:v>0.33700000000000035</c:v>
                </c:pt>
                <c:pt idx="7">
                  <c:v>0.3525000000000002</c:v>
                </c:pt>
                <c:pt idx="8">
                  <c:v>0.35850000000000026</c:v>
                </c:pt>
                <c:pt idx="9">
                  <c:v>0.37360000000000027</c:v>
                </c:pt>
              </c:numCache>
            </c:numRef>
          </c:val>
          <c:extLst xmlns:c16r2="http://schemas.microsoft.com/office/drawing/2015/06/chart">
            <c:ext xmlns:c16="http://schemas.microsoft.com/office/drawing/2014/chart" uri="{C3380CC4-5D6E-409C-BE32-E72D297353CC}">
              <c16:uniqueId val="{00000000-8266-41C1-95B2-FDA311E78372}"/>
            </c:ext>
          </c:extLst>
        </c:ser>
        <c:dLbls>
          <c:showVal val="1"/>
        </c:dLbls>
        <c:gapWidth val="60"/>
        <c:axId val="243971200"/>
        <c:axId val="243978624"/>
      </c:barChart>
      <c:catAx>
        <c:axId val="243971200"/>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43978624"/>
        <c:crosses val="autoZero"/>
        <c:auto val="1"/>
        <c:lblAlgn val="ctr"/>
        <c:lblOffset val="100"/>
      </c:catAx>
      <c:valAx>
        <c:axId val="243978624"/>
        <c:scaling>
          <c:orientation val="minMax"/>
          <c:max val="0.4"/>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43971200"/>
        <c:crosses val="autoZero"/>
        <c:crossBetween val="between"/>
        <c:minorUnit val="1.0000000000000005E-2"/>
      </c:valAx>
      <c:spPr>
        <a:ln>
          <a:noFill/>
        </a:ln>
      </c:spPr>
    </c:plotArea>
    <c:legend>
      <c:legendPos val="b"/>
      <c:layout>
        <c:manualLayout>
          <c:xMode val="edge"/>
          <c:yMode val="edge"/>
          <c:x val="0.20773234975410532"/>
          <c:y val="0.71944444444444489"/>
          <c:w val="0.66534154371926313"/>
          <c:h val="5.4848031496063022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使用电子商务服务网民月度覆盖比例</a:t>
            </a:r>
            <a:endParaRPr lang="zh-CN" sz="1200" b="1"/>
          </a:p>
        </c:rich>
      </c:tx>
      <c:layout>
        <c:manualLayout>
          <c:xMode val="edge"/>
          <c:yMode val="edge"/>
          <c:x val="0.15195694757022615"/>
          <c:y val="2.6863194444444446E-2"/>
        </c:manualLayout>
      </c:layout>
      <c:spPr>
        <a:noFill/>
        <a:ln w="25400">
          <a:noFill/>
        </a:ln>
      </c:spPr>
    </c:title>
    <c:plotArea>
      <c:layout>
        <c:manualLayout>
          <c:layoutTarget val="inner"/>
          <c:xMode val="edge"/>
          <c:yMode val="edge"/>
          <c:x val="0.10063834099945428"/>
          <c:y val="0.18879383320328214"/>
          <c:w val="0.85274582261375864"/>
          <c:h val="0.43839375000000008"/>
        </c:manualLayout>
      </c:layout>
      <c:areaChart>
        <c:grouping val="standard"/>
        <c:ser>
          <c:idx val="1"/>
          <c:order val="0"/>
          <c:tx>
            <c:strRef>
              <c:f>'02-网络使用粘性'!$A$448</c:f>
              <c:strCache>
                <c:ptCount val="1"/>
                <c:pt idx="0">
                  <c:v>月度覆盖比例</c:v>
                </c:pt>
              </c:strCache>
            </c:strRef>
          </c:tx>
          <c:spPr>
            <a:solidFill>
              <a:srgbClr val="B2D234"/>
            </a:solidFill>
            <a:ln w="12700">
              <a:noFill/>
              <a:prstDash val="solid"/>
            </a:ln>
          </c:spPr>
          <c:dLbls>
            <c:dLbl>
              <c:idx val="0"/>
              <c:delete val="1"/>
            </c:dLbl>
            <c:dLbl>
              <c:idx val="1"/>
              <c:layout>
                <c:manualLayout>
                  <c:x val="-5.2807359476105091E-3"/>
                  <c:y val="-0.17202725487128692"/>
                </c:manualLayout>
              </c:layout>
              <c:showVal val="1"/>
            </c:dLbl>
            <c:dLbl>
              <c:idx val="2"/>
              <c:delete val="1"/>
            </c:dLbl>
            <c:dLbl>
              <c:idx val="3"/>
              <c:layout>
                <c:manualLayout>
                  <c:x val="2.6405522288755856E-3"/>
                  <c:y val="-0.15875000000000014"/>
                </c:manualLayout>
              </c:layout>
              <c:showVal val="1"/>
            </c:dLbl>
            <c:dLbl>
              <c:idx val="4"/>
              <c:delete val="1"/>
            </c:dLbl>
            <c:dLbl>
              <c:idx val="5"/>
              <c:layout>
                <c:manualLayout>
                  <c:x val="0"/>
                  <c:y val="-0.17197916666666671"/>
                </c:manualLayout>
              </c:layout>
              <c:showVal val="1"/>
            </c:dLbl>
            <c:dLbl>
              <c:idx val="6"/>
              <c:delete val="1"/>
            </c:dLbl>
            <c:dLbl>
              <c:idx val="7"/>
              <c:layout>
                <c:manualLayout>
                  <c:x val="0"/>
                  <c:y val="-0.1763888888888889"/>
                </c:manualLayout>
              </c:layout>
              <c:showVal val="1"/>
            </c:dLbl>
            <c:dLbl>
              <c:idx val="8"/>
              <c:delete val="1"/>
            </c:dLbl>
            <c:dLbl>
              <c:idx val="9"/>
              <c:layout>
                <c:manualLayout>
                  <c:x val="0"/>
                  <c:y val="-0.18520833333333356"/>
                </c:manualLayout>
              </c:layout>
              <c:showVal val="1"/>
            </c:dLbl>
            <c:dLbl>
              <c:idx val="10"/>
              <c:delete val="1"/>
            </c:dLbl>
            <c:dLbl>
              <c:idx val="11"/>
              <c:layout>
                <c:manualLayout>
                  <c:x val="-2.6405522288755856E-3"/>
                  <c:y val="-0.15875000000000011"/>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'02-网络使用粘性'!$C$447:$N$447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'02-网络使用粘性'!$C$448:$N$448</c:f>
              <c:numCache>
                <c:formatCode>0.00%</c:formatCode>
                <c:ptCount val="12"/>
                <c:pt idx="0">
                  <c:v>0.80670000000000042</c:v>
                </c:pt>
                <c:pt idx="1">
                  <c:v>0.78979999999999995</c:v>
                </c:pt>
                <c:pt idx="2">
                  <c:v>0.81859999999999999</c:v>
                </c:pt>
                <c:pt idx="3">
                  <c:v>0.80100000000000005</c:v>
                </c:pt>
                <c:pt idx="4">
                  <c:v>0.8008000000000004</c:v>
                </c:pt>
                <c:pt idx="5">
                  <c:v>0.8200000000000004</c:v>
                </c:pt>
                <c:pt idx="6">
                  <c:v>0.77710000000000046</c:v>
                </c:pt>
                <c:pt idx="7">
                  <c:v>0.83970000000000045</c:v>
                </c:pt>
                <c:pt idx="8">
                  <c:v>0.8024</c:v>
                </c:pt>
                <c:pt idx="9">
                  <c:v>0.83919999999999995</c:v>
                </c:pt>
                <c:pt idx="10">
                  <c:v>0.83540000000000003</c:v>
                </c:pt>
                <c:pt idx="11">
                  <c:v>0.79659999999999997</c:v>
                </c:pt>
              </c:numCache>
            </c:numRef>
          </c:val>
          <c:extLst xmlns:c16r2="http://schemas.microsoft.com/office/drawing/2015/06/chart">
            <c:ext xmlns:c16="http://schemas.microsoft.com/office/drawing/2014/chart" uri="{C3380CC4-5D6E-409C-BE32-E72D297353CC}">
              <c16:uniqueId val="{00000000-F5FA-4DAB-AFF9-9D01ECF13151}"/>
            </c:ext>
          </c:extLst>
        </c:ser>
        <c:dLbls>
          <c:showVal val="1"/>
        </c:dLbls>
        <c:axId val="243898624"/>
        <c:axId val="243967488"/>
      </c:areaChart>
      <c:catAx>
        <c:axId val="24389862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3967488"/>
        <c:crosses val="autoZero"/>
        <c:lblAlgn val="ctr"/>
        <c:lblOffset val="100"/>
        <c:tickLblSkip val="1"/>
        <c:tickMarkSkip val="1"/>
      </c:catAx>
      <c:valAx>
        <c:axId val="243967488"/>
        <c:scaling>
          <c:orientation val="minMax"/>
          <c:max val="1"/>
          <c:min val="0.5"/>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3898624"/>
        <c:crosses val="autoZero"/>
        <c:crossBetween val="midCat"/>
        <c:majorUnit val="0.1"/>
        <c:minorUnit val="0.1"/>
      </c:valAx>
      <c:spPr>
        <a:noFill/>
        <a:ln w="12700">
          <a:noFill/>
          <a:prstDash val="solid"/>
        </a:ln>
      </c:spPr>
    </c:plotArea>
    <c:legend>
      <c:legendPos val="r"/>
      <c:layout>
        <c:manualLayout>
          <c:xMode val="edge"/>
          <c:yMode val="edge"/>
          <c:x val="0.12019942485621417"/>
          <c:y val="0.71748993055555599"/>
          <c:w val="0.78985335166437565"/>
          <c:h val="5.6548064067966877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网民使用电子商务服务人均月度访问天数</a:t>
            </a:r>
            <a:endParaRPr lang="zh-CN" sz="1200" b="1"/>
          </a:p>
        </c:rich>
      </c:tx>
      <c:layout>
        <c:manualLayout>
          <c:xMode val="edge"/>
          <c:yMode val="edge"/>
          <c:x val="0.11225195442448439"/>
          <c:y val="3.2019791666666693E-2"/>
        </c:manualLayout>
      </c:layout>
      <c:spPr>
        <a:noFill/>
        <a:ln w="25400">
          <a:noFill/>
        </a:ln>
      </c:spPr>
    </c:title>
    <c:plotArea>
      <c:layout>
        <c:manualLayout>
          <c:layoutTarget val="inner"/>
          <c:xMode val="edge"/>
          <c:yMode val="edge"/>
          <c:x val="0.10063834099945428"/>
          <c:y val="0.19117848956663233"/>
          <c:w val="0.85274582261375864"/>
          <c:h val="0.43839375000000008"/>
        </c:manualLayout>
      </c:layout>
      <c:barChart>
        <c:barDir val="col"/>
        <c:grouping val="clustered"/>
        <c:ser>
          <c:idx val="1"/>
          <c:order val="0"/>
          <c:tx>
            <c:strRef>
              <c:f>'02-网络使用粘性'!$A$453</c:f>
              <c:strCache>
                <c:ptCount val="1"/>
                <c:pt idx="0">
                  <c:v>人均月度访问天数(天)</c:v>
                </c:pt>
              </c:strCache>
            </c:strRef>
          </c:tx>
          <c:spPr>
            <a:solidFill>
              <a:srgbClr val="B2D234"/>
            </a:solidFill>
            <a:ln w="12700">
              <a:noFill/>
              <a:prstDash val="solid"/>
            </a:ln>
          </c:spPr>
          <c:dLbls>
            <c:numFmt formatCode="0.00_);[Red]\(0.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'02-网络使用粘性'!$C$452:$N$452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'02-网络使用粘性'!$C$453:$N$453</c:f>
              <c:numCache>
                <c:formatCode>General</c:formatCode>
                <c:ptCount val="12"/>
                <c:pt idx="0">
                  <c:v>6.1</c:v>
                </c:pt>
                <c:pt idx="1">
                  <c:v>6.26</c:v>
                </c:pt>
                <c:pt idx="2">
                  <c:v>6.92</c:v>
                </c:pt>
                <c:pt idx="3">
                  <c:v>6.2700000000000014</c:v>
                </c:pt>
                <c:pt idx="4">
                  <c:v>6.54</c:v>
                </c:pt>
                <c:pt idx="5">
                  <c:v>6.51</c:v>
                </c:pt>
                <c:pt idx="6">
                  <c:v>6.6599999999999975</c:v>
                </c:pt>
                <c:pt idx="7">
                  <c:v>7.05</c:v>
                </c:pt>
                <c:pt idx="8">
                  <c:v>6.9</c:v>
                </c:pt>
                <c:pt idx="9">
                  <c:v>7.2</c:v>
                </c:pt>
                <c:pt idx="10">
                  <c:v>7.21</c:v>
                </c:pt>
                <c:pt idx="11">
                  <c:v>6.78</c:v>
                </c:pt>
              </c:numCache>
            </c:numRef>
          </c:val>
          <c:extLst xmlns:c16r2="http://schemas.microsoft.com/office/drawing/2015/06/chart">
            <c:ext xmlns:c16="http://schemas.microsoft.com/office/drawing/2014/chart" uri="{C3380CC4-5D6E-409C-BE32-E72D297353CC}">
              <c16:uniqueId val="{00000000-BF58-4370-97A8-5DED25E6DF51}"/>
            </c:ext>
          </c:extLst>
        </c:ser>
        <c:dLbls>
          <c:showVal val="1"/>
        </c:dLbls>
        <c:gapWidth val="60"/>
        <c:axId val="244067328"/>
        <c:axId val="244081408"/>
      </c:barChart>
      <c:lineChart>
        <c:grouping val="standard"/>
        <c:ser>
          <c:idx val="0"/>
          <c:order val="1"/>
          <c:tx>
            <c:strRef>
              <c:f>'02-网络使用粘性'!$A$454</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58-4370-97A8-5DED25E6DF51}"/>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F58-4370-97A8-5DED25E6DF51}"/>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58-4370-97A8-5DED25E6DF51}"/>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F58-4370-97A8-5DED25E6DF51}"/>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'02-网络使用粘性'!$C$452:$N$452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'02-网络使用粘性'!$C$454:$N$454</c:f>
              <c:numCache>
                <c:formatCode>0.0%</c:formatCode>
                <c:ptCount val="12"/>
                <c:pt idx="0">
                  <c:v>-0.11078717201166192</c:v>
                </c:pt>
                <c:pt idx="1">
                  <c:v>2.6229508196721436E-2</c:v>
                </c:pt>
                <c:pt idx="2">
                  <c:v>0.10543130990415328</c:v>
                </c:pt>
                <c:pt idx="3">
                  <c:v>-9.3930635838150325E-2</c:v>
                </c:pt>
                <c:pt idx="4">
                  <c:v>4.3062200956937989E-2</c:v>
                </c:pt>
                <c:pt idx="5">
                  <c:v>-4.5871559633028384E-3</c:v>
                </c:pt>
                <c:pt idx="6">
                  <c:v>2.3041474654377888E-2</c:v>
                </c:pt>
                <c:pt idx="7">
                  <c:v>5.8558558558558405E-2</c:v>
                </c:pt>
                <c:pt idx="8">
                  <c:v>-2.1276595744680781E-2</c:v>
                </c:pt>
                <c:pt idx="9">
                  <c:v>4.3478260869565175E-2</c:v>
                </c:pt>
                <c:pt idx="10">
                  <c:v>1.3888888888888857E-3</c:v>
                </c:pt>
                <c:pt idx="11">
                  <c:v>-5.9639389736477089E-2</c:v>
                </c:pt>
              </c:numCache>
            </c:numRef>
          </c:val>
          <c:extLst xmlns:c16r2="http://schemas.microsoft.com/office/drawing/2015/06/chart">
            <c:ext xmlns:c16="http://schemas.microsoft.com/office/drawing/2014/chart" uri="{C3380CC4-5D6E-409C-BE32-E72D297353CC}">
              <c16:uniqueId val="{00000005-BF58-4370-97A8-5DED25E6DF51}"/>
            </c:ext>
          </c:extLst>
        </c:ser>
        <c:dLbls>
          <c:showVal val="1"/>
        </c:dLbls>
        <c:marker val="1"/>
        <c:axId val="244082944"/>
        <c:axId val="244088832"/>
      </c:lineChart>
      <c:catAx>
        <c:axId val="24406732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081408"/>
        <c:crosses val="autoZero"/>
        <c:lblAlgn val="ctr"/>
        <c:lblOffset val="100"/>
        <c:tickLblSkip val="1"/>
        <c:tickMarkSkip val="1"/>
      </c:catAx>
      <c:valAx>
        <c:axId val="244081408"/>
        <c:scaling>
          <c:orientation val="minMax"/>
          <c:max val="12"/>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067328"/>
        <c:crosses val="autoZero"/>
        <c:crossBetween val="between"/>
        <c:majorUnit val="2"/>
      </c:valAx>
      <c:catAx>
        <c:axId val="244082944"/>
        <c:scaling>
          <c:orientation val="minMax"/>
        </c:scaling>
        <c:delete val="1"/>
        <c:axPos val="b"/>
        <c:numFmt formatCode="General" sourceLinked="1"/>
        <c:tickLblPos val="none"/>
        <c:crossAx val="244088832"/>
        <c:crosses val="autoZero"/>
        <c:lblAlgn val="ctr"/>
        <c:lblOffset val="100"/>
      </c:catAx>
      <c:valAx>
        <c:axId val="244088832"/>
        <c:scaling>
          <c:orientation val="minMax"/>
          <c:max val="0.30000000000000027"/>
          <c:min val="-1.7"/>
        </c:scaling>
        <c:axPos val="r"/>
        <c:numFmt formatCode="0.0%" sourceLinked="1"/>
        <c:majorTickMark val="none"/>
        <c:tickLblPos val="none"/>
        <c:spPr>
          <a:ln w="3175">
            <a:noFill/>
            <a:prstDash val="solid"/>
          </a:ln>
        </c:spPr>
        <c:crossAx val="244082944"/>
        <c:crosses val="max"/>
        <c:crossBetween val="between"/>
        <c:majorUnit val="0.29000000000000031"/>
        <c:minorUnit val="0.29000000000000031"/>
      </c:valAx>
      <c:spPr>
        <a:noFill/>
        <a:ln w="12700">
          <a:noFill/>
          <a:prstDash val="solid"/>
        </a:ln>
      </c:spPr>
    </c:plotArea>
    <c:legend>
      <c:legendPos val="r"/>
      <c:layout>
        <c:manualLayout>
          <c:xMode val="edge"/>
          <c:yMode val="edge"/>
          <c:x val="0.11226609281437125"/>
          <c:y val="0.71423993055555612"/>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网民使用电子商务服务人均月度访问次数</a:t>
            </a:r>
            <a:endParaRPr lang="zh-CN" sz="1200" b="1"/>
          </a:p>
        </c:rich>
      </c:tx>
      <c:layout>
        <c:manualLayout>
          <c:xMode val="edge"/>
          <c:yMode val="edge"/>
          <c:x val="0.12066117764471064"/>
          <c:y val="2.9002430555555556E-2"/>
        </c:manualLayout>
      </c:layout>
      <c:spPr>
        <a:noFill/>
        <a:ln w="25400">
          <a:noFill/>
        </a:ln>
      </c:spPr>
    </c:title>
    <c:plotArea>
      <c:layout>
        <c:manualLayout>
          <c:layoutTarget val="inner"/>
          <c:xMode val="edge"/>
          <c:yMode val="edge"/>
          <c:x val="0.10327860502585692"/>
          <c:y val="0.18738072228589481"/>
          <c:w val="0.85274582261375864"/>
          <c:h val="0.44280347222222238"/>
        </c:manualLayout>
      </c:layout>
      <c:barChart>
        <c:barDir val="col"/>
        <c:grouping val="clustered"/>
        <c:ser>
          <c:idx val="1"/>
          <c:order val="0"/>
          <c:tx>
            <c:strRef>
              <c:f>'02-网络使用粘性'!$A$458</c:f>
              <c:strCache>
                <c:ptCount val="1"/>
                <c:pt idx="0">
                  <c:v>人均月度访问次数(次)</c:v>
                </c:pt>
              </c:strCache>
            </c:strRef>
          </c:tx>
          <c:spPr>
            <a:solidFill>
              <a:srgbClr val="B2D234"/>
            </a:solidFill>
            <a:ln w="12700">
              <a:noFill/>
              <a:prstDash val="solid"/>
            </a:ln>
          </c:spPr>
          <c:dLbls>
            <c:dLbl>
              <c:idx val="11"/>
              <c:layout>
                <c:manualLayout>
                  <c:x val="0"/>
                  <c:y val="9.132420091324209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CA-4595-97FC-B0397B5184AD}"/>
                </c:ext>
              </c:extLst>
            </c:dLbl>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'02-网络使用粘性'!$C$457:$N$457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'02-网络使用粘性'!$C$458:$N$458</c:f>
              <c:numCache>
                <c:formatCode>General</c:formatCode>
                <c:ptCount val="12"/>
                <c:pt idx="0">
                  <c:v>51.790000000000013</c:v>
                </c:pt>
                <c:pt idx="1">
                  <c:v>59.24</c:v>
                </c:pt>
                <c:pt idx="2">
                  <c:v>66.489999999999995</c:v>
                </c:pt>
                <c:pt idx="3">
                  <c:v>61.38</c:v>
                </c:pt>
                <c:pt idx="4">
                  <c:v>64.61</c:v>
                </c:pt>
                <c:pt idx="5">
                  <c:v>66.09</c:v>
                </c:pt>
                <c:pt idx="6">
                  <c:v>66.13</c:v>
                </c:pt>
                <c:pt idx="7">
                  <c:v>68.98</c:v>
                </c:pt>
                <c:pt idx="8">
                  <c:v>70.669999999999987</c:v>
                </c:pt>
                <c:pt idx="9">
                  <c:v>70.149999999999991</c:v>
                </c:pt>
                <c:pt idx="10">
                  <c:v>83.52</c:v>
                </c:pt>
                <c:pt idx="11">
                  <c:v>70.53</c:v>
                </c:pt>
              </c:numCache>
            </c:numRef>
          </c:val>
          <c:extLst xmlns:c16r2="http://schemas.microsoft.com/office/drawing/2015/06/chart">
            <c:ext xmlns:c16="http://schemas.microsoft.com/office/drawing/2014/chart" uri="{C3380CC4-5D6E-409C-BE32-E72D297353CC}">
              <c16:uniqueId val="{00000001-B3CA-4595-97FC-B0397B5184AD}"/>
            </c:ext>
          </c:extLst>
        </c:ser>
        <c:dLbls>
          <c:showVal val="1"/>
        </c:dLbls>
        <c:gapWidth val="60"/>
        <c:axId val="244274304"/>
        <c:axId val="244275840"/>
      </c:barChart>
      <c:lineChart>
        <c:grouping val="standard"/>
        <c:ser>
          <c:idx val="0"/>
          <c:order val="1"/>
          <c:tx>
            <c:strRef>
              <c:f>'02-网络使用粘性'!$A$459</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CA-4595-97FC-B0397B5184AD}"/>
                </c:ext>
              </c:extLst>
            </c:dLbl>
            <c:dLbl>
              <c:idx val="1"/>
              <c:layout>
                <c:manualLayout>
                  <c:x val="-5.5558681337000961E-2"/>
                  <c:y val="-4.299979625834446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CA-4595-97FC-B0397B5184AD}"/>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CA-4595-97FC-B0397B5184AD}"/>
                </c:ext>
              </c:extLst>
            </c:dLbl>
            <c:dLbl>
              <c:idx val="3"/>
              <c:layout>
                <c:manualLayout>
                  <c:x val="-4.3214885268054323E-2"/>
                  <c:y val="-3.424321959755034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CA-4595-97FC-B0397B5184AD}"/>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'02-网络使用粘性'!$C$457:$N$457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'02-网络使用粘性'!$C$459:$N$459</c:f>
              <c:numCache>
                <c:formatCode>0.0%</c:formatCode>
                <c:ptCount val="12"/>
                <c:pt idx="0">
                  <c:v>-0.19078125000000001</c:v>
                </c:pt>
                <c:pt idx="1">
                  <c:v>0.1438501641243484</c:v>
                </c:pt>
                <c:pt idx="2">
                  <c:v>0.12238352464550967</c:v>
                </c:pt>
                <c:pt idx="3">
                  <c:v>-7.6853662204842729E-2</c:v>
                </c:pt>
                <c:pt idx="4">
                  <c:v>5.2623004235907503E-2</c:v>
                </c:pt>
                <c:pt idx="5">
                  <c:v>2.2906670793994891E-2</c:v>
                </c:pt>
                <c:pt idx="6">
                  <c:v>6.0523528521705394E-4</c:v>
                </c:pt>
                <c:pt idx="7">
                  <c:v>4.3096930288825157E-2</c:v>
                </c:pt>
                <c:pt idx="8">
                  <c:v>2.449985503044361E-2</c:v>
                </c:pt>
                <c:pt idx="9">
                  <c:v>-7.3581434837979376E-3</c:v>
                </c:pt>
                <c:pt idx="10">
                  <c:v>0.19059158945117591</c:v>
                </c:pt>
                <c:pt idx="11">
                  <c:v>-0.15553160919540238</c:v>
                </c:pt>
              </c:numCache>
            </c:numRef>
          </c:val>
          <c:extLst xmlns:c16r2="http://schemas.microsoft.com/office/drawing/2015/06/chart">
            <c:ext xmlns:c16="http://schemas.microsoft.com/office/drawing/2014/chart" uri="{C3380CC4-5D6E-409C-BE32-E72D297353CC}">
              <c16:uniqueId val="{00000006-B3CA-4595-97FC-B0397B5184AD}"/>
            </c:ext>
          </c:extLst>
        </c:ser>
        <c:dLbls>
          <c:showVal val="1"/>
        </c:dLbls>
        <c:marker val="1"/>
        <c:axId val="244289920"/>
        <c:axId val="244291456"/>
      </c:lineChart>
      <c:catAx>
        <c:axId val="24427430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275840"/>
        <c:crosses val="autoZero"/>
        <c:lblAlgn val="ctr"/>
        <c:lblOffset val="100"/>
        <c:tickLblSkip val="1"/>
        <c:tickMarkSkip val="1"/>
      </c:catAx>
      <c:valAx>
        <c:axId val="244275840"/>
        <c:scaling>
          <c:orientation val="minMax"/>
          <c:max val="14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274304"/>
        <c:crosses val="autoZero"/>
        <c:crossBetween val="between"/>
        <c:majorUnit val="20"/>
      </c:valAx>
      <c:catAx>
        <c:axId val="244289920"/>
        <c:scaling>
          <c:orientation val="minMax"/>
        </c:scaling>
        <c:delete val="1"/>
        <c:axPos val="b"/>
        <c:numFmt formatCode="General" sourceLinked="1"/>
        <c:tickLblPos val="none"/>
        <c:crossAx val="244291456"/>
        <c:crosses val="autoZero"/>
        <c:lblAlgn val="ctr"/>
        <c:lblOffset val="100"/>
      </c:catAx>
      <c:valAx>
        <c:axId val="244291456"/>
        <c:scaling>
          <c:orientation val="minMax"/>
          <c:max val="0.60000000000000053"/>
          <c:min val="-2.5"/>
        </c:scaling>
        <c:axPos val="r"/>
        <c:numFmt formatCode="0.0%" sourceLinked="1"/>
        <c:majorTickMark val="none"/>
        <c:tickLblPos val="none"/>
        <c:spPr>
          <a:ln w="3175">
            <a:noFill/>
            <a:prstDash val="solid"/>
          </a:ln>
        </c:spPr>
        <c:crossAx val="244289920"/>
        <c:crosses val="max"/>
        <c:crossBetween val="between"/>
        <c:majorUnit val="0.29000000000000031"/>
        <c:minorUnit val="0.29000000000000031"/>
      </c:valAx>
      <c:spPr>
        <a:noFill/>
        <a:ln w="12700">
          <a:noFill/>
          <a:prstDash val="solid"/>
        </a:ln>
      </c:spPr>
    </c:plotArea>
    <c:legend>
      <c:legendPos val="r"/>
      <c:layout>
        <c:manualLayout>
          <c:xMode val="edge"/>
          <c:yMode val="edge"/>
          <c:x val="0.11224821190951437"/>
          <c:y val="0.72585486111111153"/>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网民使用电子商务服务</a:t>
            </a:r>
            <a:endParaRPr lang="en-US" altLang="zh-CN" sz="1200" b="1"/>
          </a:p>
          <a:p>
            <a:pPr>
              <a:defRPr sz="1200" b="1"/>
            </a:pPr>
            <a:r>
              <a:rPr lang="zh-CN" altLang="en-US" sz="1200" b="1"/>
              <a:t>人均单日有效浏览时间</a:t>
            </a:r>
          </a:p>
        </c:rich>
      </c:tx>
      <c:layout>
        <c:manualLayout>
          <c:xMode val="edge"/>
          <c:yMode val="edge"/>
          <c:x val="0.23938484621155287"/>
          <c:y val="2.068193808710498E-2"/>
        </c:manualLayout>
      </c:layout>
      <c:spPr>
        <a:noFill/>
        <a:ln w="25400">
          <a:noFill/>
        </a:ln>
      </c:spPr>
    </c:title>
    <c:plotArea>
      <c:layout>
        <c:manualLayout>
          <c:layoutTarget val="inner"/>
          <c:xMode val="edge"/>
          <c:yMode val="edge"/>
          <c:x val="0.10063834099945428"/>
          <c:y val="0.25353993055555535"/>
          <c:w val="0.85274582261375864"/>
          <c:h val="0.38106736111111134"/>
        </c:manualLayout>
      </c:layout>
      <c:barChart>
        <c:barDir val="col"/>
        <c:grouping val="clustered"/>
        <c:ser>
          <c:idx val="1"/>
          <c:order val="0"/>
          <c:tx>
            <c:strRef>
              <c:f>'02-网络使用粘性'!$A$463</c:f>
              <c:strCache>
                <c:ptCount val="1"/>
                <c:pt idx="0">
                  <c:v>人均单日有效浏览时间(分)</c:v>
                </c:pt>
              </c:strCache>
            </c:strRef>
          </c:tx>
          <c:spPr>
            <a:solidFill>
              <a:srgbClr val="B2D234"/>
            </a:solidFill>
            <a:ln w="12700">
              <a:noFill/>
              <a:prstDash val="solid"/>
            </a:ln>
          </c:spPr>
          <c:dLbls>
            <c:dLbl>
              <c:idx val="11"/>
              <c:layout>
                <c:manualLayout>
                  <c:x val="0"/>
                  <c:y val="1.22324188476531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15-458C-AC03-247D7E84DFC7}"/>
                </c:ext>
              </c:extLst>
            </c:dLbl>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'02-网络使用粘性'!$C$462:$N$462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'02-网络使用粘性'!$C$463:$N$463</c:f>
              <c:numCache>
                <c:formatCode>General</c:formatCode>
                <c:ptCount val="12"/>
                <c:pt idx="0">
                  <c:v>16.01666666666668</c:v>
                </c:pt>
                <c:pt idx="1">
                  <c:v>19.633333333333315</c:v>
                </c:pt>
                <c:pt idx="2">
                  <c:v>19.45</c:v>
                </c:pt>
                <c:pt idx="3">
                  <c:v>18.783333333333289</c:v>
                </c:pt>
                <c:pt idx="4">
                  <c:v>18.95</c:v>
                </c:pt>
                <c:pt idx="5">
                  <c:v>20.433333333333302</c:v>
                </c:pt>
                <c:pt idx="6">
                  <c:v>18.350000000000001</c:v>
                </c:pt>
                <c:pt idx="7">
                  <c:v>19.51666666666668</c:v>
                </c:pt>
                <c:pt idx="8">
                  <c:v>21.45</c:v>
                </c:pt>
                <c:pt idx="9">
                  <c:v>21.95</c:v>
                </c:pt>
                <c:pt idx="10">
                  <c:v>24.6</c:v>
                </c:pt>
                <c:pt idx="11">
                  <c:v>21.3</c:v>
                </c:pt>
              </c:numCache>
            </c:numRef>
          </c:val>
          <c:extLst xmlns:c16r2="http://schemas.microsoft.com/office/drawing/2015/06/chart">
            <c:ext xmlns:c16="http://schemas.microsoft.com/office/drawing/2014/chart" uri="{C3380CC4-5D6E-409C-BE32-E72D297353CC}">
              <c16:uniqueId val="{00000001-1315-458C-AC03-247D7E84DFC7}"/>
            </c:ext>
          </c:extLst>
        </c:ser>
        <c:dLbls>
          <c:showVal val="1"/>
        </c:dLbls>
        <c:gapWidth val="60"/>
        <c:axId val="244190208"/>
        <c:axId val="244241152"/>
      </c:barChart>
      <c:lineChart>
        <c:grouping val="standard"/>
        <c:ser>
          <c:idx val="0"/>
          <c:order val="1"/>
          <c:tx>
            <c:strRef>
              <c:f>'02-网络使用粘性'!$A$464</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315-458C-AC03-247D7E84DFC7}"/>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15-458C-AC03-247D7E84DFC7}"/>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15-458C-AC03-247D7E84DFC7}"/>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15-458C-AC03-247D7E84DFC7}"/>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'02-网络使用粘性'!$C$462:$N$462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'02-网络使用粘性'!$C$464:$N$464</c:f>
              <c:numCache>
                <c:formatCode>0.0%</c:formatCode>
                <c:ptCount val="12"/>
                <c:pt idx="0">
                  <c:v>-0.10936051899907323</c:v>
                </c:pt>
                <c:pt idx="1">
                  <c:v>0.22580645161290336</c:v>
                </c:pt>
                <c:pt idx="2">
                  <c:v>-9.337860780984749E-3</c:v>
                </c:pt>
                <c:pt idx="3">
                  <c:v>-3.4275921165381251E-2</c:v>
                </c:pt>
                <c:pt idx="4">
                  <c:v>8.8731144631764066E-3</c:v>
                </c:pt>
                <c:pt idx="5">
                  <c:v>7.8276165347405557E-2</c:v>
                </c:pt>
                <c:pt idx="6">
                  <c:v>-0.10195758564437178</c:v>
                </c:pt>
                <c:pt idx="7">
                  <c:v>6.357856494096259E-2</c:v>
                </c:pt>
                <c:pt idx="8">
                  <c:v>9.9060631938514124E-2</c:v>
                </c:pt>
                <c:pt idx="9">
                  <c:v>2.3310023310023398E-2</c:v>
                </c:pt>
                <c:pt idx="10">
                  <c:v>0.12072892938496582</c:v>
                </c:pt>
                <c:pt idx="11">
                  <c:v>-0.13414634146341478</c:v>
                </c:pt>
              </c:numCache>
            </c:numRef>
          </c:val>
          <c:extLst xmlns:c16r2="http://schemas.microsoft.com/office/drawing/2015/06/chart">
            <c:ext xmlns:c16="http://schemas.microsoft.com/office/drawing/2014/chart" uri="{C3380CC4-5D6E-409C-BE32-E72D297353CC}">
              <c16:uniqueId val="{00000006-1315-458C-AC03-247D7E84DFC7}"/>
            </c:ext>
          </c:extLst>
        </c:ser>
        <c:dLbls>
          <c:showVal val="1"/>
        </c:dLbls>
        <c:marker val="1"/>
        <c:axId val="244242688"/>
        <c:axId val="244383744"/>
      </c:lineChart>
      <c:catAx>
        <c:axId val="24419020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241152"/>
        <c:crosses val="autoZero"/>
        <c:lblAlgn val="ctr"/>
        <c:lblOffset val="100"/>
        <c:tickLblSkip val="1"/>
        <c:tickMarkSkip val="1"/>
      </c:catAx>
      <c:valAx>
        <c:axId val="244241152"/>
        <c:scaling>
          <c:orientation val="minMax"/>
          <c:max val="5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190208"/>
        <c:crosses val="autoZero"/>
        <c:crossBetween val="between"/>
        <c:majorUnit val="10"/>
        <c:minorUnit val="1"/>
      </c:valAx>
      <c:catAx>
        <c:axId val="244242688"/>
        <c:scaling>
          <c:orientation val="minMax"/>
        </c:scaling>
        <c:delete val="1"/>
        <c:axPos val="b"/>
        <c:numFmt formatCode="General" sourceLinked="1"/>
        <c:tickLblPos val="none"/>
        <c:crossAx val="244383744"/>
        <c:crosses val="autoZero"/>
        <c:lblAlgn val="ctr"/>
        <c:lblOffset val="100"/>
      </c:catAx>
      <c:valAx>
        <c:axId val="244383744"/>
        <c:scaling>
          <c:orientation val="minMax"/>
          <c:max val="0.5"/>
          <c:min val="-2.5"/>
        </c:scaling>
        <c:axPos val="r"/>
        <c:numFmt formatCode="0.0%" sourceLinked="1"/>
        <c:majorTickMark val="none"/>
        <c:tickLblPos val="none"/>
        <c:spPr>
          <a:ln w="3175">
            <a:noFill/>
            <a:prstDash val="solid"/>
          </a:ln>
        </c:spPr>
        <c:crossAx val="244242688"/>
        <c:crosses val="max"/>
        <c:crossBetween val="between"/>
        <c:majorUnit val="0.29000000000000031"/>
        <c:minorUnit val="0.29000000000000031"/>
      </c:valAx>
      <c:spPr>
        <a:noFill/>
        <a:ln w="12700">
          <a:noFill/>
          <a:prstDash val="solid"/>
        </a:ln>
      </c:spPr>
    </c:plotArea>
    <c:legend>
      <c:legendPos val="r"/>
      <c:layout>
        <c:manualLayout>
          <c:xMode val="edge"/>
          <c:yMode val="edge"/>
          <c:x val="0.1043265552228876"/>
          <c:y val="0.721445138888889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网民使用电子商务</a:t>
            </a:r>
            <a:r>
              <a:rPr lang="zh-CN" altLang="zh-CN" sz="1200" b="1" i="0" u="none" strike="noStrike" baseline="0">
                <a:effectLst/>
              </a:rPr>
              <a:t>人均单次浏览页面</a:t>
            </a:r>
            <a:endParaRPr lang="zh-CN" sz="1200" b="1"/>
          </a:p>
        </c:rich>
      </c:tx>
      <c:layout>
        <c:manualLayout>
          <c:xMode val="edge"/>
          <c:yMode val="edge"/>
          <c:x val="0.13089051064537588"/>
          <c:y val="3.1917708333333336E-2"/>
        </c:manualLayout>
      </c:layout>
      <c:spPr>
        <a:noFill/>
        <a:ln w="25400">
          <a:noFill/>
        </a:ln>
      </c:spPr>
    </c:title>
    <c:plotArea>
      <c:layout>
        <c:manualLayout>
          <c:layoutTarget val="inner"/>
          <c:xMode val="edge"/>
          <c:yMode val="edge"/>
          <c:x val="0.10063834099945428"/>
          <c:y val="0.18739422809169182"/>
          <c:w val="0.85274582261375864"/>
          <c:h val="0.44280347222222238"/>
        </c:manualLayout>
      </c:layout>
      <c:barChart>
        <c:barDir val="col"/>
        <c:grouping val="clustered"/>
        <c:ser>
          <c:idx val="1"/>
          <c:order val="0"/>
          <c:tx>
            <c:strRef>
              <c:f>'02-网络使用粘性'!$A$468</c:f>
              <c:strCache>
                <c:ptCount val="1"/>
                <c:pt idx="0">
                  <c:v>人均单次浏览页面(页)</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'02-网络使用粘性'!$C$467:$N$467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'02-网络使用粘性'!$C$468:$N$468</c:f>
              <c:numCache>
                <c:formatCode>General</c:formatCode>
                <c:ptCount val="12"/>
                <c:pt idx="0">
                  <c:v>2.65</c:v>
                </c:pt>
                <c:pt idx="1">
                  <c:v>2.77</c:v>
                </c:pt>
                <c:pt idx="2">
                  <c:v>2.66</c:v>
                </c:pt>
                <c:pt idx="3">
                  <c:v>2.63</c:v>
                </c:pt>
                <c:pt idx="4">
                  <c:v>2.54</c:v>
                </c:pt>
                <c:pt idx="5">
                  <c:v>2.59</c:v>
                </c:pt>
                <c:pt idx="6">
                  <c:v>2.7</c:v>
                </c:pt>
                <c:pt idx="7">
                  <c:v>2.79</c:v>
                </c:pt>
                <c:pt idx="8">
                  <c:v>2.8099999999999987</c:v>
                </c:pt>
                <c:pt idx="9">
                  <c:v>2.8299999999999987</c:v>
                </c:pt>
                <c:pt idx="10">
                  <c:v>2.75</c:v>
                </c:pt>
                <c:pt idx="11">
                  <c:v>2.84</c:v>
                </c:pt>
              </c:numCache>
            </c:numRef>
          </c:val>
          <c:extLst xmlns:c16r2="http://schemas.microsoft.com/office/drawing/2015/06/chart">
            <c:ext xmlns:c16="http://schemas.microsoft.com/office/drawing/2014/chart" uri="{C3380CC4-5D6E-409C-BE32-E72D297353CC}">
              <c16:uniqueId val="{00000000-40B6-446C-A713-8F03D96DEB45}"/>
            </c:ext>
          </c:extLst>
        </c:ser>
        <c:dLbls>
          <c:showVal val="1"/>
        </c:dLbls>
        <c:gapWidth val="60"/>
        <c:axId val="244429568"/>
        <c:axId val="244431104"/>
      </c:barChart>
      <c:lineChart>
        <c:grouping val="standard"/>
        <c:ser>
          <c:idx val="0"/>
          <c:order val="1"/>
          <c:tx>
            <c:strRef>
              <c:f>'02-网络使用粘性'!$A$469</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B6-446C-A713-8F03D96DEB45}"/>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B6-446C-A713-8F03D96DEB45}"/>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B6-446C-A713-8F03D96DEB45}"/>
                </c:ext>
              </c:extLst>
            </c:dLbl>
            <c:dLbl>
              <c:idx val="3"/>
              <c:layout>
                <c:manualLayout>
                  <c:x val="-5.3775941373664871E-2"/>
                  <c:y val="-2.802909485638825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B6-446C-A713-8F03D96DEB45}"/>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'02-网络使用粘性'!$C$467:$N$467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'02-网络使用粘性'!$C$469:$N$469</c:f>
              <c:numCache>
                <c:formatCode>0.0%</c:formatCode>
                <c:ptCount val="12"/>
                <c:pt idx="0">
                  <c:v>8.1632653061224358E-2</c:v>
                </c:pt>
                <c:pt idx="1">
                  <c:v>4.5283018867924497E-2</c:v>
                </c:pt>
                <c:pt idx="2">
                  <c:v>-3.9711191335740074E-2</c:v>
                </c:pt>
                <c:pt idx="3">
                  <c:v>-1.1278195488721884E-2</c:v>
                </c:pt>
                <c:pt idx="4">
                  <c:v>-3.4220532319391594E-2</c:v>
                </c:pt>
                <c:pt idx="5">
                  <c:v>1.9685039370078719E-2</c:v>
                </c:pt>
                <c:pt idx="6">
                  <c:v>4.2471042471042567E-2</c:v>
                </c:pt>
                <c:pt idx="7">
                  <c:v>3.3333333333333215E-2</c:v>
                </c:pt>
                <c:pt idx="8">
                  <c:v>7.16845878136208E-3</c:v>
                </c:pt>
                <c:pt idx="9">
                  <c:v>7.1174377224199059E-3</c:v>
                </c:pt>
                <c:pt idx="10">
                  <c:v>-2.8268551236749064E-2</c:v>
                </c:pt>
                <c:pt idx="11">
                  <c:v>3.2727272727272758E-2</c:v>
                </c:pt>
              </c:numCache>
            </c:numRef>
          </c:val>
          <c:extLst xmlns:c16r2="http://schemas.microsoft.com/office/drawing/2015/06/chart">
            <c:ext xmlns:c16="http://schemas.microsoft.com/office/drawing/2014/chart" uri="{C3380CC4-5D6E-409C-BE32-E72D297353CC}">
              <c16:uniqueId val="{00000005-40B6-446C-A713-8F03D96DEB45}"/>
            </c:ext>
          </c:extLst>
        </c:ser>
        <c:dLbls>
          <c:showVal val="1"/>
        </c:dLbls>
        <c:marker val="1"/>
        <c:axId val="244445184"/>
        <c:axId val="244446720"/>
      </c:lineChart>
      <c:catAx>
        <c:axId val="24442956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431104"/>
        <c:crosses val="autoZero"/>
        <c:lblAlgn val="ctr"/>
        <c:lblOffset val="100"/>
        <c:tickLblSkip val="1"/>
        <c:tickMarkSkip val="1"/>
      </c:catAx>
      <c:valAx>
        <c:axId val="244431104"/>
        <c:scaling>
          <c:orientation val="minMax"/>
          <c:max val="5"/>
          <c:min val="0"/>
        </c:scaling>
        <c:axPos val="l"/>
        <c:majorGridlines>
          <c:spPr>
            <a:ln w="12700">
              <a:noFill/>
              <a:prstDash val="solid"/>
            </a:ln>
          </c:spPr>
        </c:majorGridlines>
        <c:numFmt formatCode="0_);[Red]\(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429568"/>
        <c:crosses val="autoZero"/>
        <c:crossBetween val="between"/>
        <c:minorUnit val="1"/>
      </c:valAx>
      <c:catAx>
        <c:axId val="244445184"/>
        <c:scaling>
          <c:orientation val="minMax"/>
        </c:scaling>
        <c:delete val="1"/>
        <c:axPos val="b"/>
        <c:numFmt formatCode="General" sourceLinked="1"/>
        <c:tickLblPos val="none"/>
        <c:crossAx val="244446720"/>
        <c:crosses val="autoZero"/>
        <c:lblAlgn val="ctr"/>
        <c:lblOffset val="100"/>
      </c:catAx>
      <c:valAx>
        <c:axId val="244446720"/>
        <c:scaling>
          <c:orientation val="minMax"/>
          <c:max val="0.55000000000000004"/>
          <c:min val="-2.5"/>
        </c:scaling>
        <c:axPos val="r"/>
        <c:numFmt formatCode="0.0%" sourceLinked="1"/>
        <c:majorTickMark val="none"/>
        <c:tickLblPos val="none"/>
        <c:spPr>
          <a:ln w="3175">
            <a:noFill/>
            <a:prstDash val="solid"/>
          </a:ln>
        </c:spPr>
        <c:crossAx val="244445184"/>
        <c:crosses val="max"/>
        <c:crossBetween val="between"/>
        <c:majorUnit val="0.29000000000000031"/>
        <c:minorUnit val="0.29000000000000031"/>
      </c:valAx>
      <c:spPr>
        <a:noFill/>
        <a:ln w="12700">
          <a:noFill/>
          <a:prstDash val="solid"/>
        </a:ln>
      </c:spPr>
    </c:plotArea>
    <c:legend>
      <c:legendPos val="r"/>
      <c:layout>
        <c:manualLayout>
          <c:xMode val="edge"/>
          <c:yMode val="edge"/>
          <c:x val="0.10696710745176313"/>
          <c:y val="0.7214451388888895"/>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58.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网民使用的主要电子商务网站</a:t>
            </a:r>
            <a:endParaRPr lang="en-US" altLang="zh-CN" sz="1200">
              <a:latin typeface="微软雅黑" panose="020B0503020204020204" pitchFamily="34" charset="-122"/>
              <a:ea typeface="微软雅黑" panose="020B0503020204020204" pitchFamily="34" charset="-122"/>
            </a:endParaRPr>
          </a:p>
        </c:rich>
      </c:tx>
      <c:layout>
        <c:manualLayout>
          <c:xMode val="edge"/>
          <c:yMode val="edge"/>
          <c:x val="0.18667687372411773"/>
          <c:y val="2.5548620093932568E-2"/>
        </c:manualLayout>
      </c:layout>
    </c:title>
    <c:plotArea>
      <c:layout>
        <c:manualLayout>
          <c:layoutTarget val="inner"/>
          <c:xMode val="edge"/>
          <c:yMode val="edge"/>
          <c:x val="0.33824810369259006"/>
          <c:y val="0.14580535115730206"/>
          <c:w val="0.5913718012836543"/>
          <c:h val="0.48814826388888927"/>
        </c:manualLayout>
      </c:layout>
      <c:barChart>
        <c:barDir val="bar"/>
        <c:grouping val="clustered"/>
        <c:ser>
          <c:idx val="1"/>
          <c:order val="0"/>
          <c:tx>
            <c:strRef>
              <c:f>'02-网络使用粘性'!$C$504</c:f>
              <c:strCache>
                <c:ptCount val="1"/>
                <c:pt idx="0">
                  <c:v>月度覆盖比例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'02-网络使用粘性'!$B$505:$B$514</c:f>
              <c:strCache>
                <c:ptCount val="10"/>
                <c:pt idx="0">
                  <c:v>亚马逊中国 [B2C商城]</c:v>
                </c:pt>
                <c:pt idx="1">
                  <c:v>当当网 [B2C商城]</c:v>
                </c:pt>
                <c:pt idx="2">
                  <c:v>国美网站 [B2C商城]</c:v>
                </c:pt>
                <c:pt idx="3">
                  <c:v>唯品会 [B2C商城]</c:v>
                </c:pt>
                <c:pt idx="4">
                  <c:v>阿里巴巴1688.com [B2B平台]</c:v>
                </c:pt>
                <c:pt idx="5">
                  <c:v>淘宝网 [团购]</c:v>
                </c:pt>
                <c:pt idx="6">
                  <c:v>苏宁易购 [B2C商城]</c:v>
                </c:pt>
                <c:pt idx="7">
                  <c:v>京东商城 [B2C商城]</c:v>
                </c:pt>
                <c:pt idx="8">
                  <c:v>天猫 [B2C商城]</c:v>
                </c:pt>
                <c:pt idx="9">
                  <c:v>淘宝网 [C2C平台]</c:v>
                </c:pt>
              </c:strCache>
            </c:strRef>
          </c:cat>
          <c:val>
            <c:numRef>
              <c:f>'02-网络使用粘性'!$C$505:$C$514</c:f>
              <c:numCache>
                <c:formatCode>0.00%</c:formatCode>
                <c:ptCount val="10"/>
                <c:pt idx="0">
                  <c:v>6.5500000000000003E-2</c:v>
                </c:pt>
                <c:pt idx="1">
                  <c:v>6.9100000000000023E-2</c:v>
                </c:pt>
                <c:pt idx="2">
                  <c:v>7.0999999999999994E-2</c:v>
                </c:pt>
                <c:pt idx="3">
                  <c:v>7.640000000000001E-2</c:v>
                </c:pt>
                <c:pt idx="4">
                  <c:v>9.3600000000000072E-2</c:v>
                </c:pt>
                <c:pt idx="5">
                  <c:v>0.15150000000000011</c:v>
                </c:pt>
                <c:pt idx="6">
                  <c:v>0.15160000000000001</c:v>
                </c:pt>
                <c:pt idx="7">
                  <c:v>0.33130000000000037</c:v>
                </c:pt>
                <c:pt idx="8">
                  <c:v>0.43560000000000026</c:v>
                </c:pt>
                <c:pt idx="9">
                  <c:v>0.64980000000000071</c:v>
                </c:pt>
              </c:numCache>
            </c:numRef>
          </c:val>
          <c:extLst xmlns:c16r2="http://schemas.microsoft.com/office/drawing/2015/06/chart">
            <c:ext xmlns:c16="http://schemas.microsoft.com/office/drawing/2014/chart" uri="{C3380CC4-5D6E-409C-BE32-E72D297353CC}">
              <c16:uniqueId val="{00000000-14EE-486A-A3D3-9B40347FF055}"/>
            </c:ext>
          </c:extLst>
        </c:ser>
        <c:dLbls>
          <c:showVal val="1"/>
        </c:dLbls>
        <c:gapWidth val="60"/>
        <c:axId val="244340992"/>
        <c:axId val="244404608"/>
      </c:barChart>
      <c:catAx>
        <c:axId val="244340992"/>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44404608"/>
        <c:crosses val="autoZero"/>
        <c:auto val="1"/>
        <c:lblAlgn val="ctr"/>
        <c:lblOffset val="100"/>
      </c:catAx>
      <c:valAx>
        <c:axId val="244404608"/>
        <c:scaling>
          <c:orientation val="minMax"/>
          <c:max val="0.70000000000000051"/>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44340992"/>
        <c:crosses val="autoZero"/>
        <c:crossBetween val="between"/>
        <c:majorUnit val="0.1"/>
        <c:minorUnit val="1.0000000000000005E-2"/>
      </c:valAx>
      <c:spPr>
        <a:ln>
          <a:noFill/>
        </a:ln>
      </c:spPr>
    </c:plotArea>
    <c:legend>
      <c:legendPos val="b"/>
      <c:layout>
        <c:manualLayout>
          <c:xMode val="edge"/>
          <c:yMode val="edge"/>
          <c:x val="0.2315508043677586"/>
          <c:y val="0.72395833333333393"/>
          <c:w val="0.67063453363340952"/>
          <c:h val="5.4848031496063022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59.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sz="1200" b="1"/>
              <a:t>2017</a:t>
            </a:r>
            <a:r>
              <a:rPr lang="zh-CN" sz="1200" b="1"/>
              <a:t>年</a:t>
            </a:r>
            <a:r>
              <a:rPr lang="zh-CN" altLang="zh-CN" sz="1200" b="1" i="0" u="none" strike="noStrike" baseline="0">
                <a:effectLst/>
              </a:rPr>
              <a:t>陕西省</a:t>
            </a:r>
            <a:r>
              <a:rPr lang="zh-CN" sz="1200" b="1"/>
              <a:t>网民</a:t>
            </a:r>
            <a:r>
              <a:rPr lang="zh-CN" altLang="en-US" sz="1200" b="1"/>
              <a:t>在移动端单机使用天数</a:t>
            </a:r>
            <a:endParaRPr lang="zh-CN" sz="1200" b="1"/>
          </a:p>
        </c:rich>
      </c:tx>
      <c:spPr>
        <a:noFill/>
        <a:ln w="25400">
          <a:noFill/>
        </a:ln>
      </c:spPr>
    </c:title>
    <c:plotArea>
      <c:layout>
        <c:manualLayout>
          <c:layoutTarget val="inner"/>
          <c:xMode val="edge"/>
          <c:yMode val="edge"/>
          <c:x val="0.10063834099945428"/>
          <c:y val="0.17401145833333348"/>
          <c:w val="0.85274582261375864"/>
          <c:h val="0.48073298611111109"/>
        </c:manualLayout>
      </c:layout>
      <c:barChart>
        <c:barDir val="col"/>
        <c:grouping val="clustered"/>
        <c:ser>
          <c:idx val="1"/>
          <c:order val="0"/>
          <c:tx>
            <c:strRef>
              <c:f>'04-移动端网民网络使用粘性'!$A$12</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'04-移动端网民网络使用粘性'!$C$12:$N$12</c:f>
              <c:numCache>
                <c:formatCode>General</c:formatCode>
                <c:ptCount val="12"/>
                <c:pt idx="0">
                  <c:v>26.58</c:v>
                </c:pt>
                <c:pt idx="1">
                  <c:v>23.55</c:v>
                </c:pt>
                <c:pt idx="2">
                  <c:v>26.27</c:v>
                </c:pt>
                <c:pt idx="3">
                  <c:v>24.939999999999987</c:v>
                </c:pt>
                <c:pt idx="4">
                  <c:v>25.88</c:v>
                </c:pt>
                <c:pt idx="5">
                  <c:v>25.06</c:v>
                </c:pt>
                <c:pt idx="6">
                  <c:v>26.38</c:v>
                </c:pt>
                <c:pt idx="7">
                  <c:v>26.45</c:v>
                </c:pt>
                <c:pt idx="8">
                  <c:v>25.87</c:v>
                </c:pt>
                <c:pt idx="9">
                  <c:v>26.759999999999987</c:v>
                </c:pt>
                <c:pt idx="10">
                  <c:v>25.79</c:v>
                </c:pt>
                <c:pt idx="11">
                  <c:v>27.05</c:v>
                </c:pt>
              </c:numCache>
            </c:numRef>
          </c:val>
          <c:extLst xmlns:c16r2="http://schemas.microsoft.com/office/drawing/2015/06/chart">
            <c:ext xmlns:c16="http://schemas.microsoft.com/office/drawing/2014/chart" uri="{C3380CC4-5D6E-409C-BE32-E72D297353CC}">
              <c16:uniqueId val="{00000000-1510-4921-B76C-AA4BE9D6018C}"/>
            </c:ext>
          </c:extLst>
        </c:ser>
        <c:dLbls>
          <c:showVal val="1"/>
        </c:dLbls>
        <c:gapWidth val="60"/>
        <c:axId val="244503680"/>
        <c:axId val="244505216"/>
      </c:barChart>
      <c:lineChart>
        <c:grouping val="standard"/>
        <c:ser>
          <c:idx val="0"/>
          <c:order val="1"/>
          <c:tx>
            <c:strRef>
              <c:f>'04-移动端网民网络使用粘性'!$A$13</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10-4921-B76C-AA4BE9D6018C}"/>
                </c:ext>
              </c:extLst>
            </c:dLbl>
            <c:dLbl>
              <c:idx val="1"/>
              <c:layout>
                <c:manualLayout>
                  <c:x val="-5.553992879602921E-2"/>
                  <c:y val="-4.7414785072395785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510-4921-B76C-AA4BE9D6018C}"/>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510-4921-B76C-AA4BE9D6018C}"/>
                </c:ext>
              </c:extLst>
            </c:dLbl>
            <c:dLbl>
              <c:idx val="3"/>
              <c:layout>
                <c:manualLayout>
                  <c:x val="-4.5782532043705151E-2"/>
                  <c:y val="-5.5552156699836978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510-4921-B76C-AA4BE9D6018C}"/>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'04-移动端网民网络使用粘性'!$C$13:$N$13</c:f>
              <c:numCache>
                <c:formatCode>0.0%</c:formatCode>
                <c:ptCount val="12"/>
                <c:pt idx="0">
                  <c:v>2.7842227378190219E-2</c:v>
                </c:pt>
                <c:pt idx="1">
                  <c:v>-0.11399548532731374</c:v>
                </c:pt>
                <c:pt idx="2">
                  <c:v>0.11549893842887471</c:v>
                </c:pt>
                <c:pt idx="3">
                  <c:v>-5.0628092881613962E-2</c:v>
                </c:pt>
                <c:pt idx="4">
                  <c:v>3.7690457097032885E-2</c:v>
                </c:pt>
                <c:pt idx="5">
                  <c:v>-3.1684698608964529E-2</c:v>
                </c:pt>
                <c:pt idx="6">
                  <c:v>5.2673583399840414E-2</c:v>
                </c:pt>
                <c:pt idx="7">
                  <c:v>2.6535253980288793E-3</c:v>
                </c:pt>
                <c:pt idx="8">
                  <c:v>-2.1928166351606767E-2</c:v>
                </c:pt>
                <c:pt idx="9">
                  <c:v>3.4402783146501685E-2</c:v>
                </c:pt>
                <c:pt idx="10">
                  <c:v>-3.624813153961149E-2</c:v>
                </c:pt>
                <c:pt idx="11">
                  <c:v>4.8856145792943062E-2</c:v>
                </c:pt>
              </c:numCache>
            </c:numRef>
          </c:val>
          <c:extLst xmlns:c16r2="http://schemas.microsoft.com/office/drawing/2015/06/chart">
            <c:ext xmlns:c16="http://schemas.microsoft.com/office/drawing/2014/chart" uri="{C3380CC4-5D6E-409C-BE32-E72D297353CC}">
              <c16:uniqueId val="{00000005-1510-4921-B76C-AA4BE9D6018C}"/>
            </c:ext>
          </c:extLst>
        </c:ser>
        <c:dLbls>
          <c:showVal val="1"/>
        </c:dLbls>
        <c:marker val="1"/>
        <c:axId val="244515200"/>
        <c:axId val="244516736"/>
      </c:lineChart>
      <c:catAx>
        <c:axId val="24450368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505216"/>
        <c:crosses val="autoZero"/>
        <c:lblAlgn val="ctr"/>
        <c:lblOffset val="100"/>
        <c:tickLblSkip val="1"/>
        <c:tickMarkSkip val="1"/>
      </c:catAx>
      <c:valAx>
        <c:axId val="244505216"/>
        <c:scaling>
          <c:orientation val="minMax"/>
          <c:max val="32"/>
          <c:min val="2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503680"/>
        <c:crosses val="autoZero"/>
        <c:crossBetween val="between"/>
        <c:majorUnit val="5"/>
      </c:valAx>
      <c:catAx>
        <c:axId val="244515200"/>
        <c:scaling>
          <c:orientation val="minMax"/>
        </c:scaling>
        <c:delete val="1"/>
        <c:axPos val="b"/>
        <c:numFmt formatCode="General" sourceLinked="1"/>
        <c:tickLblPos val="none"/>
        <c:crossAx val="244516736"/>
        <c:crosses val="autoZero"/>
        <c:lblAlgn val="ctr"/>
        <c:lblOffset val="100"/>
      </c:catAx>
      <c:valAx>
        <c:axId val="244516736"/>
        <c:scaling>
          <c:orientation val="minMax"/>
          <c:max val="0.30000000000000027"/>
          <c:min val="-1.7"/>
        </c:scaling>
        <c:axPos val="r"/>
        <c:numFmt formatCode="0.0%" sourceLinked="1"/>
        <c:majorTickMark val="none"/>
        <c:tickLblPos val="none"/>
        <c:spPr>
          <a:ln w="3175">
            <a:noFill/>
            <a:prstDash val="solid"/>
          </a:ln>
        </c:spPr>
        <c:crossAx val="244515200"/>
        <c:crosses val="max"/>
        <c:crossBetween val="between"/>
        <c:majorUnit val="0.29000000000000031"/>
        <c:minorUnit val="0.29000000000000031"/>
      </c:valAx>
      <c:spPr>
        <a:noFill/>
        <a:ln w="12700">
          <a:noFill/>
          <a:prstDash val="solid"/>
        </a:ln>
      </c:spPr>
    </c:plotArea>
    <c:legend>
      <c:legendPos val="r"/>
      <c:layout>
        <c:manualLayout>
          <c:xMode val="edge"/>
          <c:yMode val="edge"/>
          <c:x val="0.10432668927498159"/>
          <c:y val="0.75229409722222262"/>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lgn="ctr" rtl="0">
              <a:defRPr sz="1200"/>
            </a:pPr>
            <a:r>
              <a:rPr lang="en-US" sz="1200"/>
              <a:t>2017</a:t>
            </a:r>
            <a:r>
              <a:rPr lang="zh-CN" sz="1200"/>
              <a:t>年陕西省网民所在行业分布</a:t>
            </a:r>
          </a:p>
        </c:rich>
      </c:tx>
      <c:layout>
        <c:manualLayout>
          <c:xMode val="edge"/>
          <c:yMode val="edge"/>
          <c:x val="0.27312874251497027"/>
          <c:y val="2.116666666666667E-2"/>
        </c:manualLayout>
      </c:layout>
    </c:title>
    <c:plotArea>
      <c:layout>
        <c:manualLayout>
          <c:layoutTarget val="inner"/>
          <c:xMode val="edge"/>
          <c:yMode val="edge"/>
          <c:x val="0.28800460393270555"/>
          <c:y val="0.1114169260462234"/>
          <c:w val="0.66668226047904233"/>
          <c:h val="0.66438027777777775"/>
        </c:manualLayout>
      </c:layout>
      <c:barChart>
        <c:barDir val="bar"/>
        <c:grouping val="clustered"/>
        <c:ser>
          <c:idx val="1"/>
          <c:order val="0"/>
          <c:spPr>
            <a:solidFill>
              <a:srgbClr val="B2D234"/>
            </a:solidFill>
            <a:ln w="12700">
              <a:noFill/>
            </a:ln>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网民规模与基本属性PC端!$E$166:$E$177</c:f>
              <c:strCache>
                <c:ptCount val="12"/>
                <c:pt idx="0">
                  <c:v>其他</c:v>
                </c:pt>
                <c:pt idx="1">
                  <c:v>媒介/广告/咨询</c:v>
                </c:pt>
                <c:pt idx="2">
                  <c:v>邮电通讯</c:v>
                </c:pt>
                <c:pt idx="3">
                  <c:v>旅游/餐饮/酒店</c:v>
                </c:pt>
                <c:pt idx="4">
                  <c:v>银行/金融/证券/保险/投资</c:v>
                </c:pt>
                <c:pt idx="5">
                  <c:v>健康/医疗服务</c:v>
                </c:pt>
                <c:pt idx="6">
                  <c:v>建筑/房地产</c:v>
                </c:pt>
                <c:pt idx="7">
                  <c:v>商业/贸易</c:v>
                </c:pt>
                <c:pt idx="8">
                  <c:v>政府机关/社会团体</c:v>
                </c:pt>
                <c:pt idx="9">
                  <c:v>IT行业</c:v>
                </c:pt>
                <c:pt idx="10">
                  <c:v>制造业</c:v>
                </c:pt>
                <c:pt idx="11">
                  <c:v>教育/科研</c:v>
                </c:pt>
              </c:strCache>
            </c:strRef>
          </c:cat>
          <c:val>
            <c:numRef>
              <c:f>网民规模与基本属性PC端!$F$166:$F$177</c:f>
              <c:numCache>
                <c:formatCode>0.0%</c:formatCode>
                <c:ptCount val="12"/>
                <c:pt idx="0">
                  <c:v>0.27269530975318179</c:v>
                </c:pt>
                <c:pt idx="1">
                  <c:v>1.9759510582940724E-2</c:v>
                </c:pt>
                <c:pt idx="2">
                  <c:v>2.3767667533928689E-2</c:v>
                </c:pt>
                <c:pt idx="3">
                  <c:v>2.4400534420926802E-2</c:v>
                </c:pt>
                <c:pt idx="4">
                  <c:v>3.4526404612896425E-2</c:v>
                </c:pt>
                <c:pt idx="5">
                  <c:v>3.8886154278883339E-2</c:v>
                </c:pt>
                <c:pt idx="6">
                  <c:v>6.0052035721819864E-2</c:v>
                </c:pt>
                <c:pt idx="7">
                  <c:v>6.1036495323816942E-2</c:v>
                </c:pt>
                <c:pt idx="8">
                  <c:v>8.4522888685746561E-2</c:v>
                </c:pt>
                <c:pt idx="9">
                  <c:v>8.9234231066732325E-2</c:v>
                </c:pt>
                <c:pt idx="10">
                  <c:v>0.13233949792560298</c:v>
                </c:pt>
                <c:pt idx="11">
                  <c:v>0.15877927009352374</c:v>
                </c:pt>
              </c:numCache>
            </c:numRef>
          </c:val>
          <c:extLst xmlns:c16r2="http://schemas.microsoft.com/office/drawing/2015/06/chart">
            <c:ext xmlns:c16="http://schemas.microsoft.com/office/drawing/2014/chart" uri="{C3380CC4-5D6E-409C-BE32-E72D297353CC}">
              <c16:uniqueId val="{00000000-4911-4C39-B757-2D1007CCD263}"/>
            </c:ext>
          </c:extLst>
        </c:ser>
        <c:dLbls>
          <c:showVal val="1"/>
        </c:dLbls>
        <c:gapWidth val="60"/>
        <c:axId val="208810752"/>
        <c:axId val="208812288"/>
      </c:barChart>
      <c:catAx>
        <c:axId val="208810752"/>
        <c:scaling>
          <c:orientation val="minMax"/>
        </c:scaling>
        <c:axPos val="l"/>
        <c:numFmt formatCode="General" sourceLinked="0"/>
        <c:majorTickMark val="none"/>
        <c:tickLblPos val="nextTo"/>
        <c:spPr>
          <a:ln w="12700">
            <a:solidFill>
              <a:schemeClr val="tx1">
                <a:lumMod val="50000"/>
                <a:lumOff val="50000"/>
              </a:schemeClr>
            </a:solidFill>
          </a:ln>
        </c:spPr>
        <c:crossAx val="208812288"/>
        <c:crosses val="autoZero"/>
        <c:auto val="1"/>
        <c:lblAlgn val="ctr"/>
        <c:lblOffset val="100"/>
      </c:catAx>
      <c:valAx>
        <c:axId val="208812288"/>
        <c:scaling>
          <c:orientation val="minMax"/>
          <c:max val="0.30000000000000032"/>
          <c:min val="0"/>
        </c:scaling>
        <c:delete val="1"/>
        <c:axPos val="b"/>
        <c:majorGridlines>
          <c:spPr>
            <a:ln>
              <a:noFill/>
            </a:ln>
          </c:spPr>
        </c:majorGridlines>
        <c:numFmt formatCode="0%" sourceLinked="0"/>
        <c:majorTickMark val="none"/>
        <c:tickLblPos val="none"/>
        <c:crossAx val="208810752"/>
        <c:crosses val="autoZero"/>
        <c:crossBetween val="between"/>
        <c:majorUnit val="0.1"/>
      </c:valAx>
      <c:spPr>
        <a:ln>
          <a:noFill/>
        </a:ln>
      </c:spPr>
    </c:plotArea>
    <c:plotVisOnly val="1"/>
    <c:dispBlanksAs val="gap"/>
  </c:chart>
  <c:spPr>
    <a:ln w="12700">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6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a:t>网民与全国网民单机使用天数（天）</a:t>
            </a:r>
            <a:endParaRPr lang="zh-CN" sz="1200" b="1"/>
          </a:p>
        </c:rich>
      </c:tx>
      <c:layout>
        <c:manualLayout>
          <c:xMode val="edge"/>
          <c:yMode val="edge"/>
          <c:x val="0.15728902648721602"/>
          <c:y val="2.3198048424762786E-2"/>
        </c:manualLayout>
      </c:layout>
      <c:spPr>
        <a:noFill/>
        <a:ln w="25400">
          <a:noFill/>
        </a:ln>
      </c:spPr>
    </c:title>
    <c:plotArea>
      <c:layout>
        <c:manualLayout>
          <c:layoutTarget val="inner"/>
          <c:xMode val="edge"/>
          <c:yMode val="edge"/>
          <c:x val="0.10063832131889246"/>
          <c:y val="0.18188993740721782"/>
          <c:w val="0.85274582261375864"/>
          <c:h val="0.46330083601732802"/>
        </c:manualLayout>
      </c:layout>
      <c:lineChart>
        <c:grouping val="standard"/>
        <c:ser>
          <c:idx val="1"/>
          <c:order val="0"/>
          <c:tx>
            <c:strRef>
              <c:f>'04-移动端网民网络使用粘性'!$A$12</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elete val="1"/>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'04-移动端网民网络使用粘性'!$C$12:$N$12</c:f>
              <c:numCache>
                <c:formatCode>General</c:formatCode>
                <c:ptCount val="12"/>
                <c:pt idx="0">
                  <c:v>26.58</c:v>
                </c:pt>
                <c:pt idx="1">
                  <c:v>23.55</c:v>
                </c:pt>
                <c:pt idx="2">
                  <c:v>26.27</c:v>
                </c:pt>
                <c:pt idx="3">
                  <c:v>24.939999999999987</c:v>
                </c:pt>
                <c:pt idx="4">
                  <c:v>25.88</c:v>
                </c:pt>
                <c:pt idx="5">
                  <c:v>25.06</c:v>
                </c:pt>
                <c:pt idx="6">
                  <c:v>26.38</c:v>
                </c:pt>
                <c:pt idx="7">
                  <c:v>26.45</c:v>
                </c:pt>
                <c:pt idx="8">
                  <c:v>25.87</c:v>
                </c:pt>
                <c:pt idx="9">
                  <c:v>26.759999999999987</c:v>
                </c:pt>
                <c:pt idx="10">
                  <c:v>25.79</c:v>
                </c:pt>
                <c:pt idx="11">
                  <c:v>27.05</c:v>
                </c:pt>
              </c:numCache>
            </c:numRef>
          </c:val>
          <c:extLst xmlns:c16r2="http://schemas.microsoft.com/office/drawing/2015/06/chart">
            <c:ext xmlns:c16="http://schemas.microsoft.com/office/drawing/2014/chart" uri="{C3380CC4-5D6E-409C-BE32-E72D297353CC}">
              <c16:uniqueId val="{00000000-9BCC-46D4-89A4-0BF848B90F4B}"/>
            </c:ext>
          </c:extLst>
        </c:ser>
        <c:ser>
          <c:idx val="0"/>
          <c:order val="1"/>
          <c:tx>
            <c:strRef>
              <c:f>'04-移动端网民网络使用粘性'!$A$15</c:f>
              <c:strCache>
                <c:ptCount val="1"/>
                <c:pt idx="0">
                  <c:v>全国</c:v>
                </c:pt>
              </c:strCache>
            </c:strRef>
          </c:tx>
          <c:spPr>
            <a:ln>
              <a:solidFill>
                <a:srgbClr val="1EC8F3"/>
              </a:solidFill>
            </a:ln>
          </c:spPr>
          <c:marker>
            <c:symbol val="circle"/>
            <c:size val="5"/>
            <c:spPr>
              <a:solidFill>
                <a:srgbClr val="1EC8F3"/>
              </a:solidFill>
              <a:ln>
                <a:solidFill>
                  <a:srgbClr val="1EC8F3"/>
                </a:solidFill>
              </a:ln>
            </c:spPr>
          </c:marker>
          <c:dLbls>
            <c:numFmt formatCode="0.0_);[Red]\(0.0\)" sourceLinked="0"/>
            <c:dLblPos val="t"/>
            <c:showVal val="1"/>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'04-移动端网民网络使用粘性'!$C$15:$N$15</c:f>
              <c:numCache>
                <c:formatCode>General</c:formatCode>
                <c:ptCount val="12"/>
                <c:pt idx="0">
                  <c:v>26.630000000000013</c:v>
                </c:pt>
                <c:pt idx="1">
                  <c:v>23.57</c:v>
                </c:pt>
                <c:pt idx="2">
                  <c:v>26.17</c:v>
                </c:pt>
                <c:pt idx="3">
                  <c:v>24.979999999999986</c:v>
                </c:pt>
                <c:pt idx="4">
                  <c:v>25.84</c:v>
                </c:pt>
                <c:pt idx="5">
                  <c:v>25.14</c:v>
                </c:pt>
                <c:pt idx="6">
                  <c:v>26.22</c:v>
                </c:pt>
                <c:pt idx="7">
                  <c:v>26.45</c:v>
                </c:pt>
                <c:pt idx="8">
                  <c:v>25.85</c:v>
                </c:pt>
                <c:pt idx="9">
                  <c:v>26.610000000000014</c:v>
                </c:pt>
                <c:pt idx="10">
                  <c:v>25.779999999999987</c:v>
                </c:pt>
                <c:pt idx="11">
                  <c:v>26.959999999999987</c:v>
                </c:pt>
              </c:numCache>
            </c:numRef>
          </c:val>
        </c:ser>
        <c:dLbls>
          <c:showVal val="1"/>
        </c:dLbls>
        <c:marker val="1"/>
        <c:axId val="244546560"/>
        <c:axId val="244564736"/>
      </c:lineChart>
      <c:catAx>
        <c:axId val="24454656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564736"/>
        <c:crosses val="autoZero"/>
        <c:lblAlgn val="ctr"/>
        <c:lblOffset val="100"/>
        <c:tickLblSkip val="1"/>
        <c:tickMarkSkip val="1"/>
      </c:catAx>
      <c:valAx>
        <c:axId val="244564736"/>
        <c:scaling>
          <c:orientation val="minMax"/>
          <c:max val="28"/>
          <c:min val="22"/>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546560"/>
        <c:crosses val="autoZero"/>
        <c:crossBetween val="between"/>
        <c:majorUnit val="2"/>
        <c:minorUnit val="1"/>
      </c:valAx>
      <c:spPr>
        <a:noFill/>
        <a:ln w="12700">
          <a:noFill/>
          <a:prstDash val="solid"/>
        </a:ln>
      </c:spPr>
    </c:plotArea>
    <c:legend>
      <c:legendPos val="r"/>
      <c:layout>
        <c:manualLayout>
          <c:xMode val="edge"/>
          <c:yMode val="edge"/>
          <c:x val="0.10168812077787874"/>
          <c:y val="0.75564263948814669"/>
          <c:w val="0.84763665170319569"/>
          <c:h val="6.5750028214499684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1.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sz="1200" b="1"/>
              <a:t>2017</a:t>
            </a:r>
            <a:r>
              <a:rPr lang="zh-CN" sz="1200" b="1"/>
              <a:t>年</a:t>
            </a:r>
            <a:r>
              <a:rPr lang="zh-CN" altLang="zh-CN" sz="1200" b="1" i="0" u="none" strike="noStrike" baseline="0">
                <a:effectLst/>
              </a:rPr>
              <a:t>陕西省</a:t>
            </a:r>
            <a:r>
              <a:rPr lang="zh-CN" sz="1200" b="1"/>
              <a:t>网民</a:t>
            </a:r>
            <a:r>
              <a:rPr lang="zh-CN" altLang="zh-CN" sz="1200" b="1" i="0" u="none" strike="noStrike" baseline="0">
                <a:effectLst/>
              </a:rPr>
              <a:t>在移动端</a:t>
            </a:r>
            <a:r>
              <a:rPr lang="zh-CN" altLang="en-US" sz="1200" b="1"/>
              <a:t>单机</a:t>
            </a:r>
            <a:r>
              <a:rPr lang="zh-CN" sz="1200" b="1"/>
              <a:t>单日使用次数</a:t>
            </a:r>
          </a:p>
        </c:rich>
      </c:tx>
      <c:spPr>
        <a:noFill/>
        <a:ln w="25400">
          <a:noFill/>
        </a:ln>
      </c:spPr>
    </c:title>
    <c:plotArea>
      <c:layout>
        <c:manualLayout>
          <c:layoutTarget val="inner"/>
          <c:xMode val="edge"/>
          <c:yMode val="edge"/>
          <c:x val="0.10063834099945428"/>
          <c:y val="0.16050338078601112"/>
          <c:w val="0.85274582261375864"/>
          <c:h val="0.46211252810598236"/>
        </c:manualLayout>
      </c:layout>
      <c:barChart>
        <c:barDir val="col"/>
        <c:grouping val="clustered"/>
        <c:ser>
          <c:idx val="1"/>
          <c:order val="0"/>
          <c:tx>
            <c:strRef>
              <c:f>'04-移动端网民网络使用粘性'!$A$18</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'04-移动端网民网络使用粘性'!$C$17:$N$17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'04-移动端网民网络使用粘性'!$C$18:$N$18</c:f>
              <c:numCache>
                <c:formatCode>General</c:formatCode>
                <c:ptCount val="12"/>
                <c:pt idx="0">
                  <c:v>20.14</c:v>
                </c:pt>
                <c:pt idx="1">
                  <c:v>20.73</c:v>
                </c:pt>
                <c:pt idx="2">
                  <c:v>20.5</c:v>
                </c:pt>
                <c:pt idx="3">
                  <c:v>20.399999999999999</c:v>
                </c:pt>
                <c:pt idx="4">
                  <c:v>21.08</c:v>
                </c:pt>
                <c:pt idx="5">
                  <c:v>21.05</c:v>
                </c:pt>
                <c:pt idx="6">
                  <c:v>22.21</c:v>
                </c:pt>
                <c:pt idx="7">
                  <c:v>24.41</c:v>
                </c:pt>
                <c:pt idx="8">
                  <c:v>23.03</c:v>
                </c:pt>
                <c:pt idx="9">
                  <c:v>25.310000000000013</c:v>
                </c:pt>
                <c:pt idx="10">
                  <c:v>24.86</c:v>
                </c:pt>
                <c:pt idx="11">
                  <c:v>25.17</c:v>
                </c:pt>
              </c:numCache>
            </c:numRef>
          </c:val>
          <c:extLst xmlns:c16r2="http://schemas.microsoft.com/office/drawing/2015/06/chart">
            <c:ext xmlns:c16="http://schemas.microsoft.com/office/drawing/2014/chart" uri="{C3380CC4-5D6E-409C-BE32-E72D297353CC}">
              <c16:uniqueId val="{00000000-16D0-464A-A0A2-ACFDC3782827}"/>
            </c:ext>
          </c:extLst>
        </c:ser>
        <c:dLbls>
          <c:showVal val="1"/>
        </c:dLbls>
        <c:gapWidth val="60"/>
        <c:axId val="244697344"/>
        <c:axId val="244580352"/>
      </c:barChart>
      <c:lineChart>
        <c:grouping val="standard"/>
        <c:ser>
          <c:idx val="0"/>
          <c:order val="1"/>
          <c:tx>
            <c:strRef>
              <c:f>'04-移动端网民网络使用粘性'!$A$19</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D0-464A-A0A2-ACFDC3782827}"/>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6D0-464A-A0A2-ACFDC3782827}"/>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6D0-464A-A0A2-ACFDC3782827}"/>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16D0-464A-A0A2-ACFDC3782827}"/>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'04-移动端网民网络使用粘性'!$C$17:$N$17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'04-移动端网民网络使用粘性'!$C$19:$N$19</c:f>
              <c:numCache>
                <c:formatCode>0.0%</c:formatCode>
                <c:ptCount val="12"/>
                <c:pt idx="0">
                  <c:v>-9.8328416912487754E-3</c:v>
                </c:pt>
                <c:pt idx="1">
                  <c:v>2.9294935451837041E-2</c:v>
                </c:pt>
                <c:pt idx="2">
                  <c:v>-1.1095031355523369E-2</c:v>
                </c:pt>
                <c:pt idx="3">
                  <c:v>-4.8780487804879272E-3</c:v>
                </c:pt>
                <c:pt idx="4">
                  <c:v>3.3333333333333215E-2</c:v>
                </c:pt>
                <c:pt idx="5">
                  <c:v>-1.4231499051232674E-3</c:v>
                </c:pt>
                <c:pt idx="6">
                  <c:v>5.5106888361045062E-2</c:v>
                </c:pt>
                <c:pt idx="7">
                  <c:v>9.9054479963980271E-2</c:v>
                </c:pt>
                <c:pt idx="8">
                  <c:v>-5.6534207292093373E-2</c:v>
                </c:pt>
                <c:pt idx="9">
                  <c:v>9.9001302648718897E-2</c:v>
                </c:pt>
                <c:pt idx="10">
                  <c:v>-1.7779533781114187E-2</c:v>
                </c:pt>
                <c:pt idx="11">
                  <c:v>1.2469831053901981E-2</c:v>
                </c:pt>
              </c:numCache>
            </c:numRef>
          </c:val>
          <c:extLst xmlns:c16r2="http://schemas.microsoft.com/office/drawing/2015/06/chart">
            <c:ext xmlns:c16="http://schemas.microsoft.com/office/drawing/2014/chart" uri="{C3380CC4-5D6E-409C-BE32-E72D297353CC}">
              <c16:uniqueId val="{00000005-16D0-464A-A0A2-ACFDC3782827}"/>
            </c:ext>
          </c:extLst>
        </c:ser>
        <c:dLbls>
          <c:showVal val="1"/>
        </c:dLbls>
        <c:marker val="1"/>
        <c:axId val="244581888"/>
        <c:axId val="244583424"/>
      </c:lineChart>
      <c:catAx>
        <c:axId val="24469734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580352"/>
        <c:crosses val="autoZero"/>
        <c:lblAlgn val="ctr"/>
        <c:lblOffset val="100"/>
        <c:tickLblSkip val="1"/>
        <c:tickMarkSkip val="1"/>
      </c:catAx>
      <c:valAx>
        <c:axId val="244580352"/>
        <c:scaling>
          <c:orientation val="minMax"/>
          <c:max val="32"/>
          <c:min val="15"/>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697344"/>
        <c:crosses val="autoZero"/>
        <c:crossBetween val="between"/>
        <c:majorUnit val="5"/>
      </c:valAx>
      <c:catAx>
        <c:axId val="244581888"/>
        <c:scaling>
          <c:orientation val="minMax"/>
        </c:scaling>
        <c:delete val="1"/>
        <c:axPos val="b"/>
        <c:numFmt formatCode="General" sourceLinked="1"/>
        <c:tickLblPos val="none"/>
        <c:crossAx val="244583424"/>
        <c:crosses val="autoZero"/>
        <c:lblAlgn val="ctr"/>
        <c:lblOffset val="100"/>
      </c:catAx>
      <c:valAx>
        <c:axId val="244583424"/>
        <c:scaling>
          <c:orientation val="minMax"/>
          <c:max val="0.30000000000000027"/>
          <c:min val="-1.7"/>
        </c:scaling>
        <c:axPos val="r"/>
        <c:numFmt formatCode="0.0%" sourceLinked="1"/>
        <c:majorTickMark val="none"/>
        <c:tickLblPos val="none"/>
        <c:spPr>
          <a:ln w="3175">
            <a:noFill/>
            <a:prstDash val="solid"/>
          </a:ln>
        </c:spPr>
        <c:crossAx val="244581888"/>
        <c:crosses val="max"/>
        <c:crossBetween val="between"/>
        <c:majorUnit val="0.29000000000000031"/>
        <c:minorUnit val="0.29000000000000031"/>
      </c:valAx>
      <c:spPr>
        <a:noFill/>
        <a:ln w="12700">
          <a:noFill/>
          <a:prstDash val="solid"/>
        </a:ln>
      </c:spPr>
    </c:plotArea>
    <c:legend>
      <c:legendPos val="r"/>
      <c:layout>
        <c:manualLayout>
          <c:xMode val="edge"/>
          <c:yMode val="edge"/>
          <c:x val="0.11752931636726545"/>
          <c:y val="0.72704409722222263"/>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a:t>
            </a:r>
            <a:r>
              <a:rPr lang="zh-CN" altLang="en-US" sz="1200" b="1" i="0" u="none" strike="noStrike" baseline="0">
                <a:effectLst/>
              </a:rPr>
              <a:t>及</a:t>
            </a:r>
            <a:r>
              <a:rPr lang="zh-CN" altLang="en-US" sz="1200" b="1"/>
              <a:t>全国网民单机单日使用次数（次）</a:t>
            </a:r>
            <a:endParaRPr lang="zh-CN" sz="1200" b="1"/>
          </a:p>
        </c:rich>
      </c:tx>
      <c:layout>
        <c:manualLayout>
          <c:xMode val="edge"/>
          <c:yMode val="edge"/>
          <c:x val="0.12560167502167577"/>
          <c:y val="2.3198048424762786E-2"/>
        </c:manualLayout>
      </c:layout>
      <c:spPr>
        <a:noFill/>
        <a:ln w="25400">
          <a:noFill/>
        </a:ln>
      </c:spPr>
    </c:title>
    <c:plotArea>
      <c:layout>
        <c:manualLayout>
          <c:layoutTarget val="inner"/>
          <c:xMode val="edge"/>
          <c:yMode val="edge"/>
          <c:x val="0.10063832131889246"/>
          <c:y val="0.18188993740721782"/>
          <c:w val="0.85274582261375864"/>
          <c:h val="0.46330083601732802"/>
        </c:manualLayout>
      </c:layout>
      <c:lineChart>
        <c:grouping val="standard"/>
        <c:ser>
          <c:idx val="1"/>
          <c:order val="0"/>
          <c:tx>
            <c:strRef>
              <c:f>'04-移动端网民网络使用粘性'!$A$12</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8"/>
              <c:layout>
                <c:manualLayout>
                  <c:x val="-4.3563662675252447E-2"/>
                  <c:y val="5.3517262933092592E-2"/>
                </c:manualLayout>
              </c:layout>
              <c:dLblPos val="r"/>
              <c:showVal val="1"/>
            </c:dLbl>
            <c:numFmt formatCode="0.0_);[Red]\(0.0\)" sourceLinked="0"/>
            <c:dLblPos val="t"/>
            <c:showVal val="1"/>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'04-移动端网民网络使用粘性'!$C$20:$N$20</c:f>
              <c:numCache>
                <c:formatCode>General</c:formatCode>
                <c:ptCount val="12"/>
                <c:pt idx="0">
                  <c:v>20.14</c:v>
                </c:pt>
                <c:pt idx="1">
                  <c:v>20.73</c:v>
                </c:pt>
                <c:pt idx="2">
                  <c:v>20.5</c:v>
                </c:pt>
                <c:pt idx="3">
                  <c:v>20.399999999999999</c:v>
                </c:pt>
                <c:pt idx="4">
                  <c:v>21.08</c:v>
                </c:pt>
                <c:pt idx="5">
                  <c:v>21.05</c:v>
                </c:pt>
                <c:pt idx="6">
                  <c:v>22.21</c:v>
                </c:pt>
                <c:pt idx="7">
                  <c:v>24.41</c:v>
                </c:pt>
                <c:pt idx="8">
                  <c:v>23.03</c:v>
                </c:pt>
                <c:pt idx="9">
                  <c:v>25.310000000000013</c:v>
                </c:pt>
                <c:pt idx="10">
                  <c:v>24.86</c:v>
                </c:pt>
                <c:pt idx="11">
                  <c:v>25.17</c:v>
                </c:pt>
              </c:numCache>
            </c:numRef>
          </c:val>
          <c:extLst xmlns:c16r2="http://schemas.microsoft.com/office/drawing/2015/06/chart">
            <c:ext xmlns:c16="http://schemas.microsoft.com/office/drawing/2014/chart" uri="{C3380CC4-5D6E-409C-BE32-E72D297353CC}">
              <c16:uniqueId val="{00000000-9BCC-46D4-89A4-0BF848B90F4B}"/>
            </c:ext>
          </c:extLst>
        </c:ser>
        <c:ser>
          <c:idx val="0"/>
          <c:order val="1"/>
          <c:tx>
            <c:strRef>
              <c:f>'04-移动端网民网络使用粘性'!$A$15</c:f>
              <c:strCache>
                <c:ptCount val="1"/>
                <c:pt idx="0">
                  <c:v>全国</c:v>
                </c:pt>
              </c:strCache>
            </c:strRef>
          </c:tx>
          <c:spPr>
            <a:ln>
              <a:solidFill>
                <a:srgbClr val="1EC8F3"/>
              </a:solidFill>
            </a:ln>
          </c:spPr>
          <c:marker>
            <c:symbol val="circle"/>
            <c:size val="5"/>
            <c:spPr>
              <a:solidFill>
                <a:srgbClr val="1EC8F3"/>
              </a:solidFill>
              <a:ln>
                <a:solidFill>
                  <a:srgbClr val="1EC8F3"/>
                </a:solidFill>
              </a:ln>
            </c:spPr>
          </c:marker>
          <c:dLbls>
            <c:dLbl>
              <c:idx val="8"/>
              <c:layout>
                <c:manualLayout>
                  <c:x val="-5.1485500541637474E-2"/>
                  <c:y val="-7.1157488996345136E-2"/>
                </c:manualLayout>
              </c:layout>
              <c:dLblPos val="r"/>
              <c:showVal val="1"/>
            </c:dLbl>
            <c:numFmt formatCode="0.0_);[Red]\(0.0\)" sourceLinked="0"/>
            <c:dLblPos val="b"/>
            <c:showVal val="1"/>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'04-移动端网民网络使用粘性'!$C$23:$N$23</c:f>
              <c:numCache>
                <c:formatCode>General</c:formatCode>
                <c:ptCount val="12"/>
                <c:pt idx="0">
                  <c:v>20.010000000000005</c:v>
                </c:pt>
                <c:pt idx="1">
                  <c:v>20.39</c:v>
                </c:pt>
                <c:pt idx="2">
                  <c:v>20.079999999999988</c:v>
                </c:pt>
                <c:pt idx="3">
                  <c:v>19.939999999999987</c:v>
                </c:pt>
                <c:pt idx="4">
                  <c:v>20.64</c:v>
                </c:pt>
                <c:pt idx="5">
                  <c:v>20.71</c:v>
                </c:pt>
                <c:pt idx="6">
                  <c:v>21.68</c:v>
                </c:pt>
                <c:pt idx="7">
                  <c:v>23.38</c:v>
                </c:pt>
                <c:pt idx="8">
                  <c:v>23.5</c:v>
                </c:pt>
                <c:pt idx="9">
                  <c:v>24.86</c:v>
                </c:pt>
                <c:pt idx="10">
                  <c:v>24.9</c:v>
                </c:pt>
                <c:pt idx="11">
                  <c:v>24.810000000000013</c:v>
                </c:pt>
              </c:numCache>
            </c:numRef>
          </c:val>
        </c:ser>
        <c:dLbls>
          <c:showVal val="1"/>
        </c:dLbls>
        <c:marker val="1"/>
        <c:axId val="244634368"/>
        <c:axId val="244635904"/>
      </c:lineChart>
      <c:catAx>
        <c:axId val="24463436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635904"/>
        <c:crosses val="autoZero"/>
        <c:lblAlgn val="ctr"/>
        <c:lblOffset val="100"/>
        <c:tickLblSkip val="1"/>
        <c:tickMarkSkip val="1"/>
      </c:catAx>
      <c:valAx>
        <c:axId val="244635904"/>
        <c:scaling>
          <c:orientation val="minMax"/>
          <c:max val="26"/>
          <c:min val="18"/>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634368"/>
        <c:crosses val="autoZero"/>
        <c:crossBetween val="between"/>
        <c:majorUnit val="2"/>
        <c:minorUnit val="1"/>
      </c:valAx>
      <c:spPr>
        <a:noFill/>
        <a:ln w="12700">
          <a:noFill/>
          <a:prstDash val="solid"/>
        </a:ln>
      </c:spPr>
    </c:plotArea>
    <c:legend>
      <c:legendPos val="r"/>
      <c:layout>
        <c:manualLayout>
          <c:xMode val="edge"/>
          <c:yMode val="edge"/>
          <c:x val="0.10168812077787874"/>
          <c:y val="0.75564263948814669"/>
          <c:w val="0.84763665170319569"/>
          <c:h val="6.5750028214499684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sz="1200" b="1"/>
              <a:t>2017</a:t>
            </a:r>
            <a:r>
              <a:rPr lang="zh-CN" sz="1200" b="1"/>
              <a:t>年</a:t>
            </a:r>
            <a:r>
              <a:rPr lang="zh-CN" altLang="zh-CN" sz="1200" b="1" i="0" u="none" strike="noStrike" baseline="0">
                <a:effectLst/>
              </a:rPr>
              <a:t>陕西省</a:t>
            </a:r>
            <a:r>
              <a:rPr lang="zh-CN" altLang="en-US" sz="1200" b="1" i="0" u="none" strike="noStrike" baseline="0">
                <a:effectLst/>
              </a:rPr>
              <a:t>网民在</a:t>
            </a:r>
            <a:r>
              <a:rPr lang="zh-CN" sz="1200" b="1"/>
              <a:t>移动端</a:t>
            </a:r>
            <a:r>
              <a:rPr lang="zh-CN" altLang="en-US" sz="1200" b="1"/>
              <a:t>单机</a:t>
            </a:r>
            <a:r>
              <a:rPr lang="zh-CN" sz="1200" b="1"/>
              <a:t>单次有效时间</a:t>
            </a:r>
          </a:p>
        </c:rich>
      </c:tx>
      <c:spPr>
        <a:noFill/>
        <a:ln w="25400">
          <a:noFill/>
        </a:ln>
      </c:spPr>
    </c:title>
    <c:plotArea>
      <c:layout>
        <c:manualLayout>
          <c:layoutTarget val="inner"/>
          <c:xMode val="edge"/>
          <c:yMode val="edge"/>
          <c:x val="0.10063834099945428"/>
          <c:y val="0.15157454328109976"/>
          <c:w val="0.85274582261375864"/>
          <c:h val="0.47151701388888911"/>
        </c:manualLayout>
      </c:layout>
      <c:barChart>
        <c:barDir val="col"/>
        <c:grouping val="clustered"/>
        <c:ser>
          <c:idx val="1"/>
          <c:order val="0"/>
          <c:tx>
            <c:strRef>
              <c:f>'04-移动端网民网络使用粘性'!$A$24</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'04-移动端网民网络使用粘性'!$C$23:$N$23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'04-移动端网民网络使用粘性'!$C$24:$N$24</c:f>
              <c:numCache>
                <c:formatCode>General</c:formatCode>
                <c:ptCount val="12"/>
                <c:pt idx="0">
                  <c:v>7.59</c:v>
                </c:pt>
                <c:pt idx="1">
                  <c:v>7.83</c:v>
                </c:pt>
                <c:pt idx="2">
                  <c:v>7.75</c:v>
                </c:pt>
                <c:pt idx="3">
                  <c:v>7.85</c:v>
                </c:pt>
                <c:pt idx="4">
                  <c:v>7.7700000000000014</c:v>
                </c:pt>
                <c:pt idx="5">
                  <c:v>7.6599999999999975</c:v>
                </c:pt>
                <c:pt idx="6">
                  <c:v>7.29</c:v>
                </c:pt>
                <c:pt idx="7">
                  <c:v>7.09</c:v>
                </c:pt>
                <c:pt idx="8">
                  <c:v>6.81</c:v>
                </c:pt>
                <c:pt idx="9">
                  <c:v>6.49</c:v>
                </c:pt>
                <c:pt idx="10">
                  <c:v>6.52</c:v>
                </c:pt>
                <c:pt idx="11">
                  <c:v>6.57</c:v>
                </c:pt>
              </c:numCache>
            </c:numRef>
          </c:val>
          <c:extLst xmlns:c16r2="http://schemas.microsoft.com/office/drawing/2015/06/chart">
            <c:ext xmlns:c16="http://schemas.microsoft.com/office/drawing/2014/chart" uri="{C3380CC4-5D6E-409C-BE32-E72D297353CC}">
              <c16:uniqueId val="{00000000-7112-4BF7-9420-29AD00DBE0B2}"/>
            </c:ext>
          </c:extLst>
        </c:ser>
        <c:dLbls>
          <c:showVal val="1"/>
        </c:dLbls>
        <c:gapWidth val="60"/>
        <c:axId val="244776960"/>
        <c:axId val="244778496"/>
      </c:barChart>
      <c:lineChart>
        <c:grouping val="standard"/>
        <c:ser>
          <c:idx val="0"/>
          <c:order val="1"/>
          <c:tx>
            <c:strRef>
              <c:f>'04-移动端网民网络使用粘性'!$A$25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12-4BF7-9420-29AD00DBE0B2}"/>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112-4BF7-9420-29AD00DBE0B2}"/>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112-4BF7-9420-29AD00DBE0B2}"/>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112-4BF7-9420-29AD00DBE0B2}"/>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'04-移动端网民网络使用粘性'!$C$23:$N$23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'04-移动端网民网络使用粘性'!$C$25:$N$25</c:f>
              <c:numCache>
                <c:formatCode>0.0%</c:formatCode>
                <c:ptCount val="12"/>
                <c:pt idx="0">
                  <c:v>2.0161290322580513E-2</c:v>
                </c:pt>
                <c:pt idx="1">
                  <c:v>3.1620553359683834E-2</c:v>
                </c:pt>
                <c:pt idx="2">
                  <c:v>-1.021711366538958E-2</c:v>
                </c:pt>
                <c:pt idx="3">
                  <c:v>1.2903225806451649E-2</c:v>
                </c:pt>
                <c:pt idx="4">
                  <c:v>-1.0191082802547761E-2</c:v>
                </c:pt>
                <c:pt idx="5">
                  <c:v>-1.4157014157014092E-2</c:v>
                </c:pt>
                <c:pt idx="6">
                  <c:v>-4.8302872062663149E-2</c:v>
                </c:pt>
                <c:pt idx="7">
                  <c:v>-2.7434842249657112E-2</c:v>
                </c:pt>
                <c:pt idx="8">
                  <c:v>-3.9492242595204605E-2</c:v>
                </c:pt>
                <c:pt idx="9">
                  <c:v>-4.6989720998531513E-2</c:v>
                </c:pt>
                <c:pt idx="10">
                  <c:v>4.6224961479197635E-3</c:v>
                </c:pt>
                <c:pt idx="11">
                  <c:v>7.6687116564417845E-3</c:v>
                </c:pt>
              </c:numCache>
            </c:numRef>
          </c:val>
          <c:extLst xmlns:c16r2="http://schemas.microsoft.com/office/drawing/2015/06/chart">
            <c:ext xmlns:c16="http://schemas.microsoft.com/office/drawing/2014/chart" uri="{C3380CC4-5D6E-409C-BE32-E72D297353CC}">
              <c16:uniqueId val="{00000005-7112-4BF7-9420-29AD00DBE0B2}"/>
            </c:ext>
          </c:extLst>
        </c:ser>
        <c:dLbls>
          <c:showVal val="1"/>
        </c:dLbls>
        <c:marker val="1"/>
        <c:axId val="244780032"/>
        <c:axId val="244802304"/>
      </c:lineChart>
      <c:catAx>
        <c:axId val="24477696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778496"/>
        <c:crosses val="autoZero"/>
        <c:lblAlgn val="ctr"/>
        <c:lblOffset val="100"/>
        <c:tickLblSkip val="1"/>
        <c:tickMarkSkip val="1"/>
      </c:catAx>
      <c:valAx>
        <c:axId val="244778496"/>
        <c:scaling>
          <c:orientation val="minMax"/>
          <c:max val="1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776960"/>
        <c:crosses val="autoZero"/>
        <c:crossBetween val="between"/>
        <c:majorUnit val="5"/>
        <c:minorUnit val="1"/>
      </c:valAx>
      <c:catAx>
        <c:axId val="244780032"/>
        <c:scaling>
          <c:orientation val="minMax"/>
        </c:scaling>
        <c:delete val="1"/>
        <c:axPos val="b"/>
        <c:numFmt formatCode="General" sourceLinked="1"/>
        <c:tickLblPos val="none"/>
        <c:crossAx val="244802304"/>
        <c:crosses val="autoZero"/>
        <c:lblAlgn val="ctr"/>
        <c:lblOffset val="100"/>
      </c:catAx>
      <c:valAx>
        <c:axId val="244802304"/>
        <c:scaling>
          <c:orientation val="minMax"/>
          <c:max val="0.30000000000000027"/>
          <c:min val="-1.7"/>
        </c:scaling>
        <c:axPos val="r"/>
        <c:numFmt formatCode="0.0%" sourceLinked="1"/>
        <c:majorTickMark val="none"/>
        <c:tickLblPos val="none"/>
        <c:spPr>
          <a:ln w="3175">
            <a:noFill/>
            <a:prstDash val="solid"/>
          </a:ln>
        </c:spPr>
        <c:crossAx val="244780032"/>
        <c:crosses val="max"/>
        <c:crossBetween val="between"/>
        <c:majorUnit val="0.29000000000000031"/>
        <c:minorUnit val="0.29000000000000031"/>
      </c:valAx>
      <c:spPr>
        <a:noFill/>
        <a:ln w="12700">
          <a:noFill/>
          <a:prstDash val="solid"/>
        </a:ln>
      </c:spPr>
    </c:plotArea>
    <c:legend>
      <c:legendPos val="r"/>
      <c:layout>
        <c:manualLayout>
          <c:xMode val="edge"/>
          <c:yMode val="edge"/>
          <c:x val="0.13601318196939474"/>
          <c:y val="0.7273805555555557"/>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a:t>
            </a:r>
            <a:r>
              <a:rPr lang="zh-CN" altLang="zh-CN" sz="1200" b="1" i="0" u="none" strike="noStrike" baseline="0">
                <a:effectLst/>
              </a:rPr>
              <a:t>陕西省</a:t>
            </a:r>
            <a:r>
              <a:rPr lang="zh-CN" altLang="en-US" sz="1200" b="1" i="0" u="none" strike="noStrike" baseline="0">
                <a:effectLst/>
              </a:rPr>
              <a:t>及</a:t>
            </a:r>
            <a:r>
              <a:rPr lang="zh-CN" altLang="en-US" sz="1200" b="1"/>
              <a:t>全国网民单机单次有效时间（分钟）</a:t>
            </a:r>
            <a:endParaRPr lang="zh-CN" sz="1200" b="1"/>
          </a:p>
        </c:rich>
      </c:tx>
      <c:layout>
        <c:manualLayout>
          <c:xMode val="edge"/>
          <c:yMode val="edge"/>
          <c:x val="0.15728902648721602"/>
          <c:y val="2.3198048424762786E-2"/>
        </c:manualLayout>
      </c:layout>
      <c:spPr>
        <a:noFill/>
        <a:ln w="25400">
          <a:noFill/>
        </a:ln>
      </c:spPr>
    </c:title>
    <c:plotArea>
      <c:layout>
        <c:manualLayout>
          <c:layoutTarget val="inner"/>
          <c:xMode val="edge"/>
          <c:yMode val="edge"/>
          <c:x val="0.10063832131889246"/>
          <c:y val="0.18188993740721782"/>
          <c:w val="0.85274582261375864"/>
          <c:h val="0.46330083601732802"/>
        </c:manualLayout>
      </c:layout>
      <c:lineChart>
        <c:grouping val="standard"/>
        <c:ser>
          <c:idx val="1"/>
          <c:order val="0"/>
          <c:tx>
            <c:strRef>
              <c:f>'04-移动端网民网络使用粘性'!$A$27</c:f>
              <c:strCache>
                <c:ptCount val="1"/>
                <c:pt idx="0">
                  <c:v>陕西</c:v>
                </c:pt>
              </c:strCache>
            </c:strRef>
          </c:tx>
          <c:spPr>
            <a:ln>
              <a:solidFill>
                <a:srgbClr val="B2D234"/>
              </a:solidFill>
            </a:ln>
          </c:spPr>
          <c:marker>
            <c:symbol val="circle"/>
            <c:size val="5"/>
            <c:spPr>
              <a:solidFill>
                <a:srgbClr val="B2D234"/>
              </a:solidFill>
              <a:ln>
                <a:solidFill>
                  <a:srgbClr val="B2D234"/>
                </a:solidFill>
              </a:ln>
            </c:spPr>
          </c:marker>
          <c:dLbls>
            <c:dLbl>
              <c:idx val="8"/>
              <c:layout>
                <c:manualLayout>
                  <c:x val="-4.3563662675252447E-2"/>
                  <c:y val="5.3517262933092592E-2"/>
                </c:manualLayout>
              </c:layout>
              <c:dLblPos val="r"/>
              <c:showVal val="1"/>
            </c:dLbl>
            <c:numFmt formatCode="0.0_);[Red]\(0.0\)" sourceLinked="0"/>
            <c:dLblPos val="t"/>
            <c:showVal val="1"/>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'04-移动端网民网络使用粘性'!$C$27:$N$27</c:f>
              <c:numCache>
                <c:formatCode>General</c:formatCode>
                <c:ptCount val="12"/>
                <c:pt idx="0">
                  <c:v>7.59</c:v>
                </c:pt>
                <c:pt idx="1">
                  <c:v>7.83</c:v>
                </c:pt>
                <c:pt idx="2">
                  <c:v>7.75</c:v>
                </c:pt>
                <c:pt idx="3">
                  <c:v>7.85</c:v>
                </c:pt>
                <c:pt idx="4">
                  <c:v>7.7700000000000014</c:v>
                </c:pt>
                <c:pt idx="5">
                  <c:v>7.6599999999999975</c:v>
                </c:pt>
                <c:pt idx="6">
                  <c:v>7.29</c:v>
                </c:pt>
                <c:pt idx="7">
                  <c:v>7.09</c:v>
                </c:pt>
                <c:pt idx="8">
                  <c:v>6.81</c:v>
                </c:pt>
                <c:pt idx="9">
                  <c:v>6.49</c:v>
                </c:pt>
                <c:pt idx="10">
                  <c:v>6.52</c:v>
                </c:pt>
                <c:pt idx="11">
                  <c:v>6.57</c:v>
                </c:pt>
              </c:numCache>
            </c:numRef>
          </c:val>
          <c:extLst xmlns:c16r2="http://schemas.microsoft.com/office/drawing/2015/06/chart">
            <c:ext xmlns:c16="http://schemas.microsoft.com/office/drawing/2014/chart" uri="{C3380CC4-5D6E-409C-BE32-E72D297353CC}">
              <c16:uniqueId val="{00000000-9BCC-46D4-89A4-0BF848B90F4B}"/>
            </c:ext>
          </c:extLst>
        </c:ser>
        <c:ser>
          <c:idx val="0"/>
          <c:order val="1"/>
          <c:tx>
            <c:strRef>
              <c:f>'04-移动端网民网络使用粘性'!$A$30</c:f>
              <c:strCache>
                <c:ptCount val="1"/>
                <c:pt idx="0">
                  <c:v>全国</c:v>
                </c:pt>
              </c:strCache>
            </c:strRef>
          </c:tx>
          <c:spPr>
            <a:ln>
              <a:solidFill>
                <a:srgbClr val="1EC8F3"/>
              </a:solidFill>
            </a:ln>
          </c:spPr>
          <c:marker>
            <c:symbol val="circle"/>
            <c:size val="5"/>
            <c:spPr>
              <a:solidFill>
                <a:srgbClr val="1EC8F3"/>
              </a:solidFill>
              <a:ln>
                <a:solidFill>
                  <a:srgbClr val="1EC8F3"/>
                </a:solidFill>
              </a:ln>
            </c:spPr>
          </c:marker>
          <c:dLbls>
            <c:dLbl>
              <c:idx val="8"/>
              <c:layout>
                <c:manualLayout>
                  <c:x val="-5.1485500541637474E-2"/>
                  <c:y val="-7.1157488996345136E-2"/>
                </c:manualLayout>
              </c:layout>
              <c:dLblPos val="r"/>
              <c:showVal val="1"/>
            </c:dLbl>
            <c:numFmt formatCode="0.0_);[Red]\(0.0\)" sourceLinked="0"/>
            <c:dLblPos val="b"/>
            <c:showVal val="1"/>
          </c:dLbls>
          <c:cat>
            <c:strRef>
              <c:f>'04-移动端网民网络使用粘性'!$C$11:$N$11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'04-移动端网民网络使用粘性'!$C$30:$N$30</c:f>
              <c:numCache>
                <c:formatCode>General</c:formatCode>
                <c:ptCount val="12"/>
                <c:pt idx="0">
                  <c:v>7.6599999999999975</c:v>
                </c:pt>
                <c:pt idx="1">
                  <c:v>8</c:v>
                </c:pt>
                <c:pt idx="2">
                  <c:v>7.95</c:v>
                </c:pt>
                <c:pt idx="3">
                  <c:v>8.15</c:v>
                </c:pt>
                <c:pt idx="4">
                  <c:v>8.01</c:v>
                </c:pt>
                <c:pt idx="5">
                  <c:v>8.0500000000000007</c:v>
                </c:pt>
                <c:pt idx="6">
                  <c:v>7.6599999999999975</c:v>
                </c:pt>
                <c:pt idx="7">
                  <c:v>7.29</c:v>
                </c:pt>
                <c:pt idx="8">
                  <c:v>7</c:v>
                </c:pt>
                <c:pt idx="9">
                  <c:v>6.6099999999999985</c:v>
                </c:pt>
                <c:pt idx="10">
                  <c:v>6.7</c:v>
                </c:pt>
                <c:pt idx="11">
                  <c:v>6.67</c:v>
                </c:pt>
              </c:numCache>
            </c:numRef>
          </c:val>
        </c:ser>
        <c:dLbls>
          <c:showVal val="1"/>
        </c:dLbls>
        <c:marker val="1"/>
        <c:axId val="244824320"/>
        <c:axId val="244834304"/>
      </c:lineChart>
      <c:catAx>
        <c:axId val="24482432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4834304"/>
        <c:crosses val="autoZero"/>
        <c:lblAlgn val="ctr"/>
        <c:lblOffset val="100"/>
        <c:tickLblSkip val="1"/>
        <c:tickMarkSkip val="1"/>
      </c:catAx>
      <c:valAx>
        <c:axId val="244834304"/>
        <c:scaling>
          <c:orientation val="minMax"/>
          <c:max val="10"/>
          <c:min val="5"/>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44824320"/>
        <c:crosses val="autoZero"/>
        <c:crossBetween val="between"/>
        <c:majorUnit val="1"/>
        <c:minorUnit val="1"/>
      </c:valAx>
      <c:spPr>
        <a:noFill/>
        <a:ln w="12700">
          <a:noFill/>
          <a:prstDash val="solid"/>
        </a:ln>
      </c:spPr>
    </c:plotArea>
    <c:legend>
      <c:legendPos val="r"/>
      <c:layout>
        <c:manualLayout>
          <c:xMode val="edge"/>
          <c:yMode val="edge"/>
          <c:x val="0.10168812077787874"/>
          <c:y val="0.75564263948814669"/>
          <c:w val="0.84763665170319569"/>
          <c:h val="6.5750028214499684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i="0" u="none" strike="noStrike" kern="1200" baseline="0">
                <a:solidFill>
                  <a:srgbClr val="000000"/>
                </a:solidFill>
                <a:effectLst/>
                <a:latin typeface="微软雅黑" panose="020B0503020204020204" pitchFamily="34" charset="-122"/>
                <a:ea typeface="微软雅黑" panose="020B0503020204020204" pitchFamily="34" charset="-122"/>
              </a:rPr>
              <a:t>2017</a:t>
            </a:r>
            <a:r>
              <a:rPr lang="zh-CN" altLang="zh-CN" sz="1200" b="1" i="0" baseline="0">
                <a:effectLst/>
              </a:rPr>
              <a:t>年</a:t>
            </a:r>
            <a:r>
              <a:rPr lang="en-US" altLang="zh-CN" sz="1200" b="1" i="0" baseline="0">
                <a:effectLst/>
              </a:rPr>
              <a:t>12</a:t>
            </a:r>
            <a:r>
              <a:rPr lang="zh-CN" altLang="en-US" sz="1200" b="1" i="0" baseline="0">
                <a:effectLst/>
              </a:rPr>
              <a:t>月陕西省</a:t>
            </a:r>
            <a:r>
              <a:rPr lang="zh-CN" altLang="zh-CN" sz="1200" b="1" i="0" baseline="0">
                <a:effectLst/>
              </a:rPr>
              <a:t>网民使用主要</a:t>
            </a:r>
            <a:r>
              <a:rPr lang="en-US" altLang="zh-CN" sz="1200" b="1" i="0" baseline="0">
                <a:effectLst/>
              </a:rPr>
              <a:t>APP</a:t>
            </a:r>
            <a:r>
              <a:rPr lang="zh-CN" altLang="zh-CN" sz="1200" b="1" i="0" baseline="0">
                <a:effectLst/>
              </a:rPr>
              <a:t>服务</a:t>
            </a:r>
            <a:r>
              <a:rPr lang="zh-CN" altLang="en-US" sz="1200" b="1" i="0" baseline="0">
                <a:effectLst/>
              </a:rPr>
              <a:t>渗透情况</a:t>
            </a:r>
            <a:endParaRPr lang="zh-CN" altLang="zh-CN" sz="1200">
              <a:effectLst/>
            </a:endParaRPr>
          </a:p>
        </c:rich>
      </c:tx>
      <c:layout>
        <c:manualLayout>
          <c:xMode val="edge"/>
          <c:yMode val="edge"/>
          <c:x val="0.13512206023751969"/>
          <c:y val="1.3230429988974642E-2"/>
        </c:manualLayout>
      </c:layout>
      <c:spPr>
        <a:noFill/>
        <a:ln w="25400">
          <a:noFill/>
        </a:ln>
      </c:spPr>
    </c:title>
    <c:plotArea>
      <c:layout>
        <c:manualLayout>
          <c:layoutTarget val="inner"/>
          <c:xMode val="edge"/>
          <c:yMode val="edge"/>
          <c:x val="0.16928520568592303"/>
          <c:y val="0.13441215277777796"/>
          <c:w val="0.7629768457160675"/>
          <c:h val="0.53085243055555564"/>
        </c:manualLayout>
      </c:layout>
      <c:barChart>
        <c:barDir val="bar"/>
        <c:grouping val="clustered"/>
        <c:ser>
          <c:idx val="1"/>
          <c:order val="0"/>
          <c:tx>
            <c:strRef>
              <c:f>'05-移动端十大类APP网络使用黏性'!$C$5</c:f>
              <c:strCache>
                <c:ptCount val="1"/>
                <c:pt idx="0">
                  <c:v>月独立设备数比例</c:v>
                </c:pt>
              </c:strCache>
            </c:strRef>
          </c:tx>
          <c:spPr>
            <a:solidFill>
              <a:srgbClr val="B2D234"/>
            </a:solidFill>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'05-移动端十大类APP网络使用黏性'!$B$6:$B$15</c:f>
              <c:strCache>
                <c:ptCount val="10"/>
                <c:pt idx="0">
                  <c:v>游戏服务</c:v>
                </c:pt>
                <c:pt idx="1">
                  <c:v>综合资讯</c:v>
                </c:pt>
                <c:pt idx="2">
                  <c:v>电子商务</c:v>
                </c:pt>
                <c:pt idx="3">
                  <c:v>金融理财</c:v>
                </c:pt>
                <c:pt idx="4">
                  <c:v>音乐音频</c:v>
                </c:pt>
                <c:pt idx="5">
                  <c:v>便捷生活</c:v>
                </c:pt>
                <c:pt idx="6">
                  <c:v>应用分发</c:v>
                </c:pt>
                <c:pt idx="7">
                  <c:v>视频服务</c:v>
                </c:pt>
                <c:pt idx="8">
                  <c:v>实用工具</c:v>
                </c:pt>
                <c:pt idx="9">
                  <c:v>通讯聊天</c:v>
                </c:pt>
              </c:strCache>
            </c:strRef>
          </c:cat>
          <c:val>
            <c:numRef>
              <c:f>'05-移动端十大类APP网络使用黏性'!$C$6:$C$15</c:f>
              <c:numCache>
                <c:formatCode>0.00%</c:formatCode>
                <c:ptCount val="10"/>
                <c:pt idx="0">
                  <c:v>0.58449999999999958</c:v>
                </c:pt>
                <c:pt idx="1">
                  <c:v>0.5872999999999996</c:v>
                </c:pt>
                <c:pt idx="2">
                  <c:v>0.68300000000000005</c:v>
                </c:pt>
                <c:pt idx="3">
                  <c:v>0.69399999999999995</c:v>
                </c:pt>
                <c:pt idx="4">
                  <c:v>0.72490000000000043</c:v>
                </c:pt>
                <c:pt idx="5">
                  <c:v>0.8028000000000004</c:v>
                </c:pt>
                <c:pt idx="6">
                  <c:v>0.80520000000000003</c:v>
                </c:pt>
                <c:pt idx="7">
                  <c:v>0.92870000000000041</c:v>
                </c:pt>
                <c:pt idx="8">
                  <c:v>0.93149999999999999</c:v>
                </c:pt>
                <c:pt idx="9">
                  <c:v>0.93780000000000041</c:v>
                </c:pt>
              </c:numCache>
            </c:numRef>
          </c:val>
          <c:extLst xmlns:c16r2="http://schemas.microsoft.com/office/drawing/2015/06/chart">
            <c:ext xmlns:c16="http://schemas.microsoft.com/office/drawing/2014/chart" uri="{C3380CC4-5D6E-409C-BE32-E72D297353CC}">
              <c16:uniqueId val="{00000000-86A3-4662-B292-3EC682DE42C1}"/>
            </c:ext>
          </c:extLst>
        </c:ser>
        <c:dLbls>
          <c:showVal val="1"/>
        </c:dLbls>
        <c:gapWidth val="60"/>
        <c:axId val="244909952"/>
        <c:axId val="244908416"/>
      </c:barChart>
      <c:valAx>
        <c:axId val="244908416"/>
        <c:scaling>
          <c:orientation val="minMax"/>
        </c:scaling>
        <c:axPos val="b"/>
        <c:numFmt formatCode="0%" sourceLinked="0"/>
        <c:majorTickMark val="none"/>
        <c:tickLblPos val="nextTo"/>
        <c:crossAx val="244909952"/>
        <c:crosses val="autoZero"/>
        <c:crossBetween val="between"/>
      </c:valAx>
      <c:catAx>
        <c:axId val="244909952"/>
        <c:scaling>
          <c:orientation val="minMax"/>
        </c:scaling>
        <c:axPos val="l"/>
        <c:numFmt formatCode="General" sourceLinked="1"/>
        <c:majorTickMark val="none"/>
        <c:tickLblPos val="nextTo"/>
        <c:crossAx val="244908416"/>
        <c:crossesAt val="0"/>
        <c:auto val="1"/>
        <c:lblAlgn val="ctr"/>
        <c:lblOffset val="100"/>
      </c:catAx>
      <c:spPr>
        <a:noFill/>
        <a:ln w="25400">
          <a:noFill/>
        </a:ln>
      </c:spPr>
    </c:plotArea>
    <c:legend>
      <c:legendPos val="r"/>
      <c:layout>
        <c:manualLayout>
          <c:xMode val="edge"/>
          <c:yMode val="edge"/>
          <c:x val="0.24386417842557834"/>
          <c:y val="0.74943857486391929"/>
          <c:w val="0.57879399000712883"/>
          <c:h val="7.2566304074173804E-2"/>
        </c:manualLayout>
      </c:layout>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6.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i="0" u="none" strike="noStrike" kern="1200" baseline="0">
                <a:solidFill>
                  <a:srgbClr val="000000"/>
                </a:solidFill>
                <a:effectLst/>
                <a:latin typeface="微软雅黑" panose="020B0503020204020204" pitchFamily="34" charset="-122"/>
                <a:ea typeface="微软雅黑" panose="020B0503020204020204" pitchFamily="34" charset="-122"/>
              </a:rPr>
              <a:t>2017</a:t>
            </a:r>
            <a:r>
              <a:rPr lang="zh-CN" altLang="en-US" sz="1200" b="1" i="0" u="none" strike="noStrike" kern="1200" baseline="0">
                <a:solidFill>
                  <a:srgbClr val="000000"/>
                </a:solidFill>
                <a:effectLst/>
                <a:latin typeface="微软雅黑" panose="020B0503020204020204" pitchFamily="34" charset="-122"/>
                <a:ea typeface="微软雅黑" panose="020B0503020204020204" pitchFamily="34" charset="-122"/>
              </a:rPr>
              <a:t>年</a:t>
            </a:r>
            <a:r>
              <a:rPr lang="en-US" altLang="zh-CN" sz="1200" b="1" i="0" u="none" strike="noStrike" kern="1200" baseline="0">
                <a:solidFill>
                  <a:srgbClr val="000000"/>
                </a:solidFill>
                <a:effectLst/>
                <a:latin typeface="微软雅黑" panose="020B0503020204020204" pitchFamily="34" charset="-122"/>
                <a:ea typeface="微软雅黑" panose="020B0503020204020204" pitchFamily="34" charset="-122"/>
              </a:rPr>
              <a:t>12</a:t>
            </a:r>
            <a:r>
              <a:rPr lang="zh-CN" altLang="en-US" sz="1200" b="1" i="0" u="none" strike="noStrike" kern="1200" baseline="0">
                <a:solidFill>
                  <a:srgbClr val="000000"/>
                </a:solidFill>
                <a:effectLst/>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zh-CN" sz="1200" b="1" i="0" baseline="0">
                <a:effectLst/>
              </a:rPr>
              <a:t>网民</a:t>
            </a:r>
            <a:r>
              <a:rPr lang="zh-CN" altLang="en-US" sz="1200" b="1" i="0" baseline="0">
                <a:effectLst/>
              </a:rPr>
              <a:t>最常用</a:t>
            </a:r>
            <a:r>
              <a:rPr lang="en-US" altLang="zh-CN" sz="1200" b="1" i="0" baseline="0">
                <a:effectLst/>
              </a:rPr>
              <a:t>APP</a:t>
            </a:r>
            <a:r>
              <a:rPr lang="zh-CN" altLang="en-US" sz="1200" b="1" i="0" baseline="0">
                <a:effectLst/>
              </a:rPr>
              <a:t>渗透情况</a:t>
            </a:r>
            <a:endParaRPr lang="zh-CN" altLang="zh-CN" sz="1200">
              <a:effectLst/>
            </a:endParaRPr>
          </a:p>
        </c:rich>
      </c:tx>
      <c:layout>
        <c:manualLayout>
          <c:xMode val="edge"/>
          <c:yMode val="edge"/>
          <c:x val="0.19848839687118341"/>
          <c:y val="1.7640625000000014E-2"/>
        </c:manualLayout>
      </c:layout>
      <c:spPr>
        <a:noFill/>
        <a:ln w="25400">
          <a:noFill/>
        </a:ln>
      </c:spPr>
    </c:title>
    <c:plotArea>
      <c:layout>
        <c:manualLayout>
          <c:layoutTarget val="inner"/>
          <c:xMode val="edge"/>
          <c:yMode val="edge"/>
          <c:x val="0.20360863802915719"/>
          <c:y val="0.12559428417644067"/>
          <c:w val="0.72865341337283396"/>
          <c:h val="0.58476671298440641"/>
        </c:manualLayout>
      </c:layout>
      <c:barChart>
        <c:barDir val="bar"/>
        <c:grouping val="clustered"/>
        <c:ser>
          <c:idx val="1"/>
          <c:order val="0"/>
          <c:tx>
            <c:strRef>
              <c:f>'05-移动端十大类APP网络使用黏性'!$J$5</c:f>
              <c:strCache>
                <c:ptCount val="1"/>
                <c:pt idx="0">
                  <c:v>月独立设备数比例</c:v>
                </c:pt>
              </c:strCache>
            </c:strRef>
          </c:tx>
          <c:spPr>
            <a:solidFill>
              <a:srgbClr val="B2D234"/>
            </a:solidFill>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'05-移动端十大类APP网络使用黏性'!$I$6:$I$15</c:f>
              <c:strCache>
                <c:ptCount val="10"/>
                <c:pt idx="0">
                  <c:v>QQ手机浏览器</c:v>
                </c:pt>
                <c:pt idx="1">
                  <c:v>高德地图</c:v>
                </c:pt>
                <c:pt idx="2">
                  <c:v>新浪微博</c:v>
                </c:pt>
                <c:pt idx="3">
                  <c:v>搜狗输入法</c:v>
                </c:pt>
                <c:pt idx="4">
                  <c:v>支付宝</c:v>
                </c:pt>
                <c:pt idx="5">
                  <c:v>腾讯视频</c:v>
                </c:pt>
                <c:pt idx="6">
                  <c:v>手机淘宝</c:v>
                </c:pt>
                <c:pt idx="7">
                  <c:v>QQ</c:v>
                </c:pt>
                <c:pt idx="8">
                  <c:v>爱奇艺</c:v>
                </c:pt>
                <c:pt idx="9">
                  <c:v>微信</c:v>
                </c:pt>
              </c:strCache>
            </c:strRef>
          </c:cat>
          <c:val>
            <c:numRef>
              <c:f>'05-移动端十大类APP网络使用黏性'!$J$6:$J$15</c:f>
              <c:numCache>
                <c:formatCode>0.0%</c:formatCode>
                <c:ptCount val="10"/>
                <c:pt idx="0">
                  <c:v>0.35580000000000023</c:v>
                </c:pt>
                <c:pt idx="1">
                  <c:v>0.3606000000000002</c:v>
                </c:pt>
                <c:pt idx="2">
                  <c:v>0.40400000000000008</c:v>
                </c:pt>
                <c:pt idx="3">
                  <c:v>0.45650000000000002</c:v>
                </c:pt>
                <c:pt idx="4">
                  <c:v>0.47020000000000001</c:v>
                </c:pt>
                <c:pt idx="5">
                  <c:v>0.4871000000000002</c:v>
                </c:pt>
                <c:pt idx="6">
                  <c:v>0.49340000000000023</c:v>
                </c:pt>
                <c:pt idx="7">
                  <c:v>0.49580000000000035</c:v>
                </c:pt>
                <c:pt idx="8">
                  <c:v>0.49600000000000022</c:v>
                </c:pt>
                <c:pt idx="9">
                  <c:v>0.84510000000000041</c:v>
                </c:pt>
              </c:numCache>
            </c:numRef>
          </c:val>
          <c:extLst xmlns:c16r2="http://schemas.microsoft.com/office/drawing/2015/06/chart">
            <c:ext xmlns:c16="http://schemas.microsoft.com/office/drawing/2014/chart" uri="{C3380CC4-5D6E-409C-BE32-E72D297353CC}">
              <c16:uniqueId val="{00000000-6B96-49C9-8A0F-DC0950D13C4D}"/>
            </c:ext>
          </c:extLst>
        </c:ser>
        <c:dLbls>
          <c:showVal val="1"/>
        </c:dLbls>
        <c:gapWidth val="60"/>
        <c:axId val="245055872"/>
        <c:axId val="244955776"/>
      </c:barChart>
      <c:valAx>
        <c:axId val="244955776"/>
        <c:scaling>
          <c:orientation val="minMax"/>
          <c:max val="1"/>
          <c:min val="0"/>
        </c:scaling>
        <c:axPos val="b"/>
        <c:numFmt formatCode="0%" sourceLinked="0"/>
        <c:majorTickMark val="none"/>
        <c:tickLblPos val="nextTo"/>
        <c:crossAx val="245055872"/>
        <c:crosses val="autoZero"/>
        <c:crossBetween val="between"/>
        <c:majorUnit val="0.2"/>
        <c:minorUnit val="0.1"/>
      </c:valAx>
      <c:catAx>
        <c:axId val="245055872"/>
        <c:scaling>
          <c:orientation val="minMax"/>
        </c:scaling>
        <c:axPos val="l"/>
        <c:numFmt formatCode="General" sourceLinked="1"/>
        <c:majorTickMark val="none"/>
        <c:tickLblPos val="nextTo"/>
        <c:crossAx val="244955776"/>
        <c:crossesAt val="0"/>
        <c:auto val="1"/>
        <c:lblAlgn val="ctr"/>
        <c:lblOffset val="100"/>
      </c:catAx>
      <c:spPr>
        <a:noFill/>
        <a:ln w="25400">
          <a:noFill/>
        </a:ln>
      </c:spPr>
    </c:plotArea>
    <c:legend>
      <c:legendPos val="r"/>
      <c:layout>
        <c:manualLayout>
          <c:xMode val="edge"/>
          <c:yMode val="edge"/>
          <c:x val="0.26494363452093223"/>
          <c:y val="0.77737370245418758"/>
          <c:w val="0.52874459397038565"/>
          <c:h val="7.2566304074173804E-2"/>
        </c:manualLayout>
      </c:layout>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2017</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年陕西省网民使用通讯聊天</a:t>
            </a: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APP</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月独立设备数比例</a:t>
            </a:r>
            <a:endParaRPr lang="zh-CN" altLang="en-US">
              <a:latin typeface="微软雅黑" panose="020B0503020204020204" pitchFamily="34" charset="-122"/>
              <a:ea typeface="微软雅黑" panose="020B0503020204020204" pitchFamily="34" charset="-122"/>
            </a:endParaRPr>
          </a:p>
        </c:rich>
      </c:tx>
      <c:spPr>
        <a:noFill/>
        <a:ln w="25400">
          <a:noFill/>
        </a:ln>
      </c:spPr>
    </c:title>
    <c:plotArea>
      <c:layout>
        <c:manualLayout>
          <c:layoutTarget val="inner"/>
          <c:xMode val="edge"/>
          <c:yMode val="edge"/>
          <c:x val="0.11119968396540258"/>
          <c:y val="0.19117851347170217"/>
          <c:w val="0.82369968396540305"/>
          <c:h val="0.43518645833333336"/>
        </c:manualLayout>
      </c:layout>
      <c:areaChart>
        <c:grouping val="standard"/>
        <c:ser>
          <c:idx val="0"/>
          <c:order val="0"/>
          <c:tx>
            <c:strRef>
              <c:f>'05-移动端十大类APP网络使用黏性'!$A$34</c:f>
              <c:strCache>
                <c:ptCount val="1"/>
                <c:pt idx="0">
                  <c:v>月独立设备数比例</c:v>
                </c:pt>
              </c:strCache>
            </c:strRef>
          </c:tx>
          <c:spPr>
            <a:solidFill>
              <a:srgbClr val="B2D234"/>
            </a:solidFill>
            <a:ln w="25400">
              <a:solidFill>
                <a:srgbClr val="B2D234"/>
              </a:solidFill>
              <a:prstDash val="solid"/>
            </a:ln>
          </c:spPr>
          <c:dLbls>
            <c:dLbl>
              <c:idx val="0"/>
              <c:delete val="1"/>
            </c:dLbl>
            <c:dLbl>
              <c:idx val="1"/>
              <c:layout>
                <c:manualLayout>
                  <c:x val="0"/>
                  <c:y val="-0.23371527777777792"/>
                </c:manualLayout>
              </c:layout>
              <c:showVal val="1"/>
            </c:dLbl>
            <c:dLbl>
              <c:idx val="2"/>
              <c:delete val="1"/>
            </c:dLbl>
            <c:dLbl>
              <c:idx val="3"/>
              <c:layout>
                <c:manualLayout>
                  <c:x val="-2.6405522288755856E-3"/>
                  <c:y val="-0.238125"/>
                </c:manualLayout>
              </c:layout>
              <c:showVal val="1"/>
            </c:dLbl>
            <c:dLbl>
              <c:idx val="4"/>
              <c:delete val="1"/>
            </c:dLbl>
            <c:dLbl>
              <c:idx val="5"/>
              <c:layout>
                <c:manualLayout>
                  <c:x val="-5.2811044577511703E-3"/>
                  <c:y val="-0.23812499999999998"/>
                </c:manualLayout>
              </c:layout>
              <c:showVal val="1"/>
            </c:dLbl>
            <c:dLbl>
              <c:idx val="6"/>
              <c:delete val="1"/>
            </c:dLbl>
            <c:dLbl>
              <c:idx val="7"/>
              <c:layout>
                <c:manualLayout>
                  <c:x val="-7.9216566866267494E-3"/>
                  <c:y val="-0.23812500000000003"/>
                </c:manualLayout>
              </c:layout>
              <c:showVal val="1"/>
            </c:dLbl>
            <c:dLbl>
              <c:idx val="8"/>
              <c:delete val="1"/>
            </c:dLbl>
            <c:dLbl>
              <c:idx val="9"/>
              <c:layout>
                <c:manualLayout>
                  <c:x val="-1.5843313373253395E-2"/>
                  <c:y val="-0.238125"/>
                </c:manualLayout>
              </c:layout>
              <c:showVal val="1"/>
            </c:dLbl>
            <c:dLbl>
              <c:idx val="10"/>
              <c:delete val="1"/>
            </c:dLbl>
            <c:dLbl>
              <c:idx val="11"/>
              <c:layout>
                <c:manualLayout>
                  <c:x val="-2.1124417831004657E-2"/>
                  <c:y val="-0.23371527777777787"/>
                </c:manualLayout>
              </c:layout>
              <c:showVal val="1"/>
            </c:dLbl>
            <c:numFmt formatCode="0.0%" sourceLinked="0"/>
            <c:spPr>
              <a:noFill/>
              <a:ln w="25400">
                <a:noFill/>
              </a:ln>
            </c:spPr>
            <c:txPr>
              <a:bodyPr rot="0" vert="horz" anchor="t" anchorCtr="1"/>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showVal val="1"/>
            <c:extLst xmlns:c16r2="http://schemas.microsoft.com/office/drawing/2015/06/chart">
              <c:ext xmlns:c15="http://schemas.microsoft.com/office/drawing/2012/chart" uri="{CE6537A1-D6FC-4f65-9D91-7224C49458BB}">
                <c15:showLeaderLines val="0"/>
              </c:ext>
            </c:extLst>
          </c:dLbls>
          <c:cat>
            <c:strRef>
              <c:f>'05-移动端十大类APP网络使用黏性'!$B$33:$M$33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'05-移动端十大类APP网络使用黏性'!$B$34:$M$34</c:f>
              <c:numCache>
                <c:formatCode>0.00%</c:formatCode>
                <c:ptCount val="12"/>
                <c:pt idx="0">
                  <c:v>0.92113329870003569</c:v>
                </c:pt>
                <c:pt idx="1">
                  <c:v>0.91591894221779724</c:v>
                </c:pt>
                <c:pt idx="2">
                  <c:v>0.92469450283230603</c:v>
                </c:pt>
                <c:pt idx="3">
                  <c:v>0.92478501137740521</c:v>
                </c:pt>
                <c:pt idx="4">
                  <c:v>0.93378305481923152</c:v>
                </c:pt>
                <c:pt idx="5">
                  <c:v>0.94113652321044217</c:v>
                </c:pt>
                <c:pt idx="6">
                  <c:v>0.94980872617597234</c:v>
                </c:pt>
                <c:pt idx="7">
                  <c:v>0.94266363918885265</c:v>
                </c:pt>
                <c:pt idx="8">
                  <c:v>0.94278072338733654</c:v>
                </c:pt>
                <c:pt idx="9">
                  <c:v>0.93876778769665858</c:v>
                </c:pt>
                <c:pt idx="10">
                  <c:v>0.93717823753106122</c:v>
                </c:pt>
                <c:pt idx="11">
                  <c:v>0.93782361121197744</c:v>
                </c:pt>
              </c:numCache>
            </c:numRef>
          </c:val>
          <c:extLst xmlns:c16r2="http://schemas.microsoft.com/office/drawing/2015/06/chart">
            <c:ext xmlns:c16="http://schemas.microsoft.com/office/drawing/2014/chart" uri="{C3380CC4-5D6E-409C-BE32-E72D297353CC}">
              <c16:uniqueId val="{00000000-8229-4C45-B770-5C44C1CC9D54}"/>
            </c:ext>
          </c:extLst>
        </c:ser>
        <c:dLbls>
          <c:showVal val="1"/>
        </c:dLbls>
        <c:axId val="245078272"/>
        <c:axId val="245133312"/>
      </c:areaChart>
      <c:catAx>
        <c:axId val="24507827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45133312"/>
        <c:crossesAt val="0"/>
        <c:lblAlgn val="ctr"/>
        <c:lblOffset val="100"/>
        <c:tickLblSkip val="1"/>
        <c:tickMarkSkip val="1"/>
      </c:catAx>
      <c:valAx>
        <c:axId val="245133312"/>
        <c:scaling>
          <c:orientation val="minMax"/>
          <c:max val="1"/>
          <c:min val="0.60000000000000053"/>
        </c:scaling>
        <c:axPos val="l"/>
        <c:majorGridlines>
          <c:spPr>
            <a:ln w="12700">
              <a:noFill/>
              <a:prstDash val="solid"/>
            </a:ln>
          </c:spPr>
        </c:majorGridlines>
        <c:numFmt formatCode="0%"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crossAx val="245078272"/>
        <c:crosses val="autoZero"/>
        <c:crossBetween val="midCat"/>
        <c:majorUnit val="0.1"/>
        <c:minorUnit val="0.1"/>
      </c:valAx>
      <c:spPr>
        <a:noFill/>
        <a:ln w="12700">
          <a:noFill/>
          <a:prstDash val="solid"/>
        </a:ln>
      </c:spPr>
    </c:plotArea>
    <c:legend>
      <c:legendPos val="r"/>
      <c:layout>
        <c:manualLayout>
          <c:xMode val="edge"/>
          <c:yMode val="edge"/>
          <c:x val="0.1043265552228876"/>
          <c:y val="0.75471840277777824"/>
          <c:w val="0.78415841584158463"/>
          <c:h val="6.4846969696969695E-2"/>
        </c:manualLayout>
      </c:layout>
      <c:spPr>
        <a:solidFill>
          <a:srgbClr val="FFFFFF"/>
        </a:solidFill>
        <a:ln w="25400">
          <a:noFill/>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华文细黑"/>
          <a:ea typeface="华文细黑"/>
          <a:cs typeface="华文细黑"/>
        </a:defRPr>
      </a:pPr>
      <a:endParaRPr lang="zh-CN"/>
    </a:p>
  </c:txPr>
  <c:externalData r:id="rId2"/>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2017</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年陕西省网民使用通讯聊天</a:t>
            </a: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APP</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单机使用天数</a:t>
            </a:r>
            <a:endParaRPr lang="zh-CN" altLang="en-US">
              <a:latin typeface="微软雅黑" panose="020B0503020204020204" pitchFamily="34" charset="-122"/>
              <a:ea typeface="微软雅黑" panose="020B0503020204020204" pitchFamily="34" charset="-122"/>
            </a:endParaRPr>
          </a:p>
        </c:rich>
      </c:tx>
      <c:spPr>
        <a:noFill/>
        <a:ln w="25400">
          <a:noFill/>
        </a:ln>
      </c:spPr>
    </c:title>
    <c:plotArea>
      <c:layout>
        <c:manualLayout>
          <c:layoutTarget val="inner"/>
          <c:xMode val="edge"/>
          <c:yMode val="edge"/>
          <c:x val="9.007526613439798E-2"/>
          <c:y val="0.19117851347170217"/>
          <c:w val="0.87122962408516358"/>
          <c:h val="0.43839375000000008"/>
        </c:manualLayout>
      </c:layout>
      <c:barChart>
        <c:barDir val="col"/>
        <c:grouping val="clustered"/>
        <c:ser>
          <c:idx val="0"/>
          <c:order val="0"/>
          <c:tx>
            <c:strRef>
              <c:f>'05-移动端十大类APP网络使用黏性'!$A$39</c:f>
              <c:strCache>
                <c:ptCount val="1"/>
                <c:pt idx="0">
                  <c:v>单机使用天数（天）</c:v>
                </c:pt>
              </c:strCache>
            </c:strRef>
          </c:tx>
          <c:spPr>
            <a:solidFill>
              <a:srgbClr val="B2D234"/>
            </a:solidFill>
            <a:ln w="25400">
              <a:solidFill>
                <a:srgbClr val="B2D234"/>
              </a:solidFill>
              <a:prstDash val="solid"/>
            </a:ln>
          </c:spPr>
          <c:dLbls>
            <c:numFmt formatCode="0.0_);[Red]\(0.0\)" sourceLinked="0"/>
            <c:spPr>
              <a:noFill/>
              <a:ln w="25400">
                <a:noFill/>
              </a:ln>
            </c:spPr>
            <c:txPr>
              <a:bodyPr rot="0" vert="horz" anchor="t" anchorCtr="1"/>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'05-移动端十大类APP网络使用黏性'!$B$38:$M$38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'05-移动端十大类APP网络使用黏性'!$B$39:$M$39</c:f>
              <c:numCache>
                <c:formatCode>General</c:formatCode>
                <c:ptCount val="12"/>
                <c:pt idx="0">
                  <c:v>24.56</c:v>
                </c:pt>
                <c:pt idx="1">
                  <c:v>22.24</c:v>
                </c:pt>
                <c:pt idx="2">
                  <c:v>24.47</c:v>
                </c:pt>
                <c:pt idx="3">
                  <c:v>23.22</c:v>
                </c:pt>
                <c:pt idx="4">
                  <c:v>24.19</c:v>
                </c:pt>
                <c:pt idx="5">
                  <c:v>23.259999999999987</c:v>
                </c:pt>
                <c:pt idx="6">
                  <c:v>24.37</c:v>
                </c:pt>
                <c:pt idx="7">
                  <c:v>24</c:v>
                </c:pt>
                <c:pt idx="8">
                  <c:v>23.52</c:v>
                </c:pt>
                <c:pt idx="9">
                  <c:v>24.34</c:v>
                </c:pt>
                <c:pt idx="10">
                  <c:v>23.35</c:v>
                </c:pt>
                <c:pt idx="11">
                  <c:v>24.45</c:v>
                </c:pt>
              </c:numCache>
            </c:numRef>
          </c:val>
          <c:extLst xmlns:c16r2="http://schemas.microsoft.com/office/drawing/2015/06/chart">
            <c:ext xmlns:c16="http://schemas.microsoft.com/office/drawing/2014/chart" uri="{C3380CC4-5D6E-409C-BE32-E72D297353CC}">
              <c16:uniqueId val="{00000000-6888-48E0-B2BF-F39F3243203E}"/>
            </c:ext>
          </c:extLst>
        </c:ser>
        <c:dLbls>
          <c:showVal val="1"/>
        </c:dLbls>
        <c:gapWidth val="60"/>
        <c:overlap val="100"/>
        <c:axId val="245222400"/>
        <c:axId val="245232384"/>
      </c:barChart>
      <c:lineChart>
        <c:grouping val="standard"/>
        <c:ser>
          <c:idx val="1"/>
          <c:order val="1"/>
          <c:tx>
            <c:strRef>
              <c:f>'05-移动端十大类APP网络使用黏性'!$A$40</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txPr>
              <a:bodyPr wrap="square" lIns="38100" tIns="19050" rIns="38100" bIns="19050" anchor="ctr">
                <a:spAutoFit/>
              </a:bodyPr>
              <a:lstStyle/>
              <a:p>
                <a:pPr>
                  <a:defRPr>
                    <a:latin typeface="微软雅黑" panose="020B0503020204020204" pitchFamily="34" charset="-122"/>
                    <a:ea typeface="微软雅黑" panose="020B0503020204020204" pitchFamily="34" charset="-122"/>
                  </a:defRPr>
                </a:pPr>
                <a:endParaRPr lang="zh-CN"/>
              </a:p>
            </c:tx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'05-移动端十大类APP网络使用黏性'!$B$38:$M$38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'05-移动端十大类APP网络使用黏性'!$B$40:$M$40</c:f>
              <c:numCache>
                <c:formatCode>0.0%</c:formatCode>
                <c:ptCount val="12"/>
                <c:pt idx="1">
                  <c:v>-9.4462540716612531E-2</c:v>
                </c:pt>
                <c:pt idx="2">
                  <c:v>0.10026978417266191</c:v>
                </c:pt>
                <c:pt idx="3">
                  <c:v>-5.1082958724969367E-2</c:v>
                </c:pt>
                <c:pt idx="4">
                  <c:v>4.1774332472006986E-2</c:v>
                </c:pt>
                <c:pt idx="5">
                  <c:v>-3.8445638693675038E-2</c:v>
                </c:pt>
                <c:pt idx="6">
                  <c:v>4.7721410146173641E-2</c:v>
                </c:pt>
                <c:pt idx="7">
                  <c:v>-1.5182601559294295E-2</c:v>
                </c:pt>
                <c:pt idx="8">
                  <c:v>-2.0000000000000032E-2</c:v>
                </c:pt>
                <c:pt idx="9">
                  <c:v>3.4863945578231401E-2</c:v>
                </c:pt>
                <c:pt idx="10">
                  <c:v>-4.0673788003286693E-2</c:v>
                </c:pt>
                <c:pt idx="11">
                  <c:v>4.7109207708779362E-2</c:v>
                </c:pt>
              </c:numCache>
            </c:numRef>
          </c:val>
          <c:extLst xmlns:c16r2="http://schemas.microsoft.com/office/drawing/2015/06/chart">
            <c:ext xmlns:c16="http://schemas.microsoft.com/office/drawing/2014/chart" uri="{C3380CC4-5D6E-409C-BE32-E72D297353CC}">
              <c16:uniqueId val="{00000001-6888-48E0-B2BF-F39F3243203E}"/>
            </c:ext>
          </c:extLst>
        </c:ser>
        <c:marker val="1"/>
        <c:axId val="244981760"/>
        <c:axId val="245233920"/>
      </c:lineChart>
      <c:catAx>
        <c:axId val="24522240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45232384"/>
        <c:crossesAt val="0"/>
        <c:lblAlgn val="ctr"/>
        <c:lblOffset val="100"/>
        <c:tickLblSkip val="1"/>
        <c:tickMarkSkip val="1"/>
      </c:catAx>
      <c:valAx>
        <c:axId val="245232384"/>
        <c:scaling>
          <c:orientation val="minMax"/>
          <c:max val="32"/>
          <c:min val="15"/>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45222400"/>
        <c:crosses val="autoZero"/>
        <c:crossBetween val="between"/>
        <c:majorUnit val="5"/>
        <c:minorUnit val="5"/>
      </c:valAx>
      <c:valAx>
        <c:axId val="245233920"/>
        <c:scaling>
          <c:orientation val="minMax"/>
          <c:max val="0.4"/>
          <c:min val="-3"/>
        </c:scaling>
        <c:axPos val="r"/>
        <c:numFmt formatCode="General" sourceLinked="1"/>
        <c:majorTickMark val="none"/>
        <c:tickLblPos val="none"/>
        <c:spPr>
          <a:noFill/>
          <a:ln>
            <a:noFill/>
          </a:ln>
        </c:spPr>
        <c:crossAx val="244981760"/>
        <c:crosses val="max"/>
        <c:crossBetween val="between"/>
        <c:minorUnit val="0.1"/>
      </c:valAx>
      <c:catAx>
        <c:axId val="244981760"/>
        <c:scaling>
          <c:orientation val="minMax"/>
        </c:scaling>
        <c:delete val="1"/>
        <c:axPos val="b"/>
        <c:numFmt formatCode="General" sourceLinked="1"/>
        <c:tickLblPos val="none"/>
        <c:crossAx val="245233920"/>
        <c:crosses val="autoZero"/>
        <c:lblAlgn val="ctr"/>
        <c:lblOffset val="100"/>
      </c:catAx>
      <c:spPr>
        <a:noFill/>
        <a:ln w="12700">
          <a:noFill/>
          <a:prstDash val="solid"/>
        </a:ln>
      </c:spPr>
    </c:plotArea>
    <c:legend>
      <c:legendPos val="r"/>
      <c:layout>
        <c:manualLayout>
          <c:xMode val="edge"/>
          <c:yMode val="edge"/>
          <c:x val="0.12016986859614105"/>
          <c:y val="0.7358770833333339"/>
          <c:w val="0.78415841584158463"/>
          <c:h val="7.927881944444444E-2"/>
        </c:manualLayout>
      </c:layout>
      <c:spPr>
        <a:solidFill>
          <a:srgbClr val="FFFFFF"/>
        </a:solidFill>
        <a:ln w="25400">
          <a:noFill/>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华文细黑"/>
          <a:ea typeface="华文细黑"/>
          <a:cs typeface="华文细黑"/>
        </a:defRPr>
      </a:pPr>
      <a:endParaRPr lang="zh-CN"/>
    </a:p>
  </c:txPr>
  <c:externalData r:id="rId2"/>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200" b="1"/>
            </a:pPr>
            <a:r>
              <a:rPr lang="en-US" altLang="zh-CN" sz="1200" b="1"/>
              <a:t>2017</a:t>
            </a:r>
            <a:r>
              <a:rPr lang="zh-CN" altLang="en-US" sz="1200" b="1"/>
              <a:t>年陕西省网民使用通讯聊天</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7.9513057218895594E-2"/>
          <c:y val="0.19117851347170217"/>
          <c:w val="0.88179183300066577"/>
          <c:h val="0.43839375000000008"/>
        </c:manualLayout>
      </c:layout>
      <c:barChart>
        <c:barDir val="col"/>
        <c:grouping val="clustered"/>
        <c:ser>
          <c:idx val="0"/>
          <c:order val="0"/>
          <c:tx>
            <c:strRef>
              <c:f>'05-移动端十大类APP网络使用黏性'!$A$44</c:f>
              <c:strCache>
                <c:ptCount val="1"/>
                <c:pt idx="0">
                  <c:v>单机单日使用次数（次）</c:v>
                </c:pt>
              </c:strCache>
            </c:strRef>
          </c:tx>
          <c:spPr>
            <a:solidFill>
              <a:srgbClr val="B2D234"/>
            </a:solidFill>
            <a:ln w="25400">
              <a:solidFill>
                <a:srgbClr val="B2D234"/>
              </a:solidFill>
              <a:prstDash val="solid"/>
            </a:ln>
          </c:spPr>
          <c:dLbls>
            <c:numFmt formatCode="0.0_);[Red]\(0.0\)" sourceLinked="0"/>
            <c:spPr>
              <a:noFill/>
              <a:ln w="25400">
                <a:noFill/>
              </a:ln>
            </c:spPr>
            <c:txPr>
              <a:bodyPr rot="0" vert="horz"/>
              <a:lstStyle/>
              <a:p>
                <a:pPr>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'05-移动端十大类APP网络使用黏性'!$B$43:$M$43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'05-移动端十大类APP网络使用黏性'!$B$44:$M$44</c:f>
              <c:numCache>
                <c:formatCode>General</c:formatCode>
                <c:ptCount val="12"/>
                <c:pt idx="0">
                  <c:v>10.41</c:v>
                </c:pt>
                <c:pt idx="1">
                  <c:v>10.57</c:v>
                </c:pt>
                <c:pt idx="2">
                  <c:v>10.200000000000001</c:v>
                </c:pt>
                <c:pt idx="3">
                  <c:v>9.91</c:v>
                </c:pt>
                <c:pt idx="4">
                  <c:v>10</c:v>
                </c:pt>
                <c:pt idx="5">
                  <c:v>9.89</c:v>
                </c:pt>
                <c:pt idx="6">
                  <c:v>10.130000000000001</c:v>
                </c:pt>
                <c:pt idx="7">
                  <c:v>11.01</c:v>
                </c:pt>
                <c:pt idx="8">
                  <c:v>10.4</c:v>
                </c:pt>
                <c:pt idx="9">
                  <c:v>10.91</c:v>
                </c:pt>
                <c:pt idx="10">
                  <c:v>10.7</c:v>
                </c:pt>
                <c:pt idx="11">
                  <c:v>11.09</c:v>
                </c:pt>
              </c:numCache>
            </c:numRef>
          </c:val>
          <c:extLst xmlns:c16r2="http://schemas.microsoft.com/office/drawing/2015/06/chart">
            <c:ext xmlns:c16="http://schemas.microsoft.com/office/drawing/2014/chart" uri="{C3380CC4-5D6E-409C-BE32-E72D297353CC}">
              <c16:uniqueId val="{00000000-5F18-469E-9DD5-CF984A52F353}"/>
            </c:ext>
          </c:extLst>
        </c:ser>
        <c:dLbls>
          <c:showVal val="1"/>
        </c:dLbls>
        <c:gapWidth val="60"/>
        <c:overlap val="100"/>
        <c:axId val="245017600"/>
        <c:axId val="245244672"/>
      </c:barChart>
      <c:lineChart>
        <c:grouping val="standard"/>
        <c:ser>
          <c:idx val="1"/>
          <c:order val="1"/>
          <c:tx>
            <c:strRef>
              <c:f>'05-移动端十大类APP网络使用黏性'!$A$45</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'05-移动端十大类APP网络使用黏性'!$B$43:$M$43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'05-移动端十大类APP网络使用黏性'!$B$45:$M$45</c:f>
              <c:numCache>
                <c:formatCode>0.0%</c:formatCode>
                <c:ptCount val="12"/>
                <c:pt idx="1">
                  <c:v>1.53698366954851E-2</c:v>
                </c:pt>
                <c:pt idx="2">
                  <c:v>-3.5004730368968895E-2</c:v>
                </c:pt>
                <c:pt idx="3">
                  <c:v>-2.8431372549019569E-2</c:v>
                </c:pt>
                <c:pt idx="4">
                  <c:v>9.0817356205852382E-3</c:v>
                </c:pt>
                <c:pt idx="5">
                  <c:v>-1.0999999999999894E-2</c:v>
                </c:pt>
                <c:pt idx="6">
                  <c:v>2.4266936299292195E-2</c:v>
                </c:pt>
                <c:pt idx="7">
                  <c:v>8.6870681145113413E-2</c:v>
                </c:pt>
                <c:pt idx="8">
                  <c:v>-5.5404178019981792E-2</c:v>
                </c:pt>
                <c:pt idx="9">
                  <c:v>4.9038461538461656E-2</c:v>
                </c:pt>
                <c:pt idx="10">
                  <c:v>-1.9248395967002799E-2</c:v>
                </c:pt>
                <c:pt idx="11">
                  <c:v>3.6448598130841114E-2</c:v>
                </c:pt>
              </c:numCache>
            </c:numRef>
          </c:val>
          <c:extLst xmlns:c16r2="http://schemas.microsoft.com/office/drawing/2015/06/chart">
            <c:ext xmlns:c16="http://schemas.microsoft.com/office/drawing/2014/chart" uri="{C3380CC4-5D6E-409C-BE32-E72D297353CC}">
              <c16:uniqueId val="{00000001-5F18-469E-9DD5-CF984A52F353}"/>
            </c:ext>
          </c:extLst>
        </c:ser>
        <c:marker val="1"/>
        <c:axId val="245252096"/>
        <c:axId val="245246208"/>
      </c:lineChart>
      <c:catAx>
        <c:axId val="24501760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5244672"/>
        <c:crossesAt val="0"/>
        <c:lblAlgn val="ctr"/>
        <c:lblOffset val="100"/>
        <c:tickLblSkip val="1"/>
        <c:tickMarkSkip val="1"/>
      </c:catAx>
      <c:valAx>
        <c:axId val="245244672"/>
        <c:scaling>
          <c:orientation val="minMax"/>
          <c:max val="20"/>
          <c:min val="0"/>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a:pPr>
            <a:endParaRPr lang="zh-CN"/>
          </a:p>
        </c:txPr>
        <c:crossAx val="245017600"/>
        <c:crosses val="autoZero"/>
        <c:crossBetween val="between"/>
        <c:majorUnit val="5"/>
        <c:minorUnit val="1"/>
      </c:valAx>
      <c:valAx>
        <c:axId val="245246208"/>
        <c:scaling>
          <c:orientation val="minMax"/>
          <c:max val="0.4"/>
          <c:min val="-3"/>
        </c:scaling>
        <c:axPos val="r"/>
        <c:numFmt formatCode="General" sourceLinked="1"/>
        <c:majorTickMark val="none"/>
        <c:tickLblPos val="none"/>
        <c:spPr>
          <a:noFill/>
          <a:ln>
            <a:noFill/>
          </a:ln>
        </c:spPr>
        <c:crossAx val="245252096"/>
        <c:crosses val="max"/>
        <c:crossBetween val="between"/>
        <c:minorUnit val="0.1"/>
      </c:valAx>
      <c:catAx>
        <c:axId val="245252096"/>
        <c:scaling>
          <c:orientation val="minMax"/>
        </c:scaling>
        <c:delete val="1"/>
        <c:axPos val="b"/>
        <c:numFmt formatCode="General" sourceLinked="1"/>
        <c:tickLblPos val="none"/>
        <c:crossAx val="245246208"/>
        <c:crosses val="autoZero"/>
        <c:lblAlgn val="ctr"/>
        <c:lblOffset val="100"/>
      </c:catAx>
      <c:spPr>
        <a:noFill/>
        <a:ln w="12700">
          <a:noFill/>
          <a:prstDash val="solid"/>
        </a:ln>
      </c:spPr>
    </c:plotArea>
    <c:legend>
      <c:legendPos val="r"/>
      <c:layout>
        <c:manualLayout>
          <c:xMode val="edge"/>
          <c:yMode val="edge"/>
          <c:x val="0.13601318196939474"/>
          <c:y val="0.73347187500000044"/>
          <c:w val="0.78415841584158463"/>
          <c:h val="6.8454861111111112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lgn="ctr" rtl="0">
              <a:defRPr sz="1200" b="1"/>
            </a:pPr>
            <a:r>
              <a:rPr lang="en-US" sz="1200" b="1"/>
              <a:t>2017</a:t>
            </a:r>
            <a:r>
              <a:rPr lang="zh-CN" sz="1200" b="1"/>
              <a:t>年陕西省网民职业分布</a:t>
            </a:r>
          </a:p>
        </c:rich>
      </c:tx>
      <c:layout>
        <c:manualLayout>
          <c:xMode val="edge"/>
          <c:yMode val="edge"/>
          <c:x val="0.2962495841650033"/>
          <c:y val="2.204861111111114E-2"/>
        </c:manualLayout>
      </c:layout>
    </c:title>
    <c:plotArea>
      <c:layout>
        <c:manualLayout>
          <c:layoutTarget val="inner"/>
          <c:xMode val="edge"/>
          <c:yMode val="edge"/>
          <c:x val="0.19800274451097816"/>
          <c:y val="0.13687743055555568"/>
          <c:w val="0.75821190951430462"/>
          <c:h val="0.59023645833333338"/>
        </c:manualLayout>
      </c:layout>
      <c:barChart>
        <c:barDir val="bar"/>
        <c:grouping val="clustered"/>
        <c:ser>
          <c:idx val="1"/>
          <c:order val="0"/>
          <c:spPr>
            <a:solidFill>
              <a:srgbClr val="B2D234"/>
            </a:solidFill>
            <a:ln w="12700">
              <a:noFill/>
            </a:ln>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layout/>
                <c15:showLeaderLines val="0"/>
              </c:ext>
            </c:extLst>
          </c:dLbls>
          <c:cat>
            <c:strRef>
              <c:f>网民规模与基本属性PC端!$E$140:$E$147</c:f>
              <c:strCache>
                <c:ptCount val="8"/>
                <c:pt idx="0">
                  <c:v>其他</c:v>
                </c:pt>
                <c:pt idx="1">
                  <c:v>销售人员</c:v>
                </c:pt>
                <c:pt idx="2">
                  <c:v>工人</c:v>
                </c:pt>
                <c:pt idx="3">
                  <c:v>技术人员</c:v>
                </c:pt>
                <c:pt idx="4">
                  <c:v>教师</c:v>
                </c:pt>
                <c:pt idx="5">
                  <c:v>专业人士</c:v>
                </c:pt>
                <c:pt idx="6">
                  <c:v>文职/办事人员</c:v>
                </c:pt>
                <c:pt idx="7">
                  <c:v>在校学生</c:v>
                </c:pt>
              </c:strCache>
            </c:strRef>
          </c:cat>
          <c:val>
            <c:numRef>
              <c:f>网民规模与基本属性PC端!$F$140:$F$147</c:f>
              <c:numCache>
                <c:formatCode>0.0%</c:formatCode>
                <c:ptCount val="8"/>
                <c:pt idx="0">
                  <c:v>0.34915611814345998</c:v>
                </c:pt>
                <c:pt idx="1">
                  <c:v>3.7904360056258801E-2</c:v>
                </c:pt>
                <c:pt idx="2">
                  <c:v>4.4585091420534496E-2</c:v>
                </c:pt>
                <c:pt idx="3">
                  <c:v>7.6160337552742666E-2</c:v>
                </c:pt>
                <c:pt idx="4">
                  <c:v>8.0590717299578049E-2</c:v>
                </c:pt>
                <c:pt idx="5">
                  <c:v>8.1997187060478191E-2</c:v>
                </c:pt>
                <c:pt idx="6">
                  <c:v>0.12988748241912809</c:v>
                </c:pt>
                <c:pt idx="7">
                  <c:v>0.19971870604781999</c:v>
                </c:pt>
              </c:numCache>
            </c:numRef>
          </c:val>
          <c:extLst xmlns:c16r2="http://schemas.microsoft.com/office/drawing/2015/06/chart">
            <c:ext xmlns:c16="http://schemas.microsoft.com/office/drawing/2014/chart" uri="{C3380CC4-5D6E-409C-BE32-E72D297353CC}">
              <c16:uniqueId val="{00000000-1D4A-45E2-9B63-57899C7A5E38}"/>
            </c:ext>
          </c:extLst>
        </c:ser>
        <c:dLbls>
          <c:showVal val="1"/>
        </c:dLbls>
        <c:gapWidth val="60"/>
        <c:axId val="252219392"/>
        <c:axId val="252350848"/>
      </c:barChart>
      <c:catAx>
        <c:axId val="252219392"/>
        <c:scaling>
          <c:orientation val="minMax"/>
        </c:scaling>
        <c:axPos val="l"/>
        <c:numFmt formatCode="General" sourceLinked="0"/>
        <c:majorTickMark val="none"/>
        <c:tickLblPos val="nextTo"/>
        <c:spPr>
          <a:ln w="12700">
            <a:solidFill>
              <a:schemeClr val="tx1">
                <a:lumMod val="50000"/>
                <a:lumOff val="50000"/>
              </a:schemeClr>
            </a:solidFill>
          </a:ln>
        </c:spPr>
        <c:crossAx val="252350848"/>
        <c:crosses val="autoZero"/>
        <c:auto val="1"/>
        <c:lblAlgn val="ctr"/>
        <c:lblOffset val="100"/>
      </c:catAx>
      <c:valAx>
        <c:axId val="252350848"/>
        <c:scaling>
          <c:orientation val="minMax"/>
          <c:max val="0.4"/>
          <c:min val="0"/>
        </c:scaling>
        <c:delete val="1"/>
        <c:axPos val="b"/>
        <c:majorGridlines>
          <c:spPr>
            <a:ln>
              <a:noFill/>
            </a:ln>
          </c:spPr>
        </c:majorGridlines>
        <c:numFmt formatCode="0%" sourceLinked="0"/>
        <c:majorTickMark val="none"/>
        <c:tickLblPos val="none"/>
        <c:crossAx val="252219392"/>
        <c:crosses val="autoZero"/>
        <c:crossBetween val="between"/>
        <c:majorUnit val="0.1"/>
      </c:valAx>
      <c:spPr>
        <a:ln>
          <a:noFill/>
        </a:ln>
      </c:spPr>
    </c:plotArea>
    <c:plotVisOnly val="1"/>
    <c:dispBlanksAs val="gap"/>
  </c:chart>
  <c:spPr>
    <a:ln w="12700">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200" b="1"/>
            </a:pPr>
            <a:r>
              <a:rPr lang="en-US" altLang="zh-CN" sz="1200" b="1"/>
              <a:t>2017</a:t>
            </a:r>
            <a:r>
              <a:rPr lang="zh-CN" altLang="en-US" sz="1200" b="1"/>
              <a:t>年陕西省网民使用通讯聊天</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8.2153609447771114E-2"/>
          <c:y val="0.19117851347170217"/>
          <c:w val="0.87915128077178972"/>
          <c:h val="0.43398402777777823"/>
        </c:manualLayout>
      </c:layout>
      <c:barChart>
        <c:barDir val="col"/>
        <c:grouping val="clustered"/>
        <c:ser>
          <c:idx val="0"/>
          <c:order val="0"/>
          <c:tx>
            <c:strRef>
              <c:f>'05-移动端十大类APP网络使用黏性'!$A$49</c:f>
              <c:strCache>
                <c:ptCount val="1"/>
                <c:pt idx="0">
                  <c:v>单机单次有效时间（分钟）</c:v>
                </c:pt>
              </c:strCache>
            </c:strRef>
          </c:tx>
          <c:spPr>
            <a:solidFill>
              <a:srgbClr val="B2D234"/>
            </a:solidFill>
            <a:ln w="25400">
              <a:solidFill>
                <a:srgbClr val="B2D234"/>
              </a:solidFill>
              <a:prstDash val="solid"/>
            </a:ln>
          </c:spPr>
          <c:dLbls>
            <c:numFmt formatCode="0.0_);[Red]\(0.0\)" sourceLinked="0"/>
            <c:spPr>
              <a:noFill/>
              <a:ln w="25400">
                <a:noFill/>
              </a:ln>
            </c:spPr>
            <c:txPr>
              <a:bodyPr rot="0" vert="horz"/>
              <a:lstStyle/>
              <a:p>
                <a:pPr>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'05-移动端十大类APP网络使用黏性'!$B$48:$M$48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'05-移动端十大类APP网络使用黏性'!$B$49:$M$49</c:f>
              <c:numCache>
                <c:formatCode>General</c:formatCode>
                <c:ptCount val="12"/>
                <c:pt idx="0">
                  <c:v>5.8</c:v>
                </c:pt>
                <c:pt idx="1">
                  <c:v>6.09</c:v>
                </c:pt>
                <c:pt idx="2">
                  <c:v>5.99</c:v>
                </c:pt>
                <c:pt idx="3">
                  <c:v>6.1</c:v>
                </c:pt>
                <c:pt idx="4">
                  <c:v>6.01</c:v>
                </c:pt>
                <c:pt idx="5">
                  <c:v>6.1</c:v>
                </c:pt>
                <c:pt idx="6">
                  <c:v>5.89</c:v>
                </c:pt>
                <c:pt idx="7">
                  <c:v>5.56</c:v>
                </c:pt>
                <c:pt idx="8">
                  <c:v>5.49</c:v>
                </c:pt>
                <c:pt idx="9">
                  <c:v>5.4300000000000024</c:v>
                </c:pt>
                <c:pt idx="10">
                  <c:v>5.4300000000000024</c:v>
                </c:pt>
                <c:pt idx="11">
                  <c:v>5.28</c:v>
                </c:pt>
              </c:numCache>
            </c:numRef>
          </c:val>
          <c:extLst xmlns:c16r2="http://schemas.microsoft.com/office/drawing/2015/06/chart">
            <c:ext xmlns:c16="http://schemas.microsoft.com/office/drawing/2014/chart" uri="{C3380CC4-5D6E-409C-BE32-E72D297353CC}">
              <c16:uniqueId val="{00000000-E477-41BF-B4F2-48F6A1D9A994}"/>
            </c:ext>
          </c:extLst>
        </c:ser>
        <c:dLbls>
          <c:showVal val="1"/>
        </c:dLbls>
        <c:gapWidth val="60"/>
        <c:overlap val="100"/>
        <c:axId val="245455872"/>
        <c:axId val="245465856"/>
      </c:barChart>
      <c:lineChart>
        <c:grouping val="standard"/>
        <c:ser>
          <c:idx val="1"/>
          <c:order val="1"/>
          <c:tx>
            <c:strRef>
              <c:f>'05-移动端十大类APP网络使用黏性'!$A$50</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'05-移动端十大类APP网络使用黏性'!$B$48:$M$48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'05-移动端十大类APP网络使用黏性'!$B$50:$M$50</c:f>
              <c:numCache>
                <c:formatCode>0.0%</c:formatCode>
                <c:ptCount val="12"/>
                <c:pt idx="1">
                  <c:v>5.0000000000000079E-2</c:v>
                </c:pt>
                <c:pt idx="2">
                  <c:v>-1.6420361247947463E-2</c:v>
                </c:pt>
                <c:pt idx="3">
                  <c:v>1.8363939899832996E-2</c:v>
                </c:pt>
                <c:pt idx="4">
                  <c:v>-1.4754098360655665E-2</c:v>
                </c:pt>
                <c:pt idx="5">
                  <c:v>1.4975041597337761E-2</c:v>
                </c:pt>
                <c:pt idx="6">
                  <c:v>-3.4426229508196744E-2</c:v>
                </c:pt>
                <c:pt idx="7">
                  <c:v>-5.6027164685908293E-2</c:v>
                </c:pt>
                <c:pt idx="8">
                  <c:v>-1.258992805755388E-2</c:v>
                </c:pt>
                <c:pt idx="9">
                  <c:v>-1.0928961748634012E-2</c:v>
                </c:pt>
                <c:pt idx="10">
                  <c:v>0</c:v>
                </c:pt>
                <c:pt idx="11">
                  <c:v>-2.7624309392265144E-2</c:v>
                </c:pt>
              </c:numCache>
            </c:numRef>
          </c:val>
          <c:extLst xmlns:c16r2="http://schemas.microsoft.com/office/drawing/2015/06/chart">
            <c:ext xmlns:c16="http://schemas.microsoft.com/office/drawing/2014/chart" uri="{C3380CC4-5D6E-409C-BE32-E72D297353CC}">
              <c16:uniqueId val="{00000001-E477-41BF-B4F2-48F6A1D9A994}"/>
            </c:ext>
          </c:extLst>
        </c:ser>
        <c:marker val="1"/>
        <c:axId val="245469184"/>
        <c:axId val="245467392"/>
      </c:lineChart>
      <c:catAx>
        <c:axId val="24545587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45465856"/>
        <c:crossesAt val="0"/>
        <c:lblAlgn val="ctr"/>
        <c:lblOffset val="100"/>
        <c:tickLblSkip val="1"/>
        <c:tickMarkSkip val="1"/>
      </c:catAx>
      <c:valAx>
        <c:axId val="245465856"/>
        <c:scaling>
          <c:orientation val="minMax"/>
          <c:max val="10"/>
          <c:min val="0"/>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a:solidFill>
                  <a:sysClr val="windowText" lastClr="000000"/>
                </a:solidFill>
              </a:defRPr>
            </a:pPr>
            <a:endParaRPr lang="zh-CN"/>
          </a:p>
        </c:txPr>
        <c:crossAx val="245455872"/>
        <c:crosses val="autoZero"/>
        <c:crossBetween val="between"/>
        <c:majorUnit val="2"/>
      </c:valAx>
      <c:valAx>
        <c:axId val="245467392"/>
        <c:scaling>
          <c:orientation val="minMax"/>
          <c:max val="0.4"/>
          <c:min val="-3"/>
        </c:scaling>
        <c:axPos val="r"/>
        <c:numFmt formatCode="General" sourceLinked="1"/>
        <c:majorTickMark val="none"/>
        <c:tickLblPos val="none"/>
        <c:spPr>
          <a:noFill/>
          <a:ln>
            <a:noFill/>
          </a:ln>
        </c:spPr>
        <c:crossAx val="245469184"/>
        <c:crosses val="max"/>
        <c:crossBetween val="between"/>
        <c:minorUnit val="0.1"/>
      </c:valAx>
      <c:catAx>
        <c:axId val="245469184"/>
        <c:scaling>
          <c:orientation val="minMax"/>
        </c:scaling>
        <c:delete val="1"/>
        <c:axPos val="b"/>
        <c:numFmt formatCode="General" sourceLinked="1"/>
        <c:tickLblPos val="none"/>
        <c:crossAx val="245467392"/>
        <c:crosses val="autoZero"/>
        <c:lblAlgn val="ctr"/>
        <c:lblOffset val="100"/>
      </c:catAx>
      <c:spPr>
        <a:noFill/>
        <a:ln w="12700">
          <a:noFill/>
          <a:prstDash val="solid"/>
        </a:ln>
      </c:spPr>
    </c:plotArea>
    <c:legend>
      <c:legendPos val="r"/>
      <c:layout>
        <c:manualLayout>
          <c:xMode val="edge"/>
          <c:yMode val="edge"/>
          <c:x val="0.13865373419827021"/>
          <c:y val="0.73507534722222223"/>
          <c:w val="0.78415841584158463"/>
          <c:h val="7.607187499999999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2"/>
  <c:userShapes r:id="rId3"/>
</c:chartSpace>
</file>

<file path=word/charts/chart71.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月陕西省网民常用通讯聊天类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1971727378576181"/>
          <c:y val="2.3678086419753105E-2"/>
        </c:manualLayout>
      </c:layout>
    </c:title>
    <c:plotArea>
      <c:layout>
        <c:manualLayout>
          <c:layoutTarget val="inner"/>
          <c:xMode val="edge"/>
          <c:yMode val="edge"/>
          <c:x val="0.24562078019504879"/>
          <c:y val="0.12620648148148175"/>
          <c:w val="0.6760596399099783"/>
          <c:h val="0.52134485759974136"/>
        </c:manualLayout>
      </c:layout>
      <c:barChart>
        <c:barDir val="bar"/>
        <c:grouping val="clustered"/>
        <c:ser>
          <c:idx val="1"/>
          <c:order val="0"/>
          <c:tx>
            <c:strRef>
              <c:f>'06-移动端十大类APP-Top10'!$D$4</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layout/>
                <c15:showLeaderLines val="0"/>
              </c:ext>
            </c:extLst>
          </c:dLbls>
          <c:cat>
            <c:strRef>
              <c:f>'06-移动端十大类APP-Top10'!$C$5:$C$14</c:f>
              <c:strCache>
                <c:ptCount val="10"/>
                <c:pt idx="0">
                  <c:v>189邮箱</c:v>
                </c:pt>
                <c:pt idx="1">
                  <c:v>139邮箱手机客户端</c:v>
                </c:pt>
                <c:pt idx="2">
                  <c:v>号簿助手-中国电信</c:v>
                </c:pt>
                <c:pt idx="3">
                  <c:v>QQ轻聊版</c:v>
                </c:pt>
                <c:pt idx="4">
                  <c:v>邮箱大师</c:v>
                </c:pt>
                <c:pt idx="5">
                  <c:v>搜狗号码通</c:v>
                </c:pt>
                <c:pt idx="6">
                  <c:v>触宝电话</c:v>
                </c:pt>
                <c:pt idx="7">
                  <c:v>QQ邮箱</c:v>
                </c:pt>
                <c:pt idx="8">
                  <c:v>QQ</c:v>
                </c:pt>
                <c:pt idx="9">
                  <c:v>微信</c:v>
                </c:pt>
              </c:strCache>
            </c:strRef>
          </c:cat>
          <c:val>
            <c:numRef>
              <c:f>'06-移动端十大类APP-Top10'!$D$5:$D$14</c:f>
              <c:numCache>
                <c:formatCode>0.00%</c:formatCode>
                <c:ptCount val="10"/>
                <c:pt idx="0">
                  <c:v>1.1500000000000008E-2</c:v>
                </c:pt>
                <c:pt idx="1">
                  <c:v>1.1500000000000008E-2</c:v>
                </c:pt>
                <c:pt idx="2">
                  <c:v>1.2400000000000001E-2</c:v>
                </c:pt>
                <c:pt idx="3">
                  <c:v>1.6100000000000014E-2</c:v>
                </c:pt>
                <c:pt idx="4">
                  <c:v>1.6400000000000001E-2</c:v>
                </c:pt>
                <c:pt idx="5">
                  <c:v>2.1300000000000006E-2</c:v>
                </c:pt>
                <c:pt idx="6">
                  <c:v>3.7800000000000028E-2</c:v>
                </c:pt>
                <c:pt idx="7">
                  <c:v>9.8700000000000107E-2</c:v>
                </c:pt>
                <c:pt idx="8">
                  <c:v>0.52869999999999995</c:v>
                </c:pt>
                <c:pt idx="9">
                  <c:v>0.9012</c:v>
                </c:pt>
              </c:numCache>
            </c:numRef>
          </c:val>
          <c:extLst xmlns:c16r2="http://schemas.microsoft.com/office/drawing/2015/06/chart">
            <c:ext xmlns:c16="http://schemas.microsoft.com/office/drawing/2014/chart" uri="{C3380CC4-5D6E-409C-BE32-E72D297353CC}">
              <c16:uniqueId val="{00000000-F836-4AE6-B392-CA2898B75692}"/>
            </c:ext>
          </c:extLst>
        </c:ser>
        <c:dLbls>
          <c:showVal val="1"/>
        </c:dLbls>
        <c:gapWidth val="60"/>
        <c:axId val="245318400"/>
        <c:axId val="245319936"/>
      </c:barChart>
      <c:catAx>
        <c:axId val="245318400"/>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45319936"/>
        <c:crosses val="autoZero"/>
        <c:auto val="1"/>
        <c:lblAlgn val="ctr"/>
        <c:lblOffset val="100"/>
      </c:catAx>
      <c:valAx>
        <c:axId val="245319936"/>
        <c:scaling>
          <c:orientation val="minMax"/>
          <c:max val="1"/>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45318400"/>
        <c:crosses val="autoZero"/>
        <c:crossBetween val="between"/>
        <c:majorUnit val="0.2"/>
        <c:minorUnit val="0.1"/>
      </c:valAx>
      <c:spPr>
        <a:ln>
          <a:noFill/>
        </a:ln>
      </c:spPr>
    </c:plotArea>
    <c:legend>
      <c:legendPos val="b"/>
      <c:layout>
        <c:manualLayout>
          <c:xMode val="edge"/>
          <c:yMode val="edge"/>
          <c:x val="0.39032956523998935"/>
          <c:y val="0.71306195980001219"/>
          <c:w val="0.28424626990080892"/>
          <c:h val="5.9779870840395696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2017</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年陕西省网民使用实用工具</a:t>
            </a: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APP</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月独立设备数比例</a:t>
            </a:r>
          </a:p>
        </c:rich>
      </c:tx>
      <c:spPr>
        <a:noFill/>
        <a:ln w="25400">
          <a:noFill/>
        </a:ln>
      </c:spPr>
    </c:title>
    <c:plotArea>
      <c:layout>
        <c:manualLayout>
          <c:layoutTarget val="inner"/>
          <c:xMode val="edge"/>
          <c:yMode val="edge"/>
          <c:x val="0.11384023619427802"/>
          <c:y val="0.19117851347170217"/>
          <c:w val="0.82105913173652689"/>
          <c:h val="0.42556527777777803"/>
        </c:manualLayout>
      </c:layout>
      <c:areaChart>
        <c:grouping val="standard"/>
        <c:ser>
          <c:idx val="0"/>
          <c:order val="0"/>
          <c:tx>
            <c:strRef>
              <c:f>'05-移动端十大类APP网络使用黏性'!$A$56</c:f>
              <c:strCache>
                <c:ptCount val="1"/>
                <c:pt idx="0">
                  <c:v>月独立设备数比例</c:v>
                </c:pt>
              </c:strCache>
            </c:strRef>
          </c:tx>
          <c:spPr>
            <a:solidFill>
              <a:srgbClr val="B2D234"/>
            </a:solidFill>
            <a:ln w="25400">
              <a:solidFill>
                <a:srgbClr val="B2D234"/>
              </a:solidFill>
              <a:prstDash val="solid"/>
            </a:ln>
          </c:spPr>
          <c:dLbls>
            <c:dLbl>
              <c:idx val="0"/>
              <c:delete val="1"/>
            </c:dLbl>
            <c:dLbl>
              <c:idx val="1"/>
              <c:layout>
                <c:manualLayout>
                  <c:x val="0"/>
                  <c:y val="-0.19402777777777772"/>
                </c:manualLayout>
              </c:layout>
              <c:showVal val="1"/>
            </c:dLbl>
            <c:dLbl>
              <c:idx val="2"/>
              <c:delete val="1"/>
            </c:dLbl>
            <c:dLbl>
              <c:idx val="3"/>
              <c:layout>
                <c:manualLayout>
                  <c:x val="0"/>
                  <c:y val="-0.19843750000000004"/>
                </c:manualLayout>
              </c:layout>
              <c:showVal val="1"/>
            </c:dLbl>
            <c:dLbl>
              <c:idx val="4"/>
              <c:delete val="1"/>
            </c:dLbl>
            <c:dLbl>
              <c:idx val="5"/>
              <c:layout>
                <c:manualLayout>
                  <c:x val="0"/>
                  <c:y val="-0.21607638888888894"/>
                </c:manualLayout>
              </c:layout>
              <c:showVal val="1"/>
            </c:dLbl>
            <c:dLbl>
              <c:idx val="6"/>
              <c:delete val="1"/>
            </c:dLbl>
            <c:dLbl>
              <c:idx val="7"/>
              <c:layout>
                <c:manualLayout>
                  <c:x val="0"/>
                  <c:y val="-0.21607638888888894"/>
                </c:manualLayout>
              </c:layout>
              <c:showVal val="1"/>
            </c:dLbl>
            <c:dLbl>
              <c:idx val="8"/>
              <c:delete val="1"/>
            </c:dLbl>
            <c:dLbl>
              <c:idx val="9"/>
              <c:layout>
                <c:manualLayout>
                  <c:x val="-5.2811044577510706E-3"/>
                  <c:y val="-0.22489583333333341"/>
                </c:manualLayout>
              </c:layout>
              <c:showVal val="1"/>
            </c:dLbl>
            <c:dLbl>
              <c:idx val="10"/>
              <c:delete val="1"/>
            </c:dLbl>
            <c:dLbl>
              <c:idx val="11"/>
              <c:layout>
                <c:manualLayout>
                  <c:x val="-1.3202761144377925E-2"/>
                  <c:y val="-0.22489583333333341"/>
                </c:manualLayout>
              </c:layout>
              <c:showVal val="1"/>
            </c:dLbl>
            <c:numFmt formatCode="0.0%" sourceLinked="0"/>
            <c:txPr>
              <a:bodyPr/>
              <a:lstStyle/>
              <a:p>
                <a:pPr>
                  <a:defRPr>
                    <a:latin typeface="微软雅黑" panose="020B0503020204020204" pitchFamily="34" charset="-122"/>
                    <a:ea typeface="微软雅黑" panose="020B0503020204020204" pitchFamily="34" charset="-122"/>
                  </a:defRPr>
                </a:pPr>
                <a:endParaRPr lang="zh-CN"/>
              </a:p>
            </c:txPr>
            <c:showVal val="1"/>
          </c:dLbls>
          <c:cat>
            <c:strRef>
              <c:f>'05-移动端十大类APP网络使用黏性'!$B$55:$M$55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'05-移动端十大类APP网络使用黏性'!$B$56:$M$56</c:f>
              <c:numCache>
                <c:formatCode>0.00%</c:formatCode>
                <c:ptCount val="12"/>
                <c:pt idx="0">
                  <c:v>0.9023341019494896</c:v>
                </c:pt>
                <c:pt idx="1">
                  <c:v>0.89875062226053648</c:v>
                </c:pt>
                <c:pt idx="2">
                  <c:v>0.90060505658674506</c:v>
                </c:pt>
                <c:pt idx="3">
                  <c:v>0.91045243653772279</c:v>
                </c:pt>
                <c:pt idx="4">
                  <c:v>0.91622535570726649</c:v>
                </c:pt>
                <c:pt idx="5">
                  <c:v>0.9177534271803317</c:v>
                </c:pt>
                <c:pt idx="6">
                  <c:v>0.92575962830114233</c:v>
                </c:pt>
                <c:pt idx="7">
                  <c:v>0.92735173151386063</c:v>
                </c:pt>
                <c:pt idx="8">
                  <c:v>0.92733596723654255</c:v>
                </c:pt>
                <c:pt idx="9">
                  <c:v>0.92839071062400613</c:v>
                </c:pt>
                <c:pt idx="10">
                  <c:v>0.92874068175890001</c:v>
                </c:pt>
                <c:pt idx="11">
                  <c:v>0.93149999596536659</c:v>
                </c:pt>
              </c:numCache>
            </c:numRef>
          </c:val>
          <c:extLst xmlns:c16r2="http://schemas.microsoft.com/office/drawing/2015/06/chart">
            <c:ext xmlns:c16="http://schemas.microsoft.com/office/drawing/2014/chart" uri="{C3380CC4-5D6E-409C-BE32-E72D297353CC}">
              <c16:uniqueId val="{00000007-FA1B-452E-AC9A-49F03D6C04EA}"/>
            </c:ext>
          </c:extLst>
        </c:ser>
        <c:dLbls>
          <c:showVal val="1"/>
        </c:dLbls>
        <c:axId val="245385856"/>
        <c:axId val="245408128"/>
      </c:areaChart>
      <c:catAx>
        <c:axId val="24538585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45408128"/>
        <c:crossesAt val="0"/>
        <c:lblAlgn val="ctr"/>
        <c:lblOffset val="100"/>
        <c:tickLblSkip val="1"/>
        <c:tickMarkSkip val="1"/>
      </c:catAx>
      <c:valAx>
        <c:axId val="245408128"/>
        <c:scaling>
          <c:orientation val="minMax"/>
          <c:max val="1"/>
          <c:min val="0.60000000000000053"/>
        </c:scaling>
        <c:axPos val="l"/>
        <c:majorGridlines>
          <c:spPr>
            <a:ln w="12700">
              <a:noFill/>
              <a:prstDash val="solid"/>
            </a:ln>
          </c:spPr>
        </c:majorGridlines>
        <c:numFmt formatCode="0%"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crossAx val="245385856"/>
        <c:crosses val="autoZero"/>
        <c:crossBetween val="midCat"/>
        <c:majorUnit val="0.1"/>
        <c:minorUnit val="0.1"/>
      </c:valAx>
      <c:spPr>
        <a:noFill/>
        <a:ln w="12700">
          <a:noFill/>
          <a:prstDash val="solid"/>
        </a:ln>
      </c:spPr>
    </c:plotArea>
    <c:legend>
      <c:legendPos val="r"/>
      <c:layout>
        <c:manualLayout>
          <c:xMode val="edge"/>
          <c:yMode val="edge"/>
          <c:x val="0.1307320775116434"/>
          <c:y val="0.74469652777777773"/>
          <c:w val="0.7551122754491022"/>
          <c:h val="6.1639898989898967E-2"/>
        </c:manualLayout>
      </c:layout>
      <c:spPr>
        <a:solidFill>
          <a:srgbClr val="FFFFFF"/>
        </a:solidFill>
        <a:ln w="25400">
          <a:noFill/>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华文细黑"/>
          <a:ea typeface="华文细黑"/>
          <a:cs typeface="华文细黑"/>
        </a:defRPr>
      </a:pPr>
      <a:endParaRPr lang="zh-CN"/>
    </a:p>
  </c:txPr>
  <c:externalData r:id="rId2"/>
  <c:userShapes r:id="rId3"/>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2017</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年陕西省网民使用实用工具</a:t>
            </a: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APP</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单机使用天数</a:t>
            </a:r>
            <a:endParaRPr lang="zh-CN" altLang="en-US">
              <a:latin typeface="微软雅黑" panose="020B0503020204020204" pitchFamily="34" charset="-122"/>
              <a:ea typeface="微软雅黑" panose="020B0503020204020204" pitchFamily="34" charset="-122"/>
            </a:endParaRPr>
          </a:p>
        </c:rich>
      </c:tx>
      <c:spPr>
        <a:noFill/>
        <a:ln w="25400">
          <a:noFill/>
        </a:ln>
      </c:spPr>
    </c:title>
    <c:plotArea>
      <c:layout>
        <c:manualLayout>
          <c:layoutTarget val="inner"/>
          <c:xMode val="edge"/>
          <c:yMode val="edge"/>
          <c:x val="8.4794161676646843E-2"/>
          <c:y val="0.19117851347170217"/>
          <c:w val="0.87651072854291368"/>
          <c:h val="0.42436284722222273"/>
        </c:manualLayout>
      </c:layout>
      <c:barChart>
        <c:barDir val="col"/>
        <c:grouping val="clustered"/>
        <c:ser>
          <c:idx val="0"/>
          <c:order val="0"/>
          <c:tx>
            <c:strRef>
              <c:f>'05-移动端十大类APP网络使用黏性'!$A$61</c:f>
              <c:strCache>
                <c:ptCount val="1"/>
                <c:pt idx="0">
                  <c:v>单机使用天数（天）</c:v>
                </c:pt>
              </c:strCache>
            </c:strRef>
          </c:tx>
          <c:spPr>
            <a:solidFill>
              <a:srgbClr val="B2D234"/>
            </a:solidFill>
            <a:ln w="25400">
              <a:solidFill>
                <a:srgbClr val="B2D234"/>
              </a:solidFill>
              <a:prstDash val="solid"/>
            </a:ln>
          </c:spPr>
          <c:dLbls>
            <c:numFmt formatCode="0.0_);[Red]\(0.0\)" sourceLinked="0"/>
            <c:spPr>
              <a:noFill/>
              <a:ln w="25400">
                <a:noFill/>
              </a:ln>
            </c:spPr>
            <c:txPr>
              <a:bodyPr rot="0" vert="horz" anchor="t" anchorCtr="1"/>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'05-移动端十大类APP网络使用黏性'!$B$60:$M$60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'05-移动端十大类APP网络使用黏性'!$B$61:$M$61</c:f>
              <c:numCache>
                <c:formatCode>General</c:formatCode>
                <c:ptCount val="12"/>
                <c:pt idx="0">
                  <c:v>18.979999999999986</c:v>
                </c:pt>
                <c:pt idx="1">
                  <c:v>16.690000000000001</c:v>
                </c:pt>
                <c:pt idx="2">
                  <c:v>18.75</c:v>
                </c:pt>
                <c:pt idx="3">
                  <c:v>18.39</c:v>
                </c:pt>
                <c:pt idx="4">
                  <c:v>19.100000000000001</c:v>
                </c:pt>
                <c:pt idx="5">
                  <c:v>18.329999999999988</c:v>
                </c:pt>
                <c:pt idx="6">
                  <c:v>19.14</c:v>
                </c:pt>
                <c:pt idx="7">
                  <c:v>19.25</c:v>
                </c:pt>
                <c:pt idx="8">
                  <c:v>18.579999999999988</c:v>
                </c:pt>
                <c:pt idx="9">
                  <c:v>19.309999999999999</c:v>
                </c:pt>
                <c:pt idx="10">
                  <c:v>18.559999999999999</c:v>
                </c:pt>
                <c:pt idx="11">
                  <c:v>19.279999999999987</c:v>
                </c:pt>
              </c:numCache>
            </c:numRef>
          </c:val>
          <c:extLst xmlns:c16r2="http://schemas.microsoft.com/office/drawing/2015/06/chart">
            <c:ext xmlns:c16="http://schemas.microsoft.com/office/drawing/2014/chart" uri="{C3380CC4-5D6E-409C-BE32-E72D297353CC}">
              <c16:uniqueId val="{00000000-B1B8-4981-A849-1608F40951E7}"/>
            </c:ext>
          </c:extLst>
        </c:ser>
        <c:dLbls>
          <c:showVal val="1"/>
        </c:dLbls>
        <c:gapWidth val="60"/>
        <c:overlap val="100"/>
        <c:axId val="245415296"/>
        <c:axId val="257344640"/>
      </c:barChart>
      <c:lineChart>
        <c:grouping val="standard"/>
        <c:ser>
          <c:idx val="1"/>
          <c:order val="1"/>
          <c:tx>
            <c:strRef>
              <c:f>'05-移动端十大类APP网络使用黏性'!$A$62</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txPr>
              <a:bodyPr wrap="square" lIns="38100" tIns="19050" rIns="38100" bIns="19050" anchor="ctr">
                <a:spAutoFit/>
              </a:bodyPr>
              <a:lstStyle/>
              <a:p>
                <a:pPr>
                  <a:defRPr>
                    <a:latin typeface="微软雅黑" panose="020B0503020204020204" pitchFamily="34" charset="-122"/>
                    <a:ea typeface="微软雅黑" panose="020B0503020204020204" pitchFamily="34" charset="-122"/>
                  </a:defRPr>
                </a:pPr>
                <a:endParaRPr lang="zh-CN"/>
              </a:p>
            </c:tx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'05-移动端十大类APP网络使用黏性'!$B$60:$M$60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'05-移动端十大类APP网络使用黏性'!$B$62:$M$62</c:f>
              <c:numCache>
                <c:formatCode>0.0%</c:formatCode>
                <c:ptCount val="12"/>
                <c:pt idx="1">
                  <c:v>-0.12065331928345624</c:v>
                </c:pt>
                <c:pt idx="2">
                  <c:v>0.12342720191731572</c:v>
                </c:pt>
                <c:pt idx="3">
                  <c:v>-1.9199999999999995E-2</c:v>
                </c:pt>
                <c:pt idx="4">
                  <c:v>3.8607939097335515E-2</c:v>
                </c:pt>
                <c:pt idx="5">
                  <c:v>-4.0314136125654598E-2</c:v>
                </c:pt>
                <c:pt idx="6">
                  <c:v>4.4189852700491097E-2</c:v>
                </c:pt>
                <c:pt idx="7">
                  <c:v>5.7471264367816594E-3</c:v>
                </c:pt>
                <c:pt idx="8">
                  <c:v>-3.4805194805194846E-2</c:v>
                </c:pt>
                <c:pt idx="9">
                  <c:v>3.9289558665231546E-2</c:v>
                </c:pt>
                <c:pt idx="10">
                  <c:v>-3.8839979285344467E-2</c:v>
                </c:pt>
                <c:pt idx="11">
                  <c:v>3.8793103448276051E-2</c:v>
                </c:pt>
              </c:numCache>
            </c:numRef>
          </c:val>
          <c:extLst xmlns:c16r2="http://schemas.microsoft.com/office/drawing/2015/06/chart">
            <c:ext xmlns:c16="http://schemas.microsoft.com/office/drawing/2014/chart" uri="{C3380CC4-5D6E-409C-BE32-E72D297353CC}">
              <c16:uniqueId val="{00000001-B1B8-4981-A849-1608F40951E7}"/>
            </c:ext>
          </c:extLst>
        </c:ser>
        <c:marker val="1"/>
        <c:axId val="257352064"/>
        <c:axId val="257346176"/>
      </c:lineChart>
      <c:catAx>
        <c:axId val="24541529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57344640"/>
        <c:crossesAt val="0"/>
        <c:lblAlgn val="ctr"/>
        <c:lblOffset val="100"/>
        <c:tickLblSkip val="1"/>
        <c:tickMarkSkip val="1"/>
      </c:catAx>
      <c:valAx>
        <c:axId val="257344640"/>
        <c:scaling>
          <c:orientation val="minMax"/>
          <c:max val="30"/>
          <c:min val="5"/>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45415296"/>
        <c:crosses val="autoZero"/>
        <c:crossBetween val="between"/>
        <c:majorUnit val="5"/>
        <c:minorUnit val="1"/>
      </c:valAx>
      <c:valAx>
        <c:axId val="257346176"/>
        <c:scaling>
          <c:orientation val="minMax"/>
          <c:max val="0.35000000000000026"/>
          <c:min val="-3"/>
        </c:scaling>
        <c:axPos val="r"/>
        <c:numFmt formatCode="General" sourceLinked="1"/>
        <c:majorTickMark val="none"/>
        <c:tickLblPos val="none"/>
        <c:spPr>
          <a:noFill/>
          <a:ln>
            <a:noFill/>
          </a:ln>
        </c:spPr>
        <c:crossAx val="257352064"/>
        <c:crosses val="max"/>
        <c:crossBetween val="between"/>
        <c:minorUnit val="0.1"/>
      </c:valAx>
      <c:catAx>
        <c:axId val="257352064"/>
        <c:scaling>
          <c:orientation val="minMax"/>
        </c:scaling>
        <c:delete val="1"/>
        <c:axPos val="b"/>
        <c:numFmt formatCode="General" sourceLinked="1"/>
        <c:tickLblPos val="none"/>
        <c:crossAx val="257346176"/>
        <c:crosses val="autoZero"/>
        <c:lblAlgn val="ctr"/>
        <c:lblOffset val="100"/>
      </c:catAx>
      <c:spPr>
        <a:noFill/>
        <a:ln w="12700">
          <a:noFill/>
          <a:prstDash val="solid"/>
        </a:ln>
      </c:spPr>
    </c:plotArea>
    <c:legend>
      <c:legendPos val="r"/>
      <c:layout>
        <c:manualLayout>
          <c:xMode val="edge"/>
          <c:yMode val="edge"/>
          <c:x val="0.12545097305389222"/>
          <c:y val="0.70500902777777774"/>
          <c:w val="0.78415841584158463"/>
          <c:h val="6.1639898989898967E-2"/>
        </c:manualLayout>
      </c:layout>
      <c:spPr>
        <a:solidFill>
          <a:srgbClr val="FFFFFF"/>
        </a:solidFill>
        <a:ln w="25400">
          <a:noFill/>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华文细黑"/>
          <a:ea typeface="华文细黑"/>
          <a:cs typeface="华文细黑"/>
        </a:defRPr>
      </a:pPr>
      <a:endParaRPr lang="zh-CN"/>
    </a:p>
  </c:txPr>
  <c:externalData r:id="rId2"/>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实用工具</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7.9513057218895594E-2"/>
          <c:y val="0.19117851347170217"/>
          <c:w val="0.88179183300066577"/>
          <c:h val="0.41634513888888891"/>
        </c:manualLayout>
      </c:layout>
      <c:barChart>
        <c:barDir val="col"/>
        <c:grouping val="clustered"/>
        <c:ser>
          <c:idx val="0"/>
          <c:order val="0"/>
          <c:tx>
            <c:strRef>
              <c:f>'05-移动端十大类APP网络使用黏性'!$A$66</c:f>
              <c:strCache>
                <c:ptCount val="1"/>
                <c:pt idx="0">
                  <c:v>单机单日使用次数（次）</c:v>
                </c:pt>
              </c:strCache>
            </c:strRef>
          </c:tx>
          <c:spPr>
            <a:solidFill>
              <a:srgbClr val="B2D234"/>
            </a:solidFill>
            <a:ln w="25400">
              <a:solidFill>
                <a:srgbClr val="B2D234"/>
              </a:solidFill>
              <a:prstDash val="solid"/>
            </a:ln>
          </c:spPr>
          <c:dLbls>
            <c:numFmt formatCode="0.0_);[Red]\(0.0\)" sourceLinked="0"/>
            <c:spPr>
              <a:noFill/>
              <a:ln w="25400">
                <a:noFill/>
              </a:ln>
            </c:spPr>
            <c:txPr>
              <a:bodyPr rot="0" vert="horz"/>
              <a:lstStyle/>
              <a:p>
                <a:pPr>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'05-移动端十大类APP网络使用黏性'!$B$65:$M$65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'05-移动端十大类APP网络使用黏性'!$B$66:$M$66</c:f>
              <c:numCache>
                <c:formatCode>General</c:formatCode>
                <c:ptCount val="12"/>
                <c:pt idx="0">
                  <c:v>4.04</c:v>
                </c:pt>
                <c:pt idx="1">
                  <c:v>4.2699999999999996</c:v>
                </c:pt>
                <c:pt idx="2">
                  <c:v>4.3599999999999985</c:v>
                </c:pt>
                <c:pt idx="3">
                  <c:v>3.88</c:v>
                </c:pt>
                <c:pt idx="4">
                  <c:v>4.1599999999999975</c:v>
                </c:pt>
                <c:pt idx="5">
                  <c:v>4.08</c:v>
                </c:pt>
                <c:pt idx="6">
                  <c:v>4.25</c:v>
                </c:pt>
                <c:pt idx="7">
                  <c:v>4.8099999999999996</c:v>
                </c:pt>
                <c:pt idx="8">
                  <c:v>4.5999999999999996</c:v>
                </c:pt>
                <c:pt idx="9">
                  <c:v>5.24</c:v>
                </c:pt>
                <c:pt idx="10">
                  <c:v>5.1099999999999985</c:v>
                </c:pt>
                <c:pt idx="11">
                  <c:v>5.1199999999999966</c:v>
                </c:pt>
              </c:numCache>
            </c:numRef>
          </c:val>
          <c:extLst xmlns:c16r2="http://schemas.microsoft.com/office/drawing/2015/06/chart">
            <c:ext xmlns:c16="http://schemas.microsoft.com/office/drawing/2014/chart" uri="{C3380CC4-5D6E-409C-BE32-E72D297353CC}">
              <c16:uniqueId val="{00000000-7DD8-482C-A8D7-A3DFD0AF043C}"/>
            </c:ext>
          </c:extLst>
        </c:ser>
        <c:dLbls>
          <c:showVal val="1"/>
        </c:dLbls>
        <c:gapWidth val="60"/>
        <c:overlap val="100"/>
        <c:axId val="257357312"/>
        <c:axId val="257361024"/>
      </c:barChart>
      <c:lineChart>
        <c:grouping val="standard"/>
        <c:ser>
          <c:idx val="1"/>
          <c:order val="1"/>
          <c:tx>
            <c:strRef>
              <c:f>'05-移动端十大类APP网络使用黏性'!$A$67</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'05-移动端十大类APP网络使用黏性'!$B$65:$M$65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'05-移动端十大类APP网络使用黏性'!$B$67:$M$67</c:f>
              <c:numCache>
                <c:formatCode>0.0%</c:formatCode>
                <c:ptCount val="12"/>
                <c:pt idx="1">
                  <c:v>5.6930693069306801E-2</c:v>
                </c:pt>
                <c:pt idx="2">
                  <c:v>2.1077283372365606E-2</c:v>
                </c:pt>
                <c:pt idx="3">
                  <c:v>-0.11009174311926617</c:v>
                </c:pt>
                <c:pt idx="4">
                  <c:v>7.2164948453608269E-2</c:v>
                </c:pt>
                <c:pt idx="5">
                  <c:v>-1.9230769230769291E-2</c:v>
                </c:pt>
                <c:pt idx="6">
                  <c:v>4.1666666666666761E-2</c:v>
                </c:pt>
                <c:pt idx="7">
                  <c:v>0.13176470588235292</c:v>
                </c:pt>
                <c:pt idx="8">
                  <c:v>-4.3659043659043613E-2</c:v>
                </c:pt>
                <c:pt idx="9">
                  <c:v>0.13913043478260889</c:v>
                </c:pt>
                <c:pt idx="10">
                  <c:v>-2.4809160305343546E-2</c:v>
                </c:pt>
                <c:pt idx="11">
                  <c:v>1.9569471624265623E-3</c:v>
                </c:pt>
              </c:numCache>
            </c:numRef>
          </c:val>
          <c:extLst xmlns:c16r2="http://schemas.microsoft.com/office/drawing/2015/06/chart">
            <c:ext xmlns:c16="http://schemas.microsoft.com/office/drawing/2014/chart" uri="{C3380CC4-5D6E-409C-BE32-E72D297353CC}">
              <c16:uniqueId val="{00000001-7DD8-482C-A8D7-A3DFD0AF043C}"/>
            </c:ext>
          </c:extLst>
        </c:ser>
        <c:marker val="1"/>
        <c:axId val="257364352"/>
        <c:axId val="257362560"/>
      </c:lineChart>
      <c:catAx>
        <c:axId val="25735731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7361024"/>
        <c:crossesAt val="0"/>
        <c:lblAlgn val="ctr"/>
        <c:lblOffset val="100"/>
        <c:tickLblSkip val="1"/>
        <c:tickMarkSkip val="1"/>
      </c:catAx>
      <c:valAx>
        <c:axId val="257361024"/>
        <c:scaling>
          <c:orientation val="minMax"/>
          <c:max val="10"/>
          <c:min val="0"/>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a:pPr>
            <a:endParaRPr lang="zh-CN"/>
          </a:p>
        </c:txPr>
        <c:crossAx val="257357312"/>
        <c:crosses val="autoZero"/>
        <c:crossBetween val="between"/>
        <c:majorUnit val="2"/>
        <c:minorUnit val="1"/>
      </c:valAx>
      <c:valAx>
        <c:axId val="257362560"/>
        <c:scaling>
          <c:orientation val="minMax"/>
          <c:max val="0.5"/>
          <c:min val="-3"/>
        </c:scaling>
        <c:axPos val="r"/>
        <c:numFmt formatCode="General" sourceLinked="1"/>
        <c:majorTickMark val="none"/>
        <c:tickLblPos val="none"/>
        <c:spPr>
          <a:noFill/>
          <a:ln>
            <a:noFill/>
          </a:ln>
        </c:spPr>
        <c:crossAx val="257364352"/>
        <c:crosses val="max"/>
        <c:crossBetween val="between"/>
        <c:minorUnit val="0.1"/>
      </c:valAx>
      <c:catAx>
        <c:axId val="257364352"/>
        <c:scaling>
          <c:orientation val="minMax"/>
        </c:scaling>
        <c:delete val="1"/>
        <c:axPos val="b"/>
        <c:numFmt formatCode="General" sourceLinked="1"/>
        <c:tickLblPos val="none"/>
        <c:crossAx val="257362560"/>
        <c:crosses val="autoZero"/>
        <c:lblAlgn val="ctr"/>
        <c:lblOffset val="100"/>
      </c:catAx>
      <c:spPr>
        <a:noFill/>
        <a:ln w="12700">
          <a:noFill/>
          <a:prstDash val="solid"/>
        </a:ln>
      </c:spPr>
    </c:plotArea>
    <c:legend>
      <c:legendPos val="r"/>
      <c:layout>
        <c:manualLayout>
          <c:xMode val="edge"/>
          <c:yMode val="edge"/>
          <c:x val="0.12809152528276777"/>
          <c:y val="0.71262569444444546"/>
          <c:w val="0.78415841584158463"/>
          <c:h val="6.725243055555561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2"/>
  <c:userShapes r:id="rId3"/>
</c:chartSpace>
</file>

<file path=word/charts/chart75.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实用工具</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8.4794161676646843E-2"/>
          <c:y val="0.19117851347170217"/>
          <c:w val="0.87651072854291368"/>
          <c:h val="0.41193541666666667"/>
        </c:manualLayout>
      </c:layout>
      <c:barChart>
        <c:barDir val="col"/>
        <c:grouping val="clustered"/>
        <c:ser>
          <c:idx val="0"/>
          <c:order val="0"/>
          <c:tx>
            <c:strRef>
              <c:f>'05-移动端十大类APP网络使用黏性'!$A$71</c:f>
              <c:strCache>
                <c:ptCount val="1"/>
                <c:pt idx="0">
                  <c:v>单机单次有效时间（分钟）</c:v>
                </c:pt>
              </c:strCache>
            </c:strRef>
          </c:tx>
          <c:spPr>
            <a:solidFill>
              <a:srgbClr val="B2D234"/>
            </a:solidFill>
            <a:ln w="25400">
              <a:solidFill>
                <a:srgbClr val="B2D234"/>
              </a:solidFill>
              <a:prstDash val="solid"/>
            </a:ln>
          </c:spPr>
          <c:dLbls>
            <c:numFmt formatCode="0.0_);[Red]\(0.0\)" sourceLinked="0"/>
            <c:spPr>
              <a:noFill/>
              <a:ln w="25400">
                <a:noFill/>
              </a:ln>
            </c:spPr>
            <c:txPr>
              <a:bodyPr rot="0" vert="horz"/>
              <a:lstStyle/>
              <a:p>
                <a:pPr>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'05-移动端十大类APP网络使用黏性'!$B$70:$M$70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'05-移动端十大类APP网络使用黏性'!$B$71:$M$71</c:f>
              <c:numCache>
                <c:formatCode>General</c:formatCode>
                <c:ptCount val="12"/>
                <c:pt idx="0">
                  <c:v>5.63</c:v>
                </c:pt>
                <c:pt idx="1">
                  <c:v>5.92</c:v>
                </c:pt>
                <c:pt idx="2">
                  <c:v>5.68</c:v>
                </c:pt>
                <c:pt idx="3">
                  <c:v>6.1199999999999966</c:v>
                </c:pt>
                <c:pt idx="4">
                  <c:v>6.38</c:v>
                </c:pt>
                <c:pt idx="5">
                  <c:v>6.1099999999999985</c:v>
                </c:pt>
                <c:pt idx="6">
                  <c:v>5.56</c:v>
                </c:pt>
                <c:pt idx="7">
                  <c:v>5.46</c:v>
                </c:pt>
                <c:pt idx="8">
                  <c:v>5.44</c:v>
                </c:pt>
                <c:pt idx="9">
                  <c:v>4.9700000000000024</c:v>
                </c:pt>
                <c:pt idx="10">
                  <c:v>5.07</c:v>
                </c:pt>
                <c:pt idx="11">
                  <c:v>5.3599999999999985</c:v>
                </c:pt>
              </c:numCache>
            </c:numRef>
          </c:val>
          <c:extLst xmlns:c16r2="http://schemas.microsoft.com/office/drawing/2015/06/chart">
            <c:ext xmlns:c16="http://schemas.microsoft.com/office/drawing/2014/chart" uri="{C3380CC4-5D6E-409C-BE32-E72D297353CC}">
              <c16:uniqueId val="{00000000-D41E-406B-BC6E-BD021079A9FC}"/>
            </c:ext>
          </c:extLst>
        </c:ser>
        <c:dLbls>
          <c:showVal val="1"/>
        </c:dLbls>
        <c:gapWidth val="60"/>
        <c:overlap val="100"/>
        <c:axId val="257396096"/>
        <c:axId val="257442944"/>
      </c:barChart>
      <c:lineChart>
        <c:grouping val="standard"/>
        <c:ser>
          <c:idx val="1"/>
          <c:order val="1"/>
          <c:tx>
            <c:strRef>
              <c:f>'05-移动端十大类APP网络使用黏性'!$A$72</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'05-移动端十大类APP网络使用黏性'!$B$70:$M$70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'05-移动端十大类APP网络使用黏性'!$B$72:$M$72</c:f>
              <c:numCache>
                <c:formatCode>0.0%</c:formatCode>
                <c:ptCount val="12"/>
                <c:pt idx="1">
                  <c:v>5.1509769094138624E-2</c:v>
                </c:pt>
                <c:pt idx="2">
                  <c:v>-4.0540540540540557E-2</c:v>
                </c:pt>
                <c:pt idx="3">
                  <c:v>7.7464788732394499E-2</c:v>
                </c:pt>
                <c:pt idx="4">
                  <c:v>4.2483660130719081E-2</c:v>
                </c:pt>
                <c:pt idx="5">
                  <c:v>-4.2319749216300884E-2</c:v>
                </c:pt>
                <c:pt idx="6">
                  <c:v>-9.0016366612111445E-2</c:v>
                </c:pt>
                <c:pt idx="7">
                  <c:v>-1.7985611510791255E-2</c:v>
                </c:pt>
                <c:pt idx="8">
                  <c:v>-3.6630036630035407E-3</c:v>
                </c:pt>
                <c:pt idx="9">
                  <c:v>-8.6397058823529549E-2</c:v>
                </c:pt>
                <c:pt idx="10">
                  <c:v>2.0120724346076577E-2</c:v>
                </c:pt>
                <c:pt idx="11">
                  <c:v>5.7199211045364982E-2</c:v>
                </c:pt>
              </c:numCache>
            </c:numRef>
          </c:val>
          <c:extLst xmlns:c16r2="http://schemas.microsoft.com/office/drawing/2015/06/chart">
            <c:ext xmlns:c16="http://schemas.microsoft.com/office/drawing/2014/chart" uri="{C3380CC4-5D6E-409C-BE32-E72D297353CC}">
              <c16:uniqueId val="{00000001-D41E-406B-BC6E-BD021079A9FC}"/>
            </c:ext>
          </c:extLst>
        </c:ser>
        <c:marker val="1"/>
        <c:axId val="257446272"/>
        <c:axId val="257444480"/>
      </c:lineChart>
      <c:catAx>
        <c:axId val="25739609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7442944"/>
        <c:crossesAt val="0"/>
        <c:lblAlgn val="ctr"/>
        <c:lblOffset val="100"/>
        <c:tickLblSkip val="1"/>
        <c:tickMarkSkip val="1"/>
      </c:catAx>
      <c:valAx>
        <c:axId val="257442944"/>
        <c:scaling>
          <c:orientation val="minMax"/>
          <c:max val="10"/>
          <c:min val="0"/>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a:solidFill>
                  <a:sysClr val="windowText" lastClr="000000"/>
                </a:solidFill>
              </a:defRPr>
            </a:pPr>
            <a:endParaRPr lang="zh-CN"/>
          </a:p>
        </c:txPr>
        <c:crossAx val="257396096"/>
        <c:crosses val="autoZero"/>
        <c:crossBetween val="between"/>
        <c:majorUnit val="2"/>
        <c:minorUnit val="1"/>
      </c:valAx>
      <c:valAx>
        <c:axId val="257444480"/>
        <c:scaling>
          <c:orientation val="minMax"/>
          <c:max val="0.60000000000000053"/>
          <c:min val="-5"/>
        </c:scaling>
        <c:axPos val="r"/>
        <c:numFmt formatCode="General" sourceLinked="1"/>
        <c:majorTickMark val="none"/>
        <c:tickLblPos val="none"/>
        <c:spPr>
          <a:noFill/>
          <a:ln>
            <a:noFill/>
          </a:ln>
        </c:spPr>
        <c:crossAx val="257446272"/>
        <c:crosses val="max"/>
        <c:crossBetween val="between"/>
        <c:minorUnit val="0.1"/>
      </c:valAx>
      <c:catAx>
        <c:axId val="257446272"/>
        <c:scaling>
          <c:orientation val="minMax"/>
        </c:scaling>
        <c:delete val="1"/>
        <c:axPos val="b"/>
        <c:numFmt formatCode="General" sourceLinked="1"/>
        <c:tickLblPos val="none"/>
        <c:crossAx val="257444480"/>
        <c:crosses val="autoZero"/>
        <c:lblAlgn val="ctr"/>
        <c:lblOffset val="100"/>
      </c:catAx>
      <c:spPr>
        <a:noFill/>
        <a:ln w="12700">
          <a:noFill/>
          <a:prstDash val="solid"/>
        </a:ln>
      </c:spPr>
    </c:plotArea>
    <c:legend>
      <c:legendPos val="r"/>
      <c:layout>
        <c:manualLayout>
          <c:xMode val="edge"/>
          <c:yMode val="edge"/>
          <c:x val="0.12016986859614105"/>
          <c:y val="0.71262569444444546"/>
          <c:w val="0.78415841584158463"/>
          <c:h val="7.1662152777777766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2"/>
  <c:userShapes r:id="rId3"/>
</c:chartSpace>
</file>

<file path=word/charts/chart76.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网民常用实用工具类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19453218562874253"/>
          <c:y val="2.7597839506172856E-2"/>
        </c:manualLayout>
      </c:layout>
    </c:title>
    <c:plotArea>
      <c:layout>
        <c:manualLayout>
          <c:layoutTarget val="inner"/>
          <c:xMode val="edge"/>
          <c:yMode val="edge"/>
          <c:x val="0.20856985079603249"/>
          <c:y val="0.12228672839506174"/>
          <c:w val="0.71840355922313914"/>
          <c:h val="0.56114938271604942"/>
        </c:manualLayout>
      </c:layout>
      <c:barChart>
        <c:barDir val="bar"/>
        <c:grouping val="clustered"/>
        <c:ser>
          <c:idx val="1"/>
          <c:order val="0"/>
          <c:tx>
            <c:strRef>
              <c:f>'06-移动端十大类APP-Top10'!$D$31</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layout/>
                <c15:showLeaderLines val="0"/>
              </c:ext>
            </c:extLst>
          </c:dLbls>
          <c:cat>
            <c:strRef>
              <c:f>'06-移动端十大类APP-Top10'!$C$32:$C$41</c:f>
              <c:strCache>
                <c:ptCount val="10"/>
                <c:pt idx="0">
                  <c:v>360手机浏览器</c:v>
                </c:pt>
                <c:pt idx="1">
                  <c:v>讯飞输入法</c:v>
                </c:pt>
                <c:pt idx="2">
                  <c:v>UC浏览器</c:v>
                </c:pt>
                <c:pt idx="3">
                  <c:v>腾讯手机管家</c:v>
                </c:pt>
                <c:pt idx="4">
                  <c:v>百度输入法</c:v>
                </c:pt>
                <c:pt idx="5">
                  <c:v>360手机卫士</c:v>
                </c:pt>
                <c:pt idx="6">
                  <c:v>WiFi万能钥匙</c:v>
                </c:pt>
                <c:pt idx="7">
                  <c:v>百度</c:v>
                </c:pt>
                <c:pt idx="8">
                  <c:v>QQ手机浏览器</c:v>
                </c:pt>
                <c:pt idx="9">
                  <c:v>搜狗输入法</c:v>
                </c:pt>
              </c:strCache>
            </c:strRef>
          </c:cat>
          <c:val>
            <c:numRef>
              <c:f>'06-移动端十大类APP-Top10'!$D$32:$D$41</c:f>
              <c:numCache>
                <c:formatCode>0.00%</c:formatCode>
                <c:ptCount val="10"/>
                <c:pt idx="0">
                  <c:v>0.12089999999999998</c:v>
                </c:pt>
                <c:pt idx="1">
                  <c:v>0.2448000000000001</c:v>
                </c:pt>
                <c:pt idx="2">
                  <c:v>0.27830000000000021</c:v>
                </c:pt>
                <c:pt idx="3">
                  <c:v>0.29160000000000008</c:v>
                </c:pt>
                <c:pt idx="4">
                  <c:v>0.3107000000000002</c:v>
                </c:pt>
                <c:pt idx="5">
                  <c:v>0.35360000000000008</c:v>
                </c:pt>
                <c:pt idx="6">
                  <c:v>0.36860000000000021</c:v>
                </c:pt>
                <c:pt idx="7">
                  <c:v>0.3767000000000002</c:v>
                </c:pt>
                <c:pt idx="8">
                  <c:v>0.38200000000000023</c:v>
                </c:pt>
                <c:pt idx="9">
                  <c:v>0.49000000000000021</c:v>
                </c:pt>
              </c:numCache>
            </c:numRef>
          </c:val>
          <c:extLst xmlns:c16r2="http://schemas.microsoft.com/office/drawing/2015/06/chart">
            <c:ext xmlns:c16="http://schemas.microsoft.com/office/drawing/2014/chart" uri="{C3380CC4-5D6E-409C-BE32-E72D297353CC}">
              <c16:uniqueId val="{00000000-B50C-49DB-9450-A67BB75654B1}"/>
            </c:ext>
          </c:extLst>
        </c:ser>
        <c:dLbls>
          <c:showVal val="1"/>
        </c:dLbls>
        <c:gapWidth val="60"/>
        <c:axId val="257459328"/>
        <c:axId val="257460864"/>
      </c:barChart>
      <c:catAx>
        <c:axId val="257459328"/>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57460864"/>
        <c:crosses val="autoZero"/>
        <c:auto val="1"/>
        <c:lblAlgn val="ctr"/>
        <c:lblOffset val="100"/>
      </c:catAx>
      <c:valAx>
        <c:axId val="257460864"/>
        <c:scaling>
          <c:orientation val="minMax"/>
          <c:max val="0.60000000000000053"/>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57459328"/>
        <c:crosses val="autoZero"/>
        <c:crossBetween val="between"/>
        <c:majorUnit val="0.1"/>
        <c:minorUnit val="0.1"/>
      </c:valAx>
      <c:spPr>
        <a:ln>
          <a:noFill/>
        </a:ln>
      </c:spPr>
    </c:plotArea>
    <c:legend>
      <c:legendPos val="b"/>
      <c:layout>
        <c:manualLayout>
          <c:xMode val="edge"/>
          <c:yMode val="edge"/>
          <c:x val="0.38768816533599526"/>
          <c:y val="0.77971296296296255"/>
          <c:w val="0.28424626990080892"/>
          <c:h val="5.8040244969378825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微软雅黑" panose="020B0503020204020204" pitchFamily="34" charset="-122"/>
                <a:ea typeface="微软雅黑" panose="020B0503020204020204" pitchFamily="34" charset="-122"/>
                <a:cs typeface="华文细黑"/>
              </a:defRPr>
            </a:pP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2017</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年陕西省网民使用视频服务</a:t>
            </a: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APP</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月独立设备数比例</a:t>
            </a:r>
          </a:p>
        </c:rich>
      </c:tx>
      <c:spPr>
        <a:noFill/>
        <a:ln w="25400">
          <a:noFill/>
        </a:ln>
      </c:spPr>
    </c:title>
    <c:plotArea>
      <c:layout>
        <c:manualLayout>
          <c:layoutTarget val="inner"/>
          <c:xMode val="edge"/>
          <c:yMode val="edge"/>
          <c:x val="0.11384023619427802"/>
          <c:y val="0.19117851347170217"/>
          <c:w val="0.83162134065202964"/>
          <c:h val="0.43518645833333336"/>
        </c:manualLayout>
      </c:layout>
      <c:areaChart>
        <c:grouping val="standard"/>
        <c:ser>
          <c:idx val="0"/>
          <c:order val="0"/>
          <c:tx>
            <c:strRef>
              <c:f>'05-移动端十大类APP网络使用黏性'!$A$80</c:f>
              <c:strCache>
                <c:ptCount val="1"/>
                <c:pt idx="0">
                  <c:v>月独立设备数比例</c:v>
                </c:pt>
              </c:strCache>
            </c:strRef>
          </c:tx>
          <c:spPr>
            <a:solidFill>
              <a:srgbClr val="B2D234"/>
            </a:solidFill>
            <a:ln w="25400">
              <a:solidFill>
                <a:srgbClr val="B2D234"/>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F7-421D-9765-9E33B4E55E0D}"/>
                </c:ext>
              </c:extLst>
            </c:dLbl>
            <c:dLbl>
              <c:idx val="1"/>
              <c:layout>
                <c:manualLayout>
                  <c:x val="0"/>
                  <c:y val="-0.2117142361111113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F7-421D-9765-9E33B4E55E0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7-421D-9765-9E33B4E55E0D}"/>
                </c:ext>
              </c:extLst>
            </c:dLbl>
            <c:dLbl>
              <c:idx val="3"/>
              <c:layout>
                <c:manualLayout>
                  <c:x val="2.6405522288755856E-3"/>
                  <c:y val="-0.2058663194444445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7-421D-9765-9E33B4E55E0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7-421D-9765-9E33B4E55E0D}"/>
                </c:ext>
              </c:extLst>
            </c:dLbl>
            <c:dLbl>
              <c:idx val="5"/>
              <c:layout>
                <c:manualLayout>
                  <c:x val="-5.2811044577511703E-3"/>
                  <c:y val="-0.2249434027777780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7-421D-9765-9E33B4E55E0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7-421D-9765-9E33B4E55E0D}"/>
                </c:ext>
              </c:extLst>
            </c:dLbl>
            <c:dLbl>
              <c:idx val="7"/>
              <c:layout>
                <c:manualLayout>
                  <c:x val="-2.6405522288755856E-3"/>
                  <c:y val="-0.216123958333333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F7-421D-9765-9E33B4E55E0D}"/>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7-421D-9765-9E33B4E55E0D}"/>
                </c:ext>
              </c:extLst>
            </c:dLbl>
            <c:dLbl>
              <c:idx val="9"/>
              <c:layout>
                <c:manualLayout>
                  <c:x val="-1.5843313373253395E-2"/>
                  <c:y val="-0.2264291666666667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7-421D-9765-9E33B4E55E0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7-421D-9765-9E33B4E55E0D}"/>
                </c:ext>
              </c:extLst>
            </c:dLbl>
            <c:dLbl>
              <c:idx val="11"/>
              <c:layout>
                <c:manualLayout>
                  <c:x val="-5.2811044577511703E-3"/>
                  <c:y val="-0.2293531250000000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7-421D-9765-9E33B4E55E0D}"/>
                </c:ext>
              </c:extLst>
            </c:dLbl>
            <c:numFmt formatCode="0.0%" sourceLinked="0"/>
            <c:spPr>
              <a:noFill/>
              <a:ln w="25400">
                <a:noFill/>
              </a:ln>
            </c:spPr>
            <c:txPr>
              <a:bodyPr rot="0" vert="horz" anchor="t" anchorCtr="1"/>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showVal val="1"/>
            <c:extLst xmlns:c16r2="http://schemas.microsoft.com/office/drawing/2015/06/chart">
              <c:ext xmlns:c15="http://schemas.microsoft.com/office/drawing/2012/chart" uri="{CE6537A1-D6FC-4f65-9D91-7224C49458BB}">
                <c15:showLeaderLines val="0"/>
              </c:ext>
            </c:extLst>
          </c:dLbls>
          <c:cat>
            <c:strRef>
              <c:f>'05-移动端十大类APP网络使用黏性'!$B$79:$M$79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'05-移动端十大类APP网络使用黏性'!$B$80:$M$80</c:f>
              <c:numCache>
                <c:formatCode>0.00%</c:formatCode>
                <c:ptCount val="12"/>
                <c:pt idx="0">
                  <c:v>0.89171626215583155</c:v>
                </c:pt>
                <c:pt idx="1">
                  <c:v>0.90714658636976231</c:v>
                </c:pt>
                <c:pt idx="2">
                  <c:v>0.89857731542508334</c:v>
                </c:pt>
                <c:pt idx="3">
                  <c:v>0.90603445728301713</c:v>
                </c:pt>
                <c:pt idx="4">
                  <c:v>0.90685776929635742</c:v>
                </c:pt>
                <c:pt idx="5">
                  <c:v>0.92133887360582012</c:v>
                </c:pt>
                <c:pt idx="6">
                  <c:v>0.93623637866253151</c:v>
                </c:pt>
                <c:pt idx="7">
                  <c:v>0.92918277697362339</c:v>
                </c:pt>
                <c:pt idx="8">
                  <c:v>0.9173156429939755</c:v>
                </c:pt>
                <c:pt idx="9">
                  <c:v>0.92395759678274658</c:v>
                </c:pt>
                <c:pt idx="10">
                  <c:v>0.93043203690229359</c:v>
                </c:pt>
                <c:pt idx="11">
                  <c:v>0.92869996046059466</c:v>
                </c:pt>
              </c:numCache>
            </c:numRef>
          </c:val>
          <c:extLst xmlns:c16r2="http://schemas.microsoft.com/office/drawing/2015/06/chart">
            <c:ext xmlns:c16="http://schemas.microsoft.com/office/drawing/2014/chart" uri="{C3380CC4-5D6E-409C-BE32-E72D297353CC}">
              <c16:uniqueId val="{0000000C-02F7-421D-9765-9E33B4E55E0D}"/>
            </c:ext>
          </c:extLst>
        </c:ser>
        <c:dLbls>
          <c:showVal val="1"/>
        </c:dLbls>
        <c:axId val="257642496"/>
        <c:axId val="257644032"/>
      </c:areaChart>
      <c:catAx>
        <c:axId val="25764249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57644032"/>
        <c:crossesAt val="0"/>
        <c:lblAlgn val="ctr"/>
        <c:lblOffset val="100"/>
        <c:tickLblSkip val="1"/>
        <c:tickMarkSkip val="1"/>
      </c:catAx>
      <c:valAx>
        <c:axId val="257644032"/>
        <c:scaling>
          <c:orientation val="minMax"/>
          <c:max val="1"/>
          <c:min val="0.60000000000000053"/>
        </c:scaling>
        <c:axPos val="l"/>
        <c:majorGridlines>
          <c:spPr>
            <a:ln w="12700">
              <a:noFill/>
              <a:prstDash val="solid"/>
            </a:ln>
          </c:spPr>
        </c:majorGridlines>
        <c:numFmt formatCode="0%"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crossAx val="257642496"/>
        <c:crosses val="autoZero"/>
        <c:crossBetween val="midCat"/>
        <c:majorUnit val="0.1"/>
        <c:minorUnit val="0.1"/>
      </c:valAx>
      <c:spPr>
        <a:noFill/>
        <a:ln w="12700">
          <a:noFill/>
          <a:prstDash val="solid"/>
        </a:ln>
      </c:spPr>
    </c:plotArea>
    <c:legend>
      <c:legendPos val="r"/>
      <c:layout>
        <c:manualLayout>
          <c:xMode val="edge"/>
          <c:yMode val="edge"/>
          <c:x val="0.12809152528276777"/>
          <c:y val="0.73387256944444468"/>
          <c:w val="0.74190951430472463"/>
          <c:h val="6.8054040404040408E-2"/>
        </c:manualLayout>
      </c:layout>
      <c:spPr>
        <a:solidFill>
          <a:srgbClr val="FFFFFF"/>
        </a:solidFill>
        <a:ln w="25400">
          <a:noFill/>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华文细黑"/>
          <a:ea typeface="华文细黑"/>
          <a:cs typeface="华文细黑"/>
        </a:defRPr>
      </a:pPr>
      <a:endParaRPr lang="zh-CN"/>
    </a:p>
  </c:txPr>
  <c:externalData r:id="rId2"/>
  <c:userShapes r:id="rId3"/>
</c:chartSpace>
</file>

<file path=word/charts/chart78.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rich>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2017</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年陕西省网民使用视频服务</a:t>
            </a:r>
            <a:r>
              <a:rPr lang="en-US" altLang="zh-CN" sz="1200" b="1" i="0" u="none" strike="noStrike" baseline="0">
                <a:solidFill>
                  <a:srgbClr val="000000"/>
                </a:solidFill>
                <a:latin typeface="微软雅黑" panose="020B0503020204020204" pitchFamily="34" charset="-122"/>
                <a:ea typeface="微软雅黑" panose="020B0503020204020204" pitchFamily="34" charset="-122"/>
              </a:rPr>
              <a:t>APP</a:t>
            </a:r>
            <a:r>
              <a:rPr lang="zh-CN" altLang="en-US" sz="1200" b="1" i="0" u="none" strike="noStrike" baseline="0">
                <a:solidFill>
                  <a:srgbClr val="000000"/>
                </a:solidFill>
                <a:latin typeface="微软雅黑" panose="020B0503020204020204" pitchFamily="34" charset="-122"/>
                <a:ea typeface="微软雅黑" panose="020B0503020204020204" pitchFamily="34" charset="-122"/>
              </a:rPr>
              <a:t>单机使用天数</a:t>
            </a:r>
            <a:endParaRPr lang="zh-CN" altLang="en-US">
              <a:latin typeface="微软雅黑" panose="020B0503020204020204" pitchFamily="34" charset="-122"/>
              <a:ea typeface="微软雅黑" panose="020B0503020204020204" pitchFamily="34" charset="-122"/>
            </a:endParaRPr>
          </a:p>
        </c:rich>
      </c:tx>
      <c:spPr>
        <a:noFill/>
        <a:ln w="25400">
          <a:noFill/>
        </a:ln>
      </c:spPr>
    </c:title>
    <c:plotArea>
      <c:layout>
        <c:manualLayout>
          <c:layoutTarget val="inner"/>
          <c:xMode val="edge"/>
          <c:yMode val="edge"/>
          <c:x val="9.007526613439798E-2"/>
          <c:y val="0.17794930555555574"/>
          <c:w val="0.87122962408516358"/>
          <c:h val="0.45282534722222251"/>
        </c:manualLayout>
      </c:layout>
      <c:barChart>
        <c:barDir val="col"/>
        <c:grouping val="clustered"/>
        <c:ser>
          <c:idx val="0"/>
          <c:order val="0"/>
          <c:tx>
            <c:strRef>
              <c:f>'05-移动端十大类APP网络使用黏性'!$A$85</c:f>
              <c:strCache>
                <c:ptCount val="1"/>
                <c:pt idx="0">
                  <c:v>单机使用天数（天）</c:v>
                </c:pt>
              </c:strCache>
            </c:strRef>
          </c:tx>
          <c:spPr>
            <a:solidFill>
              <a:srgbClr val="B2D234"/>
            </a:solidFill>
            <a:ln w="25400">
              <a:solidFill>
                <a:srgbClr val="B2D234"/>
              </a:solidFill>
              <a:prstDash val="solid"/>
            </a:ln>
          </c:spPr>
          <c:dLbls>
            <c:numFmt formatCode="0.0_);[Red]\(0.0\)" sourceLinked="0"/>
            <c:spPr>
              <a:noFill/>
              <a:ln w="25400">
                <a:noFill/>
              </a:ln>
            </c:spPr>
            <c:txPr>
              <a:bodyPr rot="0" vert="horz" anchor="t" anchorCtr="1"/>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'05-移动端十大类APP网络使用黏性'!$B$84:$M$84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'05-移动端十大类APP网络使用黏性'!$B$85:$M$85</c:f>
              <c:numCache>
                <c:formatCode>General</c:formatCode>
                <c:ptCount val="12"/>
                <c:pt idx="0">
                  <c:v>13.13</c:v>
                </c:pt>
                <c:pt idx="1">
                  <c:v>11.94</c:v>
                </c:pt>
                <c:pt idx="2">
                  <c:v>13.15</c:v>
                </c:pt>
                <c:pt idx="3">
                  <c:v>12.79</c:v>
                </c:pt>
                <c:pt idx="4">
                  <c:v>13.370000000000006</c:v>
                </c:pt>
                <c:pt idx="5">
                  <c:v>13.03</c:v>
                </c:pt>
                <c:pt idx="6">
                  <c:v>13.92</c:v>
                </c:pt>
                <c:pt idx="7">
                  <c:v>14.69</c:v>
                </c:pt>
                <c:pt idx="8">
                  <c:v>13.66</c:v>
                </c:pt>
                <c:pt idx="9">
                  <c:v>14.4</c:v>
                </c:pt>
                <c:pt idx="10">
                  <c:v>14.360000000000007</c:v>
                </c:pt>
                <c:pt idx="11">
                  <c:v>15.54</c:v>
                </c:pt>
              </c:numCache>
            </c:numRef>
          </c:val>
          <c:extLst xmlns:c16r2="http://schemas.microsoft.com/office/drawing/2015/06/chart">
            <c:ext xmlns:c16="http://schemas.microsoft.com/office/drawing/2014/chart" uri="{C3380CC4-5D6E-409C-BE32-E72D297353CC}">
              <c16:uniqueId val="{00000000-95F9-4AFA-99AE-EBBB1CB09A3E}"/>
            </c:ext>
          </c:extLst>
        </c:ser>
        <c:dLbls>
          <c:showVal val="1"/>
        </c:dLbls>
        <c:gapWidth val="60"/>
        <c:overlap val="100"/>
        <c:axId val="257716992"/>
        <c:axId val="257718528"/>
      </c:barChart>
      <c:lineChart>
        <c:grouping val="standard"/>
        <c:ser>
          <c:idx val="1"/>
          <c:order val="1"/>
          <c:tx>
            <c:strRef>
              <c:f>'05-移动端十大类APP网络使用黏性'!$A$86</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txPr>
              <a:bodyPr wrap="square" lIns="38100" tIns="19050" rIns="38100" bIns="19050" anchor="ctr">
                <a:spAutoFit/>
              </a:bodyPr>
              <a:lstStyle/>
              <a:p>
                <a:pPr>
                  <a:defRPr>
                    <a:latin typeface="微软雅黑" panose="020B0503020204020204" pitchFamily="34" charset="-122"/>
                    <a:ea typeface="微软雅黑" panose="020B0503020204020204" pitchFamily="34" charset="-122"/>
                  </a:defRPr>
                </a:pPr>
                <a:endParaRPr lang="zh-CN"/>
              </a:p>
            </c:tx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'05-移动端十大类APP网络使用黏性'!$B$84:$M$84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'05-移动端十大类APP网络使用黏性'!$B$86:$M$86</c:f>
              <c:numCache>
                <c:formatCode>0.0%</c:formatCode>
                <c:ptCount val="12"/>
                <c:pt idx="1">
                  <c:v>-9.063214013709088E-2</c:v>
                </c:pt>
                <c:pt idx="2">
                  <c:v>0.10134003350083765</c:v>
                </c:pt>
                <c:pt idx="3">
                  <c:v>-2.7376425855513385E-2</c:v>
                </c:pt>
                <c:pt idx="4">
                  <c:v>4.5347928068803826E-2</c:v>
                </c:pt>
                <c:pt idx="5">
                  <c:v>-2.5430067314884085E-2</c:v>
                </c:pt>
                <c:pt idx="6">
                  <c:v>6.8303914044512831E-2</c:v>
                </c:pt>
                <c:pt idx="7">
                  <c:v>5.5316091954023094E-2</c:v>
                </c:pt>
                <c:pt idx="8">
                  <c:v>-7.0115724982981631E-2</c:v>
                </c:pt>
                <c:pt idx="9">
                  <c:v>5.417276720351398E-2</c:v>
                </c:pt>
                <c:pt idx="10">
                  <c:v>-2.7777777777778833E-3</c:v>
                </c:pt>
                <c:pt idx="11">
                  <c:v>8.217270194986076E-2</c:v>
                </c:pt>
              </c:numCache>
            </c:numRef>
          </c:val>
          <c:extLst xmlns:c16r2="http://schemas.microsoft.com/office/drawing/2015/06/chart">
            <c:ext xmlns:c16="http://schemas.microsoft.com/office/drawing/2014/chart" uri="{C3380CC4-5D6E-409C-BE32-E72D297353CC}">
              <c16:uniqueId val="{00000001-95F9-4AFA-99AE-EBBB1CB09A3E}"/>
            </c:ext>
          </c:extLst>
        </c:ser>
        <c:marker val="1"/>
        <c:axId val="257734144"/>
        <c:axId val="257732608"/>
      </c:lineChart>
      <c:catAx>
        <c:axId val="25771699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57718528"/>
        <c:crossesAt val="0"/>
        <c:lblAlgn val="ctr"/>
        <c:lblOffset val="100"/>
        <c:tickLblSkip val="1"/>
        <c:tickMarkSkip val="1"/>
      </c:catAx>
      <c:valAx>
        <c:axId val="257718528"/>
        <c:scaling>
          <c:orientation val="minMax"/>
          <c:max val="25"/>
          <c:min val="0"/>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sz="800" b="0" i="0" u="none" strike="noStrike" baseline="0">
                <a:solidFill>
                  <a:sysClr val="windowText" lastClr="000000"/>
                </a:solidFill>
                <a:latin typeface="微软雅黑" panose="020B0503020204020204" pitchFamily="34" charset="-122"/>
                <a:ea typeface="微软雅黑" panose="020B0503020204020204" pitchFamily="34" charset="-122"/>
                <a:cs typeface="华文细黑"/>
              </a:defRPr>
            </a:pPr>
            <a:endParaRPr lang="zh-CN"/>
          </a:p>
        </c:txPr>
        <c:crossAx val="257716992"/>
        <c:crosses val="autoZero"/>
        <c:crossBetween val="between"/>
        <c:majorUnit val="5"/>
      </c:valAx>
      <c:valAx>
        <c:axId val="257732608"/>
        <c:scaling>
          <c:orientation val="minMax"/>
          <c:max val="0.5"/>
          <c:min val="-3"/>
        </c:scaling>
        <c:axPos val="r"/>
        <c:numFmt formatCode="General" sourceLinked="1"/>
        <c:majorTickMark val="none"/>
        <c:tickLblPos val="none"/>
        <c:spPr>
          <a:noFill/>
          <a:ln>
            <a:noFill/>
          </a:ln>
        </c:spPr>
        <c:crossAx val="257734144"/>
        <c:crosses val="max"/>
        <c:crossBetween val="between"/>
        <c:minorUnit val="0.1"/>
      </c:valAx>
      <c:catAx>
        <c:axId val="257734144"/>
        <c:scaling>
          <c:orientation val="minMax"/>
        </c:scaling>
        <c:delete val="1"/>
        <c:axPos val="b"/>
        <c:numFmt formatCode="General" sourceLinked="1"/>
        <c:tickLblPos val="none"/>
        <c:crossAx val="257732608"/>
        <c:crosses val="autoZero"/>
        <c:lblAlgn val="ctr"/>
        <c:lblOffset val="100"/>
      </c:catAx>
      <c:spPr>
        <a:noFill/>
        <a:ln w="12700">
          <a:noFill/>
          <a:prstDash val="solid"/>
        </a:ln>
      </c:spPr>
    </c:plotArea>
    <c:legend>
      <c:legendPos val="r"/>
      <c:layout>
        <c:manualLayout>
          <c:xMode val="edge"/>
          <c:yMode val="edge"/>
          <c:x val="0.12809152528276777"/>
          <c:y val="0.72264791666666706"/>
          <c:w val="0.78415841584158463"/>
          <c:h val="7.927881944444444E-2"/>
        </c:manualLayout>
      </c:layout>
      <c:spPr>
        <a:solidFill>
          <a:srgbClr val="FFFFFF"/>
        </a:solidFill>
        <a:ln w="25400">
          <a:noFill/>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华文细黑"/>
          <a:ea typeface="华文细黑"/>
          <a:cs typeface="华文细黑"/>
        </a:defRPr>
      </a:pPr>
      <a:endParaRPr lang="zh-CN"/>
    </a:p>
  </c:txPr>
  <c:externalData r:id="rId2"/>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视频服务</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7.9513680971390666E-2"/>
          <c:y val="0.18738072228589481"/>
          <c:w val="0.87651072854291368"/>
          <c:h val="0.44280347222222238"/>
        </c:manualLayout>
      </c:layout>
      <c:barChart>
        <c:barDir val="col"/>
        <c:grouping val="clustered"/>
        <c:ser>
          <c:idx val="1"/>
          <c:order val="0"/>
          <c:tx>
            <c:strRef>
              <c:f>'05-移动端十大类APP网络使用黏性'!$A$90</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'05-移动端十大类APP网络使用黏性'!$B$89:$M$89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'05-移动端十大类APP网络使用黏性'!$B$90:$M$90</c:f>
              <c:numCache>
                <c:formatCode>General</c:formatCode>
                <c:ptCount val="12"/>
                <c:pt idx="0">
                  <c:v>3.9899999999999998</c:v>
                </c:pt>
                <c:pt idx="1">
                  <c:v>4.17</c:v>
                </c:pt>
                <c:pt idx="2">
                  <c:v>4.25</c:v>
                </c:pt>
                <c:pt idx="3">
                  <c:v>4.4000000000000004</c:v>
                </c:pt>
                <c:pt idx="4">
                  <c:v>4.41</c:v>
                </c:pt>
                <c:pt idx="5">
                  <c:v>4.6199999999999966</c:v>
                </c:pt>
                <c:pt idx="6">
                  <c:v>4.7300000000000004</c:v>
                </c:pt>
                <c:pt idx="7">
                  <c:v>5.1099999999999985</c:v>
                </c:pt>
                <c:pt idx="8">
                  <c:v>4.79</c:v>
                </c:pt>
                <c:pt idx="9">
                  <c:v>5.48</c:v>
                </c:pt>
                <c:pt idx="10">
                  <c:v>5.23</c:v>
                </c:pt>
                <c:pt idx="11">
                  <c:v>5.3</c:v>
                </c:pt>
              </c:numCache>
            </c:numRef>
          </c:val>
          <c:extLst xmlns:c16r2="http://schemas.microsoft.com/office/drawing/2015/06/chart">
            <c:ext xmlns:c16="http://schemas.microsoft.com/office/drawing/2014/chart" uri="{C3380CC4-5D6E-409C-BE32-E72D297353CC}">
              <c16:uniqueId val="{00000000-2737-4742-ACAD-19733374F606}"/>
            </c:ext>
          </c:extLst>
        </c:ser>
        <c:dLbls>
          <c:showVal val="1"/>
        </c:dLbls>
        <c:gapWidth val="60"/>
        <c:axId val="257767680"/>
        <c:axId val="257785856"/>
      </c:barChart>
      <c:lineChart>
        <c:grouping val="standard"/>
        <c:ser>
          <c:idx val="0"/>
          <c:order val="1"/>
          <c:tx>
            <c:strRef>
              <c:f>'05-移动端十大类APP网络使用黏性'!$A$91</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737-4742-ACAD-19733374F606}"/>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737-4742-ACAD-19733374F606}"/>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737-4742-ACAD-19733374F606}"/>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737-4742-ACAD-19733374F606}"/>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'05-移动端十大类APP网络使用黏性'!$B$89:$M$89</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'05-移动端十大类APP网络使用黏性'!$B$91:$M$91</c:f>
              <c:numCache>
                <c:formatCode>0.0%</c:formatCode>
                <c:ptCount val="12"/>
                <c:pt idx="1">
                  <c:v>4.5112781954887188E-2</c:v>
                </c:pt>
                <c:pt idx="2">
                  <c:v>1.9184652278177575E-2</c:v>
                </c:pt>
                <c:pt idx="3">
                  <c:v>3.5294117647058948E-2</c:v>
                </c:pt>
                <c:pt idx="4">
                  <c:v>2.272727272727208E-3</c:v>
                </c:pt>
                <c:pt idx="5">
                  <c:v>4.7619047619047693E-2</c:v>
                </c:pt>
                <c:pt idx="6">
                  <c:v>2.3809523809523971E-2</c:v>
                </c:pt>
                <c:pt idx="7">
                  <c:v>8.0338266384778048E-2</c:v>
                </c:pt>
                <c:pt idx="8">
                  <c:v>-6.2622309197651674E-2</c:v>
                </c:pt>
                <c:pt idx="9">
                  <c:v>0.14405010438413379</c:v>
                </c:pt>
                <c:pt idx="10">
                  <c:v>-4.5620437956204456E-2</c:v>
                </c:pt>
                <c:pt idx="11">
                  <c:v>1.3384321223709266E-2</c:v>
                </c:pt>
              </c:numCache>
            </c:numRef>
          </c:val>
          <c:extLst xmlns:c16r2="http://schemas.microsoft.com/office/drawing/2015/06/chart">
            <c:ext xmlns:c16="http://schemas.microsoft.com/office/drawing/2014/chart" uri="{C3380CC4-5D6E-409C-BE32-E72D297353CC}">
              <c16:uniqueId val="{00000005-2737-4742-ACAD-19733374F606}"/>
            </c:ext>
          </c:extLst>
        </c:ser>
        <c:dLbls>
          <c:showVal val="1"/>
        </c:dLbls>
        <c:marker val="1"/>
        <c:axId val="257787392"/>
        <c:axId val="257788928"/>
      </c:lineChart>
      <c:catAx>
        <c:axId val="25776768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7785856"/>
        <c:crosses val="autoZero"/>
        <c:lblAlgn val="ctr"/>
        <c:lblOffset val="100"/>
        <c:tickLblSkip val="1"/>
        <c:tickMarkSkip val="1"/>
      </c:catAx>
      <c:valAx>
        <c:axId val="257785856"/>
        <c:scaling>
          <c:orientation val="minMax"/>
          <c:max val="1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7767680"/>
        <c:crosses val="autoZero"/>
        <c:crossBetween val="between"/>
        <c:majorUnit val="2"/>
        <c:minorUnit val="1"/>
      </c:valAx>
      <c:catAx>
        <c:axId val="257787392"/>
        <c:scaling>
          <c:orientation val="minMax"/>
        </c:scaling>
        <c:delete val="1"/>
        <c:axPos val="b"/>
        <c:numFmt formatCode="General" sourceLinked="1"/>
        <c:tickLblPos val="none"/>
        <c:crossAx val="257788928"/>
        <c:crosses val="autoZero"/>
        <c:lblAlgn val="ctr"/>
        <c:lblOffset val="100"/>
      </c:catAx>
      <c:valAx>
        <c:axId val="257788928"/>
        <c:scaling>
          <c:orientation val="minMax"/>
          <c:max val="0.30000000000000027"/>
          <c:min val="-1.7"/>
        </c:scaling>
        <c:axPos val="r"/>
        <c:numFmt formatCode="General" sourceLinked="1"/>
        <c:majorTickMark val="none"/>
        <c:tickLblPos val="none"/>
        <c:spPr>
          <a:ln w="3175">
            <a:noFill/>
            <a:prstDash val="solid"/>
          </a:ln>
        </c:spPr>
        <c:crossAx val="257787392"/>
        <c:crosses val="max"/>
        <c:crossBetween val="between"/>
        <c:majorUnit val="0.29000000000000031"/>
        <c:minorUnit val="0.29000000000000031"/>
      </c:valAx>
      <c:spPr>
        <a:noFill/>
        <a:ln w="12700">
          <a:noFill/>
          <a:prstDash val="solid"/>
        </a:ln>
      </c:spPr>
    </c:plotArea>
    <c:legend>
      <c:legendPos val="r"/>
      <c:layout>
        <c:manualLayout>
          <c:xMode val="edge"/>
          <c:yMode val="edge"/>
          <c:x val="0.12281042082501663"/>
          <c:y val="0.7214451388888895"/>
          <c:w val="0.78985335166437565"/>
          <c:h val="7.4186805555555541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lgn="ctr" rtl="0">
              <a:defRPr sz="1200" b="1"/>
            </a:pPr>
            <a:r>
              <a:rPr lang="en-US" sz="1200" b="1"/>
              <a:t>2015</a:t>
            </a:r>
            <a:r>
              <a:rPr lang="en-US" altLang="zh-CN" sz="1200" b="1"/>
              <a:t>-</a:t>
            </a:r>
            <a:r>
              <a:rPr lang="en-US" sz="1200" b="1"/>
              <a:t>2017</a:t>
            </a:r>
            <a:r>
              <a:rPr lang="zh-CN" sz="1200" b="1"/>
              <a:t>年陕西省网民</a:t>
            </a:r>
            <a:r>
              <a:rPr lang="zh-CN" altLang="en-US" sz="1200" b="1"/>
              <a:t>个人月收入情况</a:t>
            </a:r>
            <a:endParaRPr lang="zh-CN" sz="1200" b="1"/>
          </a:p>
        </c:rich>
      </c:tx>
    </c:title>
    <c:plotArea>
      <c:layout>
        <c:manualLayout>
          <c:layoutTarget val="inner"/>
          <c:xMode val="edge"/>
          <c:yMode val="edge"/>
          <c:x val="0.18743505028599727"/>
          <c:y val="0.14461086538421072"/>
          <c:w val="0.74654963416079556"/>
          <c:h val="0.4882946516931283"/>
        </c:manualLayout>
      </c:layout>
      <c:barChart>
        <c:barDir val="bar"/>
        <c:grouping val="clustered"/>
        <c:ser>
          <c:idx val="1"/>
          <c:order val="0"/>
          <c:tx>
            <c:strRef>
              <c:f>'对比分析-2017'!$B$109</c:f>
              <c:strCache>
                <c:ptCount val="1"/>
                <c:pt idx="0">
                  <c:v>2015年</c:v>
                </c:pt>
              </c:strCache>
            </c:strRef>
          </c:tx>
          <c:spPr>
            <a:solidFill>
              <a:srgbClr val="B2D234"/>
            </a:solidFill>
            <a:ln w="12700">
              <a:noFill/>
            </a:ln>
          </c:spPr>
          <c:cat>
            <c:strRef>
              <c:f>'对比分析-2017'!$A$110:$A$114</c:f>
              <c:strCache>
                <c:ptCount val="5"/>
                <c:pt idx="0">
                  <c:v>无收入</c:v>
                </c:pt>
                <c:pt idx="1">
                  <c:v>1000元以下</c:v>
                </c:pt>
                <c:pt idx="2">
                  <c:v>1000-3000元</c:v>
                </c:pt>
                <c:pt idx="3">
                  <c:v>3000-5000元</c:v>
                </c:pt>
                <c:pt idx="4">
                  <c:v>5000元以上</c:v>
                </c:pt>
              </c:strCache>
            </c:strRef>
          </c:cat>
          <c:val>
            <c:numRef>
              <c:f>'对比分析-2017'!$B$110:$B$114</c:f>
              <c:numCache>
                <c:formatCode>0.00%</c:formatCode>
                <c:ptCount val="5"/>
                <c:pt idx="0">
                  <c:v>0.15100000000000011</c:v>
                </c:pt>
                <c:pt idx="1">
                  <c:v>0.15300000000000011</c:v>
                </c:pt>
                <c:pt idx="2">
                  <c:v>0.47000000000000008</c:v>
                </c:pt>
                <c:pt idx="3">
                  <c:v>0.13400000000000001</c:v>
                </c:pt>
                <c:pt idx="4">
                  <c:v>9.1000000000000025E-2</c:v>
                </c:pt>
              </c:numCache>
            </c:numRef>
          </c:val>
          <c:extLst xmlns:c16r2="http://schemas.microsoft.com/office/drawing/2015/06/chart">
            <c:ext xmlns:c16="http://schemas.microsoft.com/office/drawing/2014/chart" uri="{C3380CC4-5D6E-409C-BE32-E72D297353CC}">
              <c16:uniqueId val="{00000000-4505-42C4-B067-5D59BB516BB0}"/>
            </c:ext>
          </c:extLst>
        </c:ser>
        <c:ser>
          <c:idx val="0"/>
          <c:order val="1"/>
          <c:tx>
            <c:strRef>
              <c:f>'对比分析-2017'!$C$109</c:f>
              <c:strCache>
                <c:ptCount val="1"/>
                <c:pt idx="0">
                  <c:v>2016年</c:v>
                </c:pt>
              </c:strCache>
            </c:strRef>
          </c:tx>
          <c:spPr>
            <a:solidFill>
              <a:srgbClr val="1EC8F3"/>
            </a:solidFill>
            <a:ln>
              <a:solidFill>
                <a:srgbClr val="1EC8F3"/>
              </a:solidFill>
            </a:ln>
          </c:spPr>
          <c:cat>
            <c:strRef>
              <c:f>'对比分析-2017'!$A$110:$A$114</c:f>
              <c:strCache>
                <c:ptCount val="5"/>
                <c:pt idx="0">
                  <c:v>无收入</c:v>
                </c:pt>
                <c:pt idx="1">
                  <c:v>1000元以下</c:v>
                </c:pt>
                <c:pt idx="2">
                  <c:v>1000-3000元</c:v>
                </c:pt>
                <c:pt idx="3">
                  <c:v>3000-5000元</c:v>
                </c:pt>
                <c:pt idx="4">
                  <c:v>5000元以上</c:v>
                </c:pt>
              </c:strCache>
            </c:strRef>
          </c:cat>
          <c:val>
            <c:numRef>
              <c:f>'对比分析-2017'!$C$110:$C$114</c:f>
              <c:numCache>
                <c:formatCode>0.00%</c:formatCode>
                <c:ptCount val="5"/>
                <c:pt idx="0">
                  <c:v>0.1460000000000001</c:v>
                </c:pt>
                <c:pt idx="1">
                  <c:v>0.15100000000000011</c:v>
                </c:pt>
                <c:pt idx="2">
                  <c:v>0.46600000000000008</c:v>
                </c:pt>
                <c:pt idx="3">
                  <c:v>0.13700000000000001</c:v>
                </c:pt>
                <c:pt idx="4">
                  <c:v>0.1</c:v>
                </c:pt>
              </c:numCache>
            </c:numRef>
          </c:val>
        </c:ser>
        <c:ser>
          <c:idx val="2"/>
          <c:order val="2"/>
          <c:tx>
            <c:strRef>
              <c:f>'对比分析-2017'!$D$109</c:f>
              <c:strCache>
                <c:ptCount val="1"/>
                <c:pt idx="0">
                  <c:v>2017年</c:v>
                </c:pt>
              </c:strCache>
            </c:strRef>
          </c:tx>
          <c:spPr>
            <a:solidFill>
              <a:srgbClr val="FFFF00"/>
            </a:solidFill>
            <a:ln>
              <a:solidFill>
                <a:srgbClr val="FFFF00"/>
              </a:solidFill>
            </a:ln>
          </c:spPr>
          <c:dLbls>
            <c:numFmt formatCode="0.0%" sourceLinked="0"/>
            <c:showVal val="1"/>
          </c:dLbls>
          <c:cat>
            <c:strRef>
              <c:f>'对比分析-2017'!$A$110:$A$114</c:f>
              <c:strCache>
                <c:ptCount val="5"/>
                <c:pt idx="0">
                  <c:v>无收入</c:v>
                </c:pt>
                <c:pt idx="1">
                  <c:v>1000元以下</c:v>
                </c:pt>
                <c:pt idx="2">
                  <c:v>1000-3000元</c:v>
                </c:pt>
                <c:pt idx="3">
                  <c:v>3000-5000元</c:v>
                </c:pt>
                <c:pt idx="4">
                  <c:v>5000元以上</c:v>
                </c:pt>
              </c:strCache>
            </c:strRef>
          </c:cat>
          <c:val>
            <c:numRef>
              <c:f>'对比分析-2017'!$D$110:$D$114</c:f>
              <c:numCache>
                <c:formatCode>0.00%</c:formatCode>
                <c:ptCount val="5"/>
                <c:pt idx="0">
                  <c:v>0.14100000000000001</c:v>
                </c:pt>
                <c:pt idx="1">
                  <c:v>0.15100000000000011</c:v>
                </c:pt>
                <c:pt idx="2">
                  <c:v>0.46800000000000008</c:v>
                </c:pt>
                <c:pt idx="3">
                  <c:v>0.13900000000000001</c:v>
                </c:pt>
                <c:pt idx="4">
                  <c:v>0.1</c:v>
                </c:pt>
              </c:numCache>
            </c:numRef>
          </c:val>
        </c:ser>
        <c:gapWidth val="60"/>
        <c:axId val="208936320"/>
        <c:axId val="252353920"/>
      </c:barChart>
      <c:catAx>
        <c:axId val="208936320"/>
        <c:scaling>
          <c:orientation val="minMax"/>
        </c:scaling>
        <c:axPos val="l"/>
        <c:numFmt formatCode="General" sourceLinked="0"/>
        <c:majorTickMark val="none"/>
        <c:tickLblPos val="nextTo"/>
        <c:spPr>
          <a:ln w="12700">
            <a:solidFill>
              <a:schemeClr val="tx1">
                <a:lumMod val="50000"/>
                <a:lumOff val="50000"/>
              </a:schemeClr>
            </a:solidFill>
          </a:ln>
        </c:spPr>
        <c:crossAx val="252353920"/>
        <c:crosses val="autoZero"/>
        <c:auto val="1"/>
        <c:lblAlgn val="ctr"/>
        <c:lblOffset val="100"/>
      </c:catAx>
      <c:valAx>
        <c:axId val="252353920"/>
        <c:scaling>
          <c:orientation val="minMax"/>
        </c:scaling>
        <c:axPos val="b"/>
        <c:majorGridlines>
          <c:spPr>
            <a:ln>
              <a:noFill/>
            </a:ln>
          </c:spPr>
        </c:majorGridlines>
        <c:numFmt formatCode="0%" sourceLinked="0"/>
        <c:majorTickMark val="none"/>
        <c:tickLblPos val="none"/>
        <c:spPr>
          <a:ln w="9525">
            <a:noFill/>
          </a:ln>
        </c:spPr>
        <c:crossAx val="208936320"/>
        <c:crosses val="autoZero"/>
        <c:crossBetween val="between"/>
      </c:valAx>
      <c:spPr>
        <a:ln>
          <a:noFill/>
        </a:ln>
      </c:spPr>
    </c:plotArea>
    <c:legend>
      <c:legendPos val="b"/>
      <c:layout>
        <c:manualLayout>
          <c:xMode val="edge"/>
          <c:yMode val="edge"/>
          <c:x val="0.192324731685767"/>
          <c:y val="0.66660427645000953"/>
          <c:w val="0.67480959519616479"/>
          <c:h val="5.8629643501937966E-2"/>
        </c:manualLayout>
      </c:layout>
    </c:legend>
    <c:plotVisOnly val="1"/>
    <c:dispBlanksAs val="gap"/>
  </c:chart>
  <c:spPr>
    <a:ln w="12700">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视频服务</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8.4794161676646843E-2"/>
          <c:y val="0.18235902777777779"/>
          <c:w val="0.87651072854291368"/>
          <c:h val="0.44280347222222238"/>
        </c:manualLayout>
      </c:layout>
      <c:barChart>
        <c:barDir val="col"/>
        <c:grouping val="clustered"/>
        <c:ser>
          <c:idx val="0"/>
          <c:order val="0"/>
          <c:tx>
            <c:strRef>
              <c:f>'05-移动端十大类APP网络使用黏性'!$A$95</c:f>
              <c:strCache>
                <c:ptCount val="1"/>
                <c:pt idx="0">
                  <c:v>单机单次有效时间（分钟）</c:v>
                </c:pt>
              </c:strCache>
            </c:strRef>
          </c:tx>
          <c:spPr>
            <a:solidFill>
              <a:srgbClr val="B2D234"/>
            </a:solidFill>
            <a:ln w="25400">
              <a:solidFill>
                <a:srgbClr val="B2D234"/>
              </a:solidFill>
              <a:prstDash val="solid"/>
            </a:ln>
          </c:spPr>
          <c:dLbls>
            <c:numFmt formatCode="0.0_);[Red]\(0.0\)" sourceLinked="0"/>
            <c:spPr>
              <a:noFill/>
              <a:ln w="25400">
                <a:noFill/>
              </a:ln>
            </c:spPr>
            <c:txPr>
              <a:bodyPr rot="0" vert="horz"/>
              <a:lstStyle/>
              <a:p>
                <a:pPr>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'05-移动端十大类APP网络使用黏性'!$B$94:$M$94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'05-移动端十大类APP网络使用黏性'!$B$95:$M$95</c:f>
              <c:numCache>
                <c:formatCode>General</c:formatCode>
                <c:ptCount val="12"/>
                <c:pt idx="0">
                  <c:v>20.43</c:v>
                </c:pt>
                <c:pt idx="1">
                  <c:v>20.55</c:v>
                </c:pt>
                <c:pt idx="2">
                  <c:v>20.309999999999999</c:v>
                </c:pt>
                <c:pt idx="3">
                  <c:v>20.37</c:v>
                </c:pt>
                <c:pt idx="4">
                  <c:v>20.32</c:v>
                </c:pt>
                <c:pt idx="5">
                  <c:v>18.77</c:v>
                </c:pt>
                <c:pt idx="6">
                  <c:v>18.239999999999988</c:v>
                </c:pt>
                <c:pt idx="7">
                  <c:v>18.439999999999987</c:v>
                </c:pt>
                <c:pt idx="8">
                  <c:v>17.86</c:v>
                </c:pt>
                <c:pt idx="9">
                  <c:v>16.059999999999999</c:v>
                </c:pt>
                <c:pt idx="10">
                  <c:v>16.25</c:v>
                </c:pt>
                <c:pt idx="11">
                  <c:v>16.27</c:v>
                </c:pt>
              </c:numCache>
            </c:numRef>
          </c:val>
          <c:extLst xmlns:c16r2="http://schemas.microsoft.com/office/drawing/2015/06/chart">
            <c:ext xmlns:c16="http://schemas.microsoft.com/office/drawing/2014/chart" uri="{C3380CC4-5D6E-409C-BE32-E72D297353CC}">
              <c16:uniqueId val="{00000000-E980-4206-950D-458BBF0661AE}"/>
            </c:ext>
          </c:extLst>
        </c:ser>
        <c:dLbls>
          <c:showVal val="1"/>
        </c:dLbls>
        <c:gapWidth val="60"/>
        <c:overlap val="100"/>
        <c:axId val="257829120"/>
        <c:axId val="257867776"/>
      </c:barChart>
      <c:lineChart>
        <c:grouping val="standard"/>
        <c:ser>
          <c:idx val="1"/>
          <c:order val="1"/>
          <c:tx>
            <c:strRef>
              <c:f>'05-移动端十大类APP网络使用黏性'!$A$96</c:f>
              <c:strCache>
                <c:ptCount val="1"/>
                <c:pt idx="0">
                  <c:v>环比增长率</c:v>
                </c:pt>
              </c:strCache>
            </c:strRef>
          </c:tx>
          <c:spPr>
            <a:ln>
              <a:solidFill>
                <a:srgbClr val="B2D234"/>
              </a:solidFill>
            </a:ln>
          </c:spPr>
          <c:marker>
            <c:symbol val="circle"/>
            <c:size val="5"/>
            <c:spPr>
              <a:solidFill>
                <a:srgbClr val="B2D234"/>
              </a:solidFill>
              <a:ln>
                <a:solidFill>
                  <a:srgbClr val="B2D234"/>
                </a:solidFill>
              </a:ln>
            </c:spPr>
          </c:marker>
          <c:dLbls>
            <c:numFmt formatCode="0.0%" sourceLinked="0"/>
            <c:spPr>
              <a:noFill/>
              <a:ln>
                <a:noFill/>
              </a:ln>
              <a:effectLst/>
            </c:spPr>
            <c:dLblPos val="t"/>
            <c:showVal val="1"/>
            <c:extLst xmlns:c16r2="http://schemas.microsoft.com/office/drawing/2015/06/chart">
              <c:ext xmlns:c15="http://schemas.microsoft.com/office/drawing/2012/chart" uri="{CE6537A1-D6FC-4f65-9D91-7224C49458BB}">
                <c15:showLeaderLines val="1"/>
              </c:ext>
            </c:extLst>
          </c:dLbls>
          <c:cat>
            <c:strRef>
              <c:f>'05-移动端十大类APP网络使用黏性'!$B$94:$M$94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'05-移动端十大类APP网络使用黏性'!$B$96:$M$96</c:f>
              <c:numCache>
                <c:formatCode>0.0%</c:formatCode>
                <c:ptCount val="12"/>
                <c:pt idx="1">
                  <c:v>5.8737151248164921E-3</c:v>
                </c:pt>
                <c:pt idx="2">
                  <c:v>-1.1678832116788445E-2</c:v>
                </c:pt>
                <c:pt idx="3">
                  <c:v>2.9542097488923823E-3</c:v>
                </c:pt>
                <c:pt idx="4">
                  <c:v>-2.4545900834560559E-3</c:v>
                </c:pt>
                <c:pt idx="5">
                  <c:v>-7.6279527559055205E-2</c:v>
                </c:pt>
                <c:pt idx="6">
                  <c:v>-2.8236547682472114E-2</c:v>
                </c:pt>
                <c:pt idx="7">
                  <c:v>1.0964912280701839E-2</c:v>
                </c:pt>
                <c:pt idx="8">
                  <c:v>-3.1453362255965428E-2</c:v>
                </c:pt>
                <c:pt idx="9">
                  <c:v>-0.10078387458006721</c:v>
                </c:pt>
                <c:pt idx="10">
                  <c:v>1.1830635118306409E-2</c:v>
                </c:pt>
                <c:pt idx="11">
                  <c:v>1.2307692307691458E-3</c:v>
                </c:pt>
              </c:numCache>
            </c:numRef>
          </c:val>
          <c:extLst xmlns:c16r2="http://schemas.microsoft.com/office/drawing/2015/06/chart">
            <c:ext xmlns:c16="http://schemas.microsoft.com/office/drawing/2014/chart" uri="{C3380CC4-5D6E-409C-BE32-E72D297353CC}">
              <c16:uniqueId val="{00000001-E980-4206-950D-458BBF0661AE}"/>
            </c:ext>
          </c:extLst>
        </c:ser>
        <c:marker val="1"/>
        <c:axId val="257870848"/>
        <c:axId val="257869312"/>
      </c:lineChart>
      <c:catAx>
        <c:axId val="25782912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7867776"/>
        <c:crossesAt val="0"/>
        <c:lblAlgn val="ctr"/>
        <c:lblOffset val="100"/>
        <c:tickLblSkip val="1"/>
        <c:tickMarkSkip val="1"/>
      </c:catAx>
      <c:valAx>
        <c:axId val="257867776"/>
        <c:scaling>
          <c:orientation val="minMax"/>
          <c:max val="40"/>
          <c:min val="0"/>
        </c:scaling>
        <c:axPos val="l"/>
        <c:majorGridlines>
          <c:spPr>
            <a:ln w="12700">
              <a:noFill/>
              <a:prstDash val="solid"/>
            </a:ln>
          </c:spPr>
        </c:majorGridlines>
        <c:numFmt formatCode="General" sourceLinked="0"/>
        <c:majorTickMark val="none"/>
        <c:tickLblPos val="nextTo"/>
        <c:spPr>
          <a:solidFill>
            <a:sysClr val="window" lastClr="FFFFFF"/>
          </a:solidFill>
          <a:ln w="3175">
            <a:solidFill>
              <a:sysClr val="windowText" lastClr="000000">
                <a:lumMod val="50000"/>
                <a:lumOff val="50000"/>
              </a:sysClr>
            </a:solidFill>
            <a:prstDash val="solid"/>
          </a:ln>
        </c:spPr>
        <c:txPr>
          <a:bodyPr rot="0" vert="horz"/>
          <a:lstStyle/>
          <a:p>
            <a:pPr>
              <a:defRPr>
                <a:solidFill>
                  <a:sysClr val="windowText" lastClr="000000"/>
                </a:solidFill>
              </a:defRPr>
            </a:pPr>
            <a:endParaRPr lang="zh-CN"/>
          </a:p>
        </c:txPr>
        <c:crossAx val="257829120"/>
        <c:crosses val="autoZero"/>
        <c:crossBetween val="between"/>
        <c:majorUnit val="10"/>
        <c:minorUnit val="1"/>
      </c:valAx>
      <c:valAx>
        <c:axId val="257869312"/>
        <c:scaling>
          <c:orientation val="minMax"/>
          <c:max val="0.60000000000000053"/>
          <c:min val="-3"/>
        </c:scaling>
        <c:axPos val="r"/>
        <c:numFmt formatCode="General" sourceLinked="1"/>
        <c:majorTickMark val="none"/>
        <c:tickLblPos val="none"/>
        <c:spPr>
          <a:noFill/>
          <a:ln>
            <a:noFill/>
          </a:ln>
        </c:spPr>
        <c:crossAx val="257870848"/>
        <c:crosses val="max"/>
        <c:crossBetween val="between"/>
        <c:minorUnit val="0.1"/>
      </c:valAx>
      <c:catAx>
        <c:axId val="257870848"/>
        <c:scaling>
          <c:orientation val="minMax"/>
        </c:scaling>
        <c:delete val="1"/>
        <c:axPos val="b"/>
        <c:numFmt formatCode="General" sourceLinked="1"/>
        <c:tickLblPos val="none"/>
        <c:crossAx val="257869312"/>
        <c:crosses val="autoZero"/>
        <c:lblAlgn val="ctr"/>
        <c:lblOffset val="100"/>
      </c:catAx>
      <c:spPr>
        <a:noFill/>
        <a:ln w="12700">
          <a:noFill/>
          <a:prstDash val="solid"/>
        </a:ln>
      </c:spPr>
    </c:plotArea>
    <c:legend>
      <c:legendPos val="r"/>
      <c:layout>
        <c:manualLayout>
          <c:xMode val="edge"/>
          <c:yMode val="edge"/>
          <c:x val="0.1307320775116434"/>
          <c:y val="0.71703541666666715"/>
          <c:w val="0.78415841584158463"/>
          <c:h val="6.725243055555561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2"/>
  <c:userShapes r:id="rId3"/>
</c:chartSpace>
</file>

<file path=word/charts/chart81.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网民常用视频服务类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17868887225548902"/>
          <c:y val="2.3678086419753105E-2"/>
        </c:manualLayout>
      </c:layout>
    </c:title>
    <c:plotArea>
      <c:layout>
        <c:manualLayout>
          <c:layoutTarget val="inner"/>
          <c:xMode val="edge"/>
          <c:yMode val="edge"/>
          <c:x val="0.16622593148287082"/>
          <c:y val="0.12228672839506174"/>
          <c:w val="0.76868696340751863"/>
          <c:h val="0.54109012345679053"/>
        </c:manualLayout>
      </c:layout>
      <c:barChart>
        <c:barDir val="bar"/>
        <c:grouping val="clustered"/>
        <c:ser>
          <c:idx val="1"/>
          <c:order val="0"/>
          <c:tx>
            <c:strRef>
              <c:f>'06-移动端十大类APP-Top10'!$D$52</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layout/>
                <c15:showLeaderLines val="0"/>
              </c:ext>
            </c:extLst>
          </c:dLbls>
          <c:cat>
            <c:strRef>
              <c:f>'06-移动端十大类APP-Top10'!$C$53:$C$62</c:f>
              <c:strCache>
                <c:ptCount val="10"/>
                <c:pt idx="0">
                  <c:v>陌陌</c:v>
                </c:pt>
                <c:pt idx="1">
                  <c:v>抖音短视频</c:v>
                </c:pt>
                <c:pt idx="2">
                  <c:v>芒果TV</c:v>
                </c:pt>
                <c:pt idx="3">
                  <c:v>火山小视频</c:v>
                </c:pt>
                <c:pt idx="4">
                  <c:v>小米视频</c:v>
                </c:pt>
                <c:pt idx="5">
                  <c:v>西瓜视频</c:v>
                </c:pt>
                <c:pt idx="6">
                  <c:v>快手</c:v>
                </c:pt>
                <c:pt idx="7">
                  <c:v>优酷</c:v>
                </c:pt>
                <c:pt idx="8">
                  <c:v>腾讯视频</c:v>
                </c:pt>
                <c:pt idx="9">
                  <c:v>爱奇艺</c:v>
                </c:pt>
              </c:strCache>
            </c:strRef>
          </c:cat>
          <c:val>
            <c:numRef>
              <c:f>'06-移动端十大类APP-Top10'!$D$53:$D$62</c:f>
              <c:numCache>
                <c:formatCode>0.00%</c:formatCode>
                <c:ptCount val="10"/>
                <c:pt idx="0">
                  <c:v>6.3800000000000009E-2</c:v>
                </c:pt>
                <c:pt idx="1">
                  <c:v>6.6299999999999998E-2</c:v>
                </c:pt>
                <c:pt idx="2">
                  <c:v>7.3800000000000004E-2</c:v>
                </c:pt>
                <c:pt idx="3">
                  <c:v>0.10400000000000002</c:v>
                </c:pt>
                <c:pt idx="4">
                  <c:v>0.1145</c:v>
                </c:pt>
                <c:pt idx="5">
                  <c:v>0.12379999999999999</c:v>
                </c:pt>
                <c:pt idx="6">
                  <c:v>0.2046</c:v>
                </c:pt>
                <c:pt idx="7">
                  <c:v>0.29790000000000022</c:v>
                </c:pt>
                <c:pt idx="8">
                  <c:v>0.52449999999999997</c:v>
                </c:pt>
                <c:pt idx="9">
                  <c:v>0.53410000000000002</c:v>
                </c:pt>
              </c:numCache>
            </c:numRef>
          </c:val>
          <c:extLst xmlns:c16r2="http://schemas.microsoft.com/office/drawing/2015/06/chart">
            <c:ext xmlns:c16="http://schemas.microsoft.com/office/drawing/2014/chart" uri="{C3380CC4-5D6E-409C-BE32-E72D297353CC}">
              <c16:uniqueId val="{00000000-43A8-4154-A8B1-5ECB4D47CC7B}"/>
            </c:ext>
          </c:extLst>
        </c:ser>
        <c:dLbls>
          <c:showVal val="1"/>
        </c:dLbls>
        <c:gapWidth val="60"/>
        <c:axId val="257526016"/>
        <c:axId val="257881600"/>
      </c:barChart>
      <c:catAx>
        <c:axId val="257526016"/>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57881600"/>
        <c:crosses val="autoZero"/>
        <c:auto val="1"/>
        <c:lblAlgn val="ctr"/>
        <c:lblOffset val="100"/>
      </c:catAx>
      <c:valAx>
        <c:axId val="257881600"/>
        <c:scaling>
          <c:orientation val="minMax"/>
          <c:max val="0.60000000000000053"/>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57526016"/>
        <c:crosses val="autoZero"/>
        <c:crossBetween val="between"/>
        <c:majorUnit val="0.1"/>
        <c:minorUnit val="0.1"/>
      </c:valAx>
      <c:spPr>
        <a:ln>
          <a:noFill/>
        </a:ln>
      </c:spPr>
    </c:plotArea>
    <c:legend>
      <c:legendPos val="b"/>
      <c:layout>
        <c:manualLayout>
          <c:xMode val="edge"/>
          <c:yMode val="edge"/>
          <c:x val="0.37710807551563563"/>
          <c:y val="0.75142191358024735"/>
          <c:w val="0.28424626990080892"/>
          <c:h val="5.7282539421475744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8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年陕西省网民使用便捷生活</a:t>
            </a:r>
            <a:r>
              <a:rPr lang="en-US" sz="1200" b="1"/>
              <a:t>APP</a:t>
            </a:r>
            <a:r>
              <a:rPr lang="zh-CN" altLang="en-US" sz="1200" b="1"/>
              <a:t>月独立设备数比例</a:t>
            </a:r>
          </a:p>
        </c:rich>
      </c:tx>
      <c:spPr>
        <a:noFill/>
        <a:ln w="25400">
          <a:noFill/>
        </a:ln>
      </c:spPr>
    </c:title>
    <c:plotArea>
      <c:layout>
        <c:manualLayout>
          <c:layoutTarget val="inner"/>
          <c:xMode val="edge"/>
          <c:yMode val="edge"/>
          <c:x val="0.10591941117764465"/>
          <c:y val="0.17103368055555568"/>
          <c:w val="0.83426189288090491"/>
          <c:h val="0.45523090277777778"/>
        </c:manualLayout>
      </c:layout>
      <c:areaChart>
        <c:grouping val="standard"/>
        <c:ser>
          <c:idx val="1"/>
          <c:order val="0"/>
          <c:tx>
            <c:strRef>
              <c:f>'05-移动端十大类APP网络使用黏性'!$A$103</c:f>
              <c:strCache>
                <c:ptCount val="1"/>
                <c:pt idx="0">
                  <c:v>月独立设备数比例</c:v>
                </c:pt>
              </c:strCache>
            </c:strRef>
          </c:tx>
          <c:spPr>
            <a:solidFill>
              <a:srgbClr val="B2D234"/>
            </a:solidFill>
            <a:ln w="12700">
              <a:noFill/>
              <a:prstDash val="solid"/>
            </a:ln>
          </c:spPr>
          <c:dLbls>
            <c:dLbl>
              <c:idx val="0"/>
              <c:delete val="1"/>
            </c:dLbl>
            <c:dLbl>
              <c:idx val="1"/>
              <c:layout>
                <c:manualLayout>
                  <c:x val="-7.9216566866267494E-3"/>
                  <c:y val="-0.14993055555555559"/>
                </c:manualLayout>
              </c:layout>
              <c:showVal val="1"/>
            </c:dLbl>
            <c:dLbl>
              <c:idx val="2"/>
              <c:delete val="1"/>
            </c:dLbl>
            <c:dLbl>
              <c:idx val="3"/>
              <c:layout>
                <c:manualLayout>
                  <c:x val="0"/>
                  <c:y val="-0.17197916666666671"/>
                </c:manualLayout>
              </c:layout>
              <c:showVal val="1"/>
            </c:dLbl>
            <c:dLbl>
              <c:idx val="4"/>
              <c:delete val="1"/>
            </c:dLbl>
            <c:dLbl>
              <c:idx val="5"/>
              <c:layout>
                <c:manualLayout>
                  <c:x val="-1.3202761144377925E-2"/>
                  <c:y val="-0.18961805555555566"/>
                </c:manualLayout>
              </c:layout>
              <c:showVal val="1"/>
            </c:dLbl>
            <c:dLbl>
              <c:idx val="6"/>
              <c:delete val="1"/>
            </c:dLbl>
            <c:dLbl>
              <c:idx val="7"/>
              <c:layout>
                <c:manualLayout>
                  <c:x val="0"/>
                  <c:y val="-0.20725694444444456"/>
                </c:manualLayout>
              </c:layout>
              <c:showVal val="1"/>
            </c:dLbl>
            <c:dLbl>
              <c:idx val="8"/>
              <c:delete val="1"/>
            </c:dLbl>
            <c:dLbl>
              <c:idx val="9"/>
              <c:layout>
                <c:manualLayout>
                  <c:x val="0"/>
                  <c:y val="-0.22930555555555557"/>
                </c:manualLayout>
              </c:layout>
              <c:showVal val="1"/>
            </c:dLbl>
            <c:dLbl>
              <c:idx val="10"/>
              <c:delete val="1"/>
            </c:dLbl>
            <c:dLbl>
              <c:idx val="11"/>
              <c:layout>
                <c:manualLayout>
                  <c:x val="-2.6405522288755856E-3"/>
                  <c:y val="-0.21607638888888894"/>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'05-移动端十大类APP网络使用黏性'!$B$102:$M$102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'05-移动端十大类APP网络使用黏性'!$B$103:$M$103</c:f>
              <c:numCache>
                <c:formatCode>0.00%</c:formatCode>
                <c:ptCount val="12"/>
                <c:pt idx="0">
                  <c:v>0.67333205736975343</c:v>
                </c:pt>
                <c:pt idx="1">
                  <c:v>0.69760869829166761</c:v>
                </c:pt>
                <c:pt idx="2">
                  <c:v>0.71221513650884194</c:v>
                </c:pt>
                <c:pt idx="3">
                  <c:v>0.73509559975176553</c:v>
                </c:pt>
                <c:pt idx="4">
                  <c:v>0.75132103269664763</c:v>
                </c:pt>
                <c:pt idx="5">
                  <c:v>0.76512736104236889</c:v>
                </c:pt>
                <c:pt idx="6">
                  <c:v>0.79548326815539327</c:v>
                </c:pt>
                <c:pt idx="7">
                  <c:v>0.7897181477883265</c:v>
                </c:pt>
                <c:pt idx="8">
                  <c:v>0.78841657190361059</c:v>
                </c:pt>
                <c:pt idx="9">
                  <c:v>0.83488653438218163</c:v>
                </c:pt>
                <c:pt idx="10">
                  <c:v>0.81990362570530329</c:v>
                </c:pt>
                <c:pt idx="11">
                  <c:v>0.80283016076668756</c:v>
                </c:pt>
              </c:numCache>
            </c:numRef>
          </c:val>
          <c:extLst xmlns:c16r2="http://schemas.microsoft.com/office/drawing/2015/06/chart">
            <c:ext xmlns:c16="http://schemas.microsoft.com/office/drawing/2014/chart" uri="{C3380CC4-5D6E-409C-BE32-E72D297353CC}">
              <c16:uniqueId val="{00000000-544F-454B-BA1E-CAA7F39EA51A}"/>
            </c:ext>
          </c:extLst>
        </c:ser>
        <c:dLbls>
          <c:showVal val="1"/>
        </c:dLbls>
        <c:axId val="258081536"/>
        <c:axId val="258084224"/>
      </c:areaChart>
      <c:catAx>
        <c:axId val="25808153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084224"/>
        <c:crosses val="autoZero"/>
        <c:lblAlgn val="ctr"/>
        <c:lblOffset val="100"/>
        <c:tickLblSkip val="1"/>
        <c:tickMarkSkip val="1"/>
      </c:catAx>
      <c:valAx>
        <c:axId val="258084224"/>
        <c:scaling>
          <c:orientation val="minMax"/>
          <c:max val="0.9"/>
          <c:min val="0.5"/>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081536"/>
        <c:crosses val="autoZero"/>
        <c:crossBetween val="midCat"/>
        <c:majorUnit val="0.1"/>
        <c:minorUnit val="0.1"/>
      </c:valAx>
      <c:spPr>
        <a:noFill/>
        <a:ln w="12700">
          <a:noFill/>
          <a:prstDash val="solid"/>
        </a:ln>
      </c:spPr>
    </c:plotArea>
    <c:legend>
      <c:legendPos val="r"/>
      <c:layout>
        <c:manualLayout>
          <c:xMode val="edge"/>
          <c:yMode val="edge"/>
          <c:x val="0.12809152528276777"/>
          <c:y val="0.73608090277777782"/>
          <c:w val="0.74232347804391263"/>
          <c:h val="6.8975347222222219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8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便捷生活</a:t>
            </a:r>
            <a:r>
              <a:rPr lang="en-US" sz="1200" b="1"/>
              <a:t>APP</a:t>
            </a:r>
            <a:r>
              <a:rPr lang="zh-CN" altLang="en-US" sz="1200" b="1"/>
              <a:t>单机使用天数</a:t>
            </a:r>
            <a:endParaRPr lang="zh-CN" sz="1200" b="1"/>
          </a:p>
        </c:rich>
      </c:tx>
      <c:spPr>
        <a:noFill/>
        <a:ln w="25400">
          <a:noFill/>
        </a:ln>
      </c:spPr>
    </c:title>
    <c:plotArea>
      <c:layout>
        <c:manualLayout>
          <c:layoutTarget val="inner"/>
          <c:xMode val="edge"/>
          <c:yMode val="edge"/>
          <c:x val="8.4794785429141734E-2"/>
          <c:y val="0.19232673618500393"/>
          <c:w val="0.87122962408516358"/>
          <c:h val="0.4343847222222228"/>
        </c:manualLayout>
      </c:layout>
      <c:barChart>
        <c:barDir val="col"/>
        <c:grouping val="clustered"/>
        <c:ser>
          <c:idx val="1"/>
          <c:order val="0"/>
          <c:tx>
            <c:strRef>
              <c:f>'05-移动端十大类APP网络使用黏性'!$A$108</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'05-移动端十大类APP网络使用黏性'!$B$107:$M$107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'05-移动端十大类APP网络使用黏性'!$B$108:$M$108</c:f>
              <c:numCache>
                <c:formatCode>General</c:formatCode>
                <c:ptCount val="12"/>
                <c:pt idx="0">
                  <c:v>7.18</c:v>
                </c:pt>
                <c:pt idx="1">
                  <c:v>6.64</c:v>
                </c:pt>
                <c:pt idx="2">
                  <c:v>6.4</c:v>
                </c:pt>
                <c:pt idx="3">
                  <c:v>6.45</c:v>
                </c:pt>
                <c:pt idx="4">
                  <c:v>6.72</c:v>
                </c:pt>
                <c:pt idx="5">
                  <c:v>6.53</c:v>
                </c:pt>
                <c:pt idx="6">
                  <c:v>7.1499999999999995</c:v>
                </c:pt>
                <c:pt idx="7">
                  <c:v>7.4700000000000024</c:v>
                </c:pt>
                <c:pt idx="8">
                  <c:v>7.04</c:v>
                </c:pt>
                <c:pt idx="9">
                  <c:v>8.34</c:v>
                </c:pt>
                <c:pt idx="10">
                  <c:v>7.4</c:v>
                </c:pt>
                <c:pt idx="11">
                  <c:v>7.1199999999999966</c:v>
                </c:pt>
              </c:numCache>
            </c:numRef>
          </c:val>
          <c:extLst xmlns:c16r2="http://schemas.microsoft.com/office/drawing/2015/06/chart">
            <c:ext xmlns:c16="http://schemas.microsoft.com/office/drawing/2014/chart" uri="{C3380CC4-5D6E-409C-BE32-E72D297353CC}">
              <c16:uniqueId val="{00000000-096D-43BB-AFED-C10336D0A968}"/>
            </c:ext>
          </c:extLst>
        </c:ser>
        <c:dLbls>
          <c:showVal val="1"/>
        </c:dLbls>
        <c:gapWidth val="60"/>
        <c:axId val="258175360"/>
        <c:axId val="258176896"/>
      </c:barChart>
      <c:lineChart>
        <c:grouping val="standard"/>
        <c:ser>
          <c:idx val="0"/>
          <c:order val="1"/>
          <c:tx>
            <c:strRef>
              <c:f>'05-移动端十大类APP网络使用黏性'!$A$109</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6D-43BB-AFED-C10336D0A968}"/>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96D-43BB-AFED-C10336D0A968}"/>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96D-43BB-AFED-C10336D0A968}"/>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96D-43BB-AFED-C10336D0A968}"/>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'05-移动端十大类APP网络使用黏性'!$B$107:$M$107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'05-移动端十大类APP网络使用黏性'!$B$109:$M$109</c:f>
              <c:numCache>
                <c:formatCode>0.0%</c:formatCode>
                <c:ptCount val="12"/>
                <c:pt idx="1">
                  <c:v>-7.52089136490251E-2</c:v>
                </c:pt>
                <c:pt idx="2">
                  <c:v>-3.6144578313252906E-2</c:v>
                </c:pt>
                <c:pt idx="3">
                  <c:v>7.8125E-3</c:v>
                </c:pt>
                <c:pt idx="4">
                  <c:v>4.1860465116279062E-2</c:v>
                </c:pt>
                <c:pt idx="5">
                  <c:v>-2.8273809523809462E-2</c:v>
                </c:pt>
                <c:pt idx="6">
                  <c:v>9.4946401225114885E-2</c:v>
                </c:pt>
                <c:pt idx="7">
                  <c:v>4.4755244755244665E-2</c:v>
                </c:pt>
                <c:pt idx="8">
                  <c:v>-5.756358768406955E-2</c:v>
                </c:pt>
                <c:pt idx="9">
                  <c:v>0.18465909090909091</c:v>
                </c:pt>
                <c:pt idx="10">
                  <c:v>-0.11270983213429248</c:v>
                </c:pt>
                <c:pt idx="11">
                  <c:v>-3.7837837837837923E-2</c:v>
                </c:pt>
              </c:numCache>
            </c:numRef>
          </c:val>
          <c:extLst xmlns:c16r2="http://schemas.microsoft.com/office/drawing/2015/06/chart">
            <c:ext xmlns:c16="http://schemas.microsoft.com/office/drawing/2014/chart" uri="{C3380CC4-5D6E-409C-BE32-E72D297353CC}">
              <c16:uniqueId val="{00000005-096D-43BB-AFED-C10336D0A968}"/>
            </c:ext>
          </c:extLst>
        </c:ser>
        <c:dLbls>
          <c:showVal val="1"/>
        </c:dLbls>
        <c:marker val="1"/>
        <c:axId val="258178432"/>
        <c:axId val="258184320"/>
      </c:lineChart>
      <c:catAx>
        <c:axId val="25817536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176896"/>
        <c:crosses val="autoZero"/>
        <c:lblAlgn val="ctr"/>
        <c:lblOffset val="100"/>
        <c:tickLblSkip val="1"/>
        <c:tickMarkSkip val="1"/>
      </c:catAx>
      <c:valAx>
        <c:axId val="258176896"/>
        <c:scaling>
          <c:orientation val="minMax"/>
          <c:max val="1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175360"/>
        <c:crosses val="autoZero"/>
        <c:crossBetween val="between"/>
        <c:majorUnit val="5"/>
        <c:minorUnit val="1"/>
      </c:valAx>
      <c:catAx>
        <c:axId val="258178432"/>
        <c:scaling>
          <c:orientation val="minMax"/>
        </c:scaling>
        <c:delete val="1"/>
        <c:axPos val="b"/>
        <c:numFmt formatCode="General" sourceLinked="1"/>
        <c:tickLblPos val="none"/>
        <c:crossAx val="258184320"/>
        <c:crosses val="autoZero"/>
        <c:lblAlgn val="ctr"/>
        <c:lblOffset val="100"/>
      </c:catAx>
      <c:valAx>
        <c:axId val="258184320"/>
        <c:scaling>
          <c:orientation val="minMax"/>
          <c:max val="0.5"/>
          <c:min val="-2"/>
        </c:scaling>
        <c:axPos val="r"/>
        <c:numFmt formatCode="General" sourceLinked="1"/>
        <c:majorTickMark val="none"/>
        <c:tickLblPos val="none"/>
        <c:spPr>
          <a:ln w="3175">
            <a:noFill/>
            <a:prstDash val="solid"/>
          </a:ln>
        </c:spPr>
        <c:crossAx val="258178432"/>
        <c:crosses val="max"/>
        <c:crossBetween val="between"/>
        <c:majorUnit val="0.29000000000000031"/>
        <c:minorUnit val="0.29000000000000031"/>
      </c:valAx>
      <c:spPr>
        <a:noFill/>
        <a:ln w="12700">
          <a:noFill/>
          <a:prstDash val="solid"/>
        </a:ln>
      </c:spPr>
    </c:plotArea>
    <c:legend>
      <c:legendPos val="r"/>
      <c:layout>
        <c:manualLayout>
          <c:xMode val="edge"/>
          <c:yMode val="edge"/>
          <c:x val="0.12809152528276777"/>
          <c:y val="0.7269138888888893"/>
          <c:w val="0.78985335166437565"/>
          <c:h val="7.1380555555555558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8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便捷生活</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7.6873336660013308E-2"/>
          <c:y val="0.19663004219174118"/>
          <c:w val="0.87651072854291368"/>
          <c:h val="0.4343847222222228"/>
        </c:manualLayout>
      </c:layout>
      <c:barChart>
        <c:barDir val="col"/>
        <c:grouping val="clustered"/>
        <c:ser>
          <c:idx val="1"/>
          <c:order val="0"/>
          <c:tx>
            <c:strRef>
              <c:f>'05-移动端十大类APP网络使用黏性'!$A$113</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'05-移动端十大类APP网络使用黏性'!$B$112:$M$112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'05-移动端十大类APP网络使用黏性'!$B$113:$M$113</c:f>
              <c:numCache>
                <c:formatCode>General</c:formatCode>
                <c:ptCount val="12"/>
                <c:pt idx="0">
                  <c:v>2.61</c:v>
                </c:pt>
                <c:pt idx="1">
                  <c:v>2.8</c:v>
                </c:pt>
                <c:pt idx="2">
                  <c:v>3.32</c:v>
                </c:pt>
                <c:pt idx="3">
                  <c:v>3.32</c:v>
                </c:pt>
                <c:pt idx="4">
                  <c:v>3.19</c:v>
                </c:pt>
                <c:pt idx="5">
                  <c:v>3.25</c:v>
                </c:pt>
                <c:pt idx="6">
                  <c:v>3.38</c:v>
                </c:pt>
                <c:pt idx="7">
                  <c:v>3.8</c:v>
                </c:pt>
                <c:pt idx="8">
                  <c:v>3.59</c:v>
                </c:pt>
                <c:pt idx="9">
                  <c:v>3.88</c:v>
                </c:pt>
                <c:pt idx="10">
                  <c:v>3.73</c:v>
                </c:pt>
                <c:pt idx="11">
                  <c:v>3.56</c:v>
                </c:pt>
              </c:numCache>
            </c:numRef>
          </c:val>
          <c:extLst xmlns:c16r2="http://schemas.microsoft.com/office/drawing/2015/06/chart">
            <c:ext xmlns:c16="http://schemas.microsoft.com/office/drawing/2014/chart" uri="{C3380CC4-5D6E-409C-BE32-E72D297353CC}">
              <c16:uniqueId val="{00000000-D19D-4D25-BDDE-BE7B3674F600}"/>
            </c:ext>
          </c:extLst>
        </c:ser>
        <c:dLbls>
          <c:showVal val="1"/>
        </c:dLbls>
        <c:gapWidth val="60"/>
        <c:axId val="258217856"/>
        <c:axId val="258219392"/>
      </c:barChart>
      <c:lineChart>
        <c:grouping val="standard"/>
        <c:ser>
          <c:idx val="0"/>
          <c:order val="1"/>
          <c:tx>
            <c:strRef>
              <c:f>'05-移动端十大类APP网络使用黏性'!$A$114</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9D-4D25-BDDE-BE7B3674F600}"/>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9D-4D25-BDDE-BE7B3674F600}"/>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9D-4D25-BDDE-BE7B3674F600}"/>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9D-4D25-BDDE-BE7B3674F600}"/>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'05-移动端十大类APP网络使用黏性'!$B$112:$M$112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'05-移动端十大类APP网络使用黏性'!$B$114:$M$114</c:f>
              <c:numCache>
                <c:formatCode>0.0%</c:formatCode>
                <c:ptCount val="12"/>
                <c:pt idx="1">
                  <c:v>7.2796934865900442E-2</c:v>
                </c:pt>
                <c:pt idx="2">
                  <c:v>0.18571428571428594</c:v>
                </c:pt>
                <c:pt idx="3">
                  <c:v>0</c:v>
                </c:pt>
                <c:pt idx="4">
                  <c:v>-3.9156626506024035E-2</c:v>
                </c:pt>
                <c:pt idx="5">
                  <c:v>1.8808777429467204E-2</c:v>
                </c:pt>
                <c:pt idx="6">
                  <c:v>4.0000000000000063E-2</c:v>
                </c:pt>
                <c:pt idx="7">
                  <c:v>0.12426035502958584</c:v>
                </c:pt>
                <c:pt idx="8">
                  <c:v>-5.526315789473684E-2</c:v>
                </c:pt>
                <c:pt idx="9">
                  <c:v>8.0779944289693748E-2</c:v>
                </c:pt>
                <c:pt idx="10">
                  <c:v>-3.865979381443297E-2</c:v>
                </c:pt>
                <c:pt idx="11">
                  <c:v>-4.5576407506702464E-2</c:v>
                </c:pt>
              </c:numCache>
            </c:numRef>
          </c:val>
          <c:extLst xmlns:c16r2="http://schemas.microsoft.com/office/drawing/2015/06/chart">
            <c:ext xmlns:c16="http://schemas.microsoft.com/office/drawing/2014/chart" uri="{C3380CC4-5D6E-409C-BE32-E72D297353CC}">
              <c16:uniqueId val="{00000005-D19D-4D25-BDDE-BE7B3674F600}"/>
            </c:ext>
          </c:extLst>
        </c:ser>
        <c:dLbls>
          <c:showVal val="1"/>
        </c:dLbls>
        <c:marker val="1"/>
        <c:axId val="258270336"/>
        <c:axId val="258271872"/>
      </c:lineChart>
      <c:catAx>
        <c:axId val="25821785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219392"/>
        <c:crosses val="autoZero"/>
        <c:lblAlgn val="ctr"/>
        <c:lblOffset val="100"/>
        <c:tickLblSkip val="1"/>
        <c:tickMarkSkip val="1"/>
      </c:catAx>
      <c:valAx>
        <c:axId val="258219392"/>
        <c:scaling>
          <c:orientation val="minMax"/>
          <c:max val="6"/>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217856"/>
        <c:crosses val="autoZero"/>
        <c:crossBetween val="between"/>
        <c:majorUnit val="2"/>
        <c:minorUnit val="1"/>
      </c:valAx>
      <c:catAx>
        <c:axId val="258270336"/>
        <c:scaling>
          <c:orientation val="minMax"/>
        </c:scaling>
        <c:delete val="1"/>
        <c:axPos val="b"/>
        <c:numFmt formatCode="General" sourceLinked="1"/>
        <c:tickLblPos val="none"/>
        <c:crossAx val="258271872"/>
        <c:crosses val="autoZero"/>
        <c:lblAlgn val="ctr"/>
        <c:lblOffset val="100"/>
      </c:catAx>
      <c:valAx>
        <c:axId val="258271872"/>
        <c:scaling>
          <c:orientation val="minMax"/>
          <c:max val="0.30000000000000027"/>
          <c:min val="-1.7"/>
        </c:scaling>
        <c:axPos val="r"/>
        <c:numFmt formatCode="General" sourceLinked="1"/>
        <c:majorTickMark val="none"/>
        <c:tickLblPos val="none"/>
        <c:spPr>
          <a:ln w="3175">
            <a:noFill/>
            <a:prstDash val="solid"/>
          </a:ln>
        </c:spPr>
        <c:crossAx val="258270336"/>
        <c:crosses val="max"/>
        <c:crossBetween val="between"/>
        <c:majorUnit val="0.29000000000000031"/>
        <c:minorUnit val="0.29000000000000031"/>
      </c:valAx>
      <c:spPr>
        <a:noFill/>
        <a:ln w="12700">
          <a:noFill/>
          <a:prstDash val="solid"/>
        </a:ln>
      </c:spPr>
    </c:plotArea>
    <c:legend>
      <c:legendPos val="r"/>
      <c:layout>
        <c:manualLayout>
          <c:xMode val="edge"/>
          <c:yMode val="edge"/>
          <c:x val="0.12016986859614105"/>
          <c:y val="0.73260277777777782"/>
          <c:w val="0.78985335166437565"/>
          <c:h val="6.9777083333333406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85.xml><?xml version="1.0" encoding="utf-8"?>
<c:chartSpace xmlns:c="http://schemas.openxmlformats.org/drawingml/2006/chart" xmlns:a="http://schemas.openxmlformats.org/drawingml/2006/main" xmlns:r="http://schemas.openxmlformats.org/officeDocument/2006/relationships">
  <c:lang val="zh-CN"/>
  <c:chart>
    <c:title>
      <c:tx>
        <c:rich>
          <a:bodyPr/>
          <a:lstStyle/>
          <a:p>
            <a:pPr algn="ctr">
              <a:defRPr sz="1200" b="1"/>
            </a:pPr>
            <a:r>
              <a:rPr lang="en-US" altLang="zh-CN" sz="1200" b="1"/>
              <a:t>2017</a:t>
            </a:r>
            <a:r>
              <a:rPr lang="zh-CN" altLang="en-US" sz="1200" b="1"/>
              <a:t>年陕西省网民使用</a:t>
            </a:r>
            <a:r>
              <a:rPr lang="zh-CN" altLang="zh-CN" sz="1200" b="1" i="0" u="none" strike="noStrike" baseline="0">
                <a:effectLst/>
              </a:rPr>
              <a:t>便捷生活</a:t>
            </a:r>
            <a:r>
              <a:rPr lang="en-US" sz="1200" b="1"/>
              <a:t>APP</a:t>
            </a:r>
            <a:r>
              <a:rPr lang="zh-CN" altLang="en-US" sz="1200" b="1"/>
              <a:t>单机单次有效时间</a:t>
            </a:r>
            <a:endParaRPr lang="zh-CN" sz="1200" b="1"/>
          </a:p>
        </c:rich>
      </c:tx>
      <c:layout>
        <c:manualLayout>
          <c:xMode val="edge"/>
          <c:yMode val="edge"/>
          <c:x val="0.13089071856287426"/>
          <c:y val="3.8429800212467016E-2"/>
        </c:manualLayout>
      </c:layout>
      <c:spPr>
        <a:noFill/>
        <a:ln w="25400">
          <a:noFill/>
        </a:ln>
      </c:spPr>
    </c:title>
    <c:plotArea>
      <c:layout>
        <c:manualLayout>
          <c:layoutTarget val="inner"/>
          <c:xMode val="edge"/>
          <c:yMode val="edge"/>
          <c:x val="7.4232784431137788E-2"/>
          <c:y val="0.1903835331394387"/>
          <c:w val="0.87915128077178972"/>
          <c:h val="0.41634513888888891"/>
        </c:manualLayout>
      </c:layout>
      <c:barChart>
        <c:barDir val="col"/>
        <c:grouping val="clustered"/>
        <c:ser>
          <c:idx val="1"/>
          <c:order val="0"/>
          <c:tx>
            <c:strRef>
              <c:f>'05-移动端十大类APP网络使用黏性'!$A$118</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'05-移动端十大类APP网络使用黏性'!$B$117:$M$117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'05-移动端十大类APP网络使用黏性'!$B$118:$M$118</c:f>
              <c:numCache>
                <c:formatCode>General</c:formatCode>
                <c:ptCount val="12"/>
                <c:pt idx="0">
                  <c:v>3.34</c:v>
                </c:pt>
                <c:pt idx="1">
                  <c:v>3.19</c:v>
                </c:pt>
                <c:pt idx="2">
                  <c:v>3.07</c:v>
                </c:pt>
                <c:pt idx="3">
                  <c:v>3.23</c:v>
                </c:pt>
                <c:pt idx="4">
                  <c:v>3.4899999999999998</c:v>
                </c:pt>
                <c:pt idx="5">
                  <c:v>3.16</c:v>
                </c:pt>
                <c:pt idx="6">
                  <c:v>2.96</c:v>
                </c:pt>
                <c:pt idx="7">
                  <c:v>2.7</c:v>
                </c:pt>
                <c:pt idx="8">
                  <c:v>2.67</c:v>
                </c:pt>
                <c:pt idx="9">
                  <c:v>2.4899999999999998</c:v>
                </c:pt>
                <c:pt idx="10">
                  <c:v>2.63</c:v>
                </c:pt>
                <c:pt idx="11">
                  <c:v>2.67</c:v>
                </c:pt>
              </c:numCache>
            </c:numRef>
          </c:val>
          <c:extLst xmlns:c16r2="http://schemas.microsoft.com/office/drawing/2015/06/chart">
            <c:ext xmlns:c16="http://schemas.microsoft.com/office/drawing/2014/chart" uri="{C3380CC4-5D6E-409C-BE32-E72D297353CC}">
              <c16:uniqueId val="{00000000-3976-4D04-ACDC-ADF3C20FB152}"/>
            </c:ext>
          </c:extLst>
        </c:ser>
        <c:dLbls>
          <c:showVal val="1"/>
        </c:dLbls>
        <c:gapWidth val="60"/>
        <c:axId val="258063744"/>
        <c:axId val="258073728"/>
      </c:barChart>
      <c:lineChart>
        <c:grouping val="standard"/>
        <c:ser>
          <c:idx val="0"/>
          <c:order val="1"/>
          <c:tx>
            <c:strRef>
              <c:f>'05-移动端十大类APP网络使用黏性'!$A$119</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76-4D04-ACDC-ADF3C20FB152}"/>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76-4D04-ACDC-ADF3C20FB152}"/>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76-4D04-ACDC-ADF3C20FB152}"/>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76-4D04-ACDC-ADF3C20FB152}"/>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'05-移动端十大类APP网络使用黏性'!$B$117:$M$117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'05-移动端十大类APP网络使用黏性'!$B$119:$M$119</c:f>
              <c:numCache>
                <c:formatCode>0.0%</c:formatCode>
                <c:ptCount val="12"/>
                <c:pt idx="1">
                  <c:v>-4.4910179640718563E-2</c:v>
                </c:pt>
                <c:pt idx="2">
                  <c:v>-3.7617554858934255E-2</c:v>
                </c:pt>
                <c:pt idx="3">
                  <c:v>5.2117263843648336E-2</c:v>
                </c:pt>
                <c:pt idx="4">
                  <c:v>8.049535603715173E-2</c:v>
                </c:pt>
                <c:pt idx="5">
                  <c:v>-9.4555873925501577E-2</c:v>
                </c:pt>
                <c:pt idx="6">
                  <c:v>-6.3291139240506333E-2</c:v>
                </c:pt>
                <c:pt idx="7">
                  <c:v>-8.783783783783769E-2</c:v>
                </c:pt>
                <c:pt idx="8">
                  <c:v>-1.1111111111111191E-2</c:v>
                </c:pt>
                <c:pt idx="9">
                  <c:v>-6.741573033707865E-2</c:v>
                </c:pt>
                <c:pt idx="10">
                  <c:v>5.6224899598393385E-2</c:v>
                </c:pt>
                <c:pt idx="11">
                  <c:v>1.5209125475285091E-2</c:v>
                </c:pt>
              </c:numCache>
            </c:numRef>
          </c:val>
          <c:extLst xmlns:c16r2="http://schemas.microsoft.com/office/drawing/2015/06/chart">
            <c:ext xmlns:c16="http://schemas.microsoft.com/office/drawing/2014/chart" uri="{C3380CC4-5D6E-409C-BE32-E72D297353CC}">
              <c16:uniqueId val="{00000005-3976-4D04-ACDC-ADF3C20FB152}"/>
            </c:ext>
          </c:extLst>
        </c:ser>
        <c:dLbls>
          <c:showVal val="1"/>
        </c:dLbls>
        <c:marker val="1"/>
        <c:axId val="258075264"/>
        <c:axId val="258077056"/>
      </c:lineChart>
      <c:catAx>
        <c:axId val="25806374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073728"/>
        <c:crosses val="autoZero"/>
        <c:lblAlgn val="ctr"/>
        <c:lblOffset val="100"/>
        <c:tickLblSkip val="1"/>
        <c:tickMarkSkip val="1"/>
      </c:catAx>
      <c:valAx>
        <c:axId val="258073728"/>
        <c:scaling>
          <c:orientation val="minMax"/>
          <c:max val="7"/>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063744"/>
        <c:crosses val="autoZero"/>
        <c:crossBetween val="between"/>
        <c:majorUnit val="2"/>
      </c:valAx>
      <c:catAx>
        <c:axId val="258075264"/>
        <c:scaling>
          <c:orientation val="minMax"/>
        </c:scaling>
        <c:delete val="1"/>
        <c:axPos val="b"/>
        <c:numFmt formatCode="General" sourceLinked="1"/>
        <c:tickLblPos val="none"/>
        <c:crossAx val="258077056"/>
        <c:crosses val="autoZero"/>
        <c:lblAlgn val="ctr"/>
        <c:lblOffset val="100"/>
      </c:catAx>
      <c:valAx>
        <c:axId val="258077056"/>
        <c:scaling>
          <c:orientation val="minMax"/>
          <c:max val="0.70000000000000051"/>
          <c:min val="-3"/>
        </c:scaling>
        <c:axPos val="r"/>
        <c:numFmt formatCode="General" sourceLinked="1"/>
        <c:majorTickMark val="none"/>
        <c:tickLblPos val="none"/>
        <c:spPr>
          <a:ln w="3175">
            <a:noFill/>
            <a:prstDash val="solid"/>
          </a:ln>
        </c:spPr>
        <c:crossAx val="258075264"/>
        <c:crosses val="max"/>
        <c:crossBetween val="between"/>
        <c:majorUnit val="0.1"/>
        <c:minorUnit val="0.1"/>
      </c:valAx>
      <c:spPr>
        <a:noFill/>
        <a:ln w="12700">
          <a:noFill/>
          <a:prstDash val="solid"/>
        </a:ln>
      </c:spPr>
    </c:plotArea>
    <c:legend>
      <c:legendPos val="r"/>
      <c:layout>
        <c:manualLayout>
          <c:xMode val="edge"/>
          <c:yMode val="edge"/>
          <c:x val="9.9045450765136475E-2"/>
          <c:y val="0.73547604166666658"/>
          <c:w val="0.84002391051230874"/>
          <c:h val="6.9777083333333406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86.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网民常用便捷生活类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22621881237524949"/>
          <c:y val="2.3678086419753105E-2"/>
        </c:manualLayout>
      </c:layout>
    </c:title>
    <c:plotArea>
      <c:layout>
        <c:manualLayout>
          <c:layoutTarget val="inner"/>
          <c:xMode val="edge"/>
          <c:yMode val="edge"/>
          <c:x val="0.25620676002333914"/>
          <c:y val="0.12620648148148175"/>
          <c:w val="0.6760596399099783"/>
          <c:h val="0.55709814814814862"/>
        </c:manualLayout>
      </c:layout>
      <c:barChart>
        <c:barDir val="bar"/>
        <c:grouping val="clustered"/>
        <c:ser>
          <c:idx val="1"/>
          <c:order val="0"/>
          <c:tx>
            <c:strRef>
              <c:f>'06-移动端十大类APP-Top10'!$D$79</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layout/>
                <c15:showLeaderLines val="0"/>
              </c:ext>
            </c:extLst>
          </c:dLbls>
          <c:cat>
            <c:strRef>
              <c:f>'06-移动端十大类APP-Top10'!$C$80:$C$89</c:f>
              <c:strCache>
                <c:ptCount val="10"/>
                <c:pt idx="0">
                  <c:v>折800</c:v>
                </c:pt>
                <c:pt idx="1">
                  <c:v>高德导航</c:v>
                </c:pt>
                <c:pt idx="2">
                  <c:v>中国移动手机营业厅</c:v>
                </c:pt>
                <c:pt idx="3">
                  <c:v>电信营业厅</c:v>
                </c:pt>
                <c:pt idx="4">
                  <c:v>小米天气</c:v>
                </c:pt>
                <c:pt idx="5">
                  <c:v>58同城</c:v>
                </c:pt>
                <c:pt idx="6">
                  <c:v>新浪天气通</c:v>
                </c:pt>
                <c:pt idx="7">
                  <c:v>墨迹天气</c:v>
                </c:pt>
                <c:pt idx="8">
                  <c:v>百度地图</c:v>
                </c:pt>
                <c:pt idx="9">
                  <c:v>高德地图</c:v>
                </c:pt>
              </c:strCache>
            </c:strRef>
          </c:cat>
          <c:val>
            <c:numRef>
              <c:f>'06-移动端十大类APP-Top10'!$D$80:$D$89</c:f>
              <c:numCache>
                <c:formatCode>0.00%</c:formatCode>
                <c:ptCount val="10"/>
                <c:pt idx="0">
                  <c:v>1.7100000000000001E-2</c:v>
                </c:pt>
                <c:pt idx="1">
                  <c:v>1.9699999999999999E-2</c:v>
                </c:pt>
                <c:pt idx="2">
                  <c:v>2.2300000000000011E-2</c:v>
                </c:pt>
                <c:pt idx="3">
                  <c:v>3.0400000000000017E-2</c:v>
                </c:pt>
                <c:pt idx="4">
                  <c:v>3.4799999999999998E-2</c:v>
                </c:pt>
                <c:pt idx="5">
                  <c:v>4.5999999999999999E-2</c:v>
                </c:pt>
                <c:pt idx="6">
                  <c:v>0.10290000000000002</c:v>
                </c:pt>
                <c:pt idx="7">
                  <c:v>0.34960000000000002</c:v>
                </c:pt>
                <c:pt idx="8">
                  <c:v>0.42090000000000022</c:v>
                </c:pt>
                <c:pt idx="9">
                  <c:v>0.44920000000000004</c:v>
                </c:pt>
              </c:numCache>
            </c:numRef>
          </c:val>
          <c:extLst xmlns:c16r2="http://schemas.microsoft.com/office/drawing/2015/06/chart">
            <c:ext xmlns:c16="http://schemas.microsoft.com/office/drawing/2014/chart" uri="{C3380CC4-5D6E-409C-BE32-E72D297353CC}">
              <c16:uniqueId val="{00000000-63D7-46B0-9EC2-67148D745280}"/>
            </c:ext>
          </c:extLst>
        </c:ser>
        <c:dLbls>
          <c:showVal val="1"/>
        </c:dLbls>
        <c:gapWidth val="60"/>
        <c:axId val="258303104"/>
        <c:axId val="258304640"/>
      </c:barChart>
      <c:catAx>
        <c:axId val="258303104"/>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58304640"/>
        <c:crosses val="autoZero"/>
        <c:auto val="1"/>
        <c:lblAlgn val="ctr"/>
        <c:lblOffset val="100"/>
      </c:catAx>
      <c:valAx>
        <c:axId val="258304640"/>
        <c:scaling>
          <c:orientation val="minMax"/>
          <c:max val="0.5"/>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58303104"/>
        <c:crosses val="autoZero"/>
        <c:crossBetween val="between"/>
        <c:minorUnit val="0.1"/>
      </c:valAx>
      <c:spPr>
        <a:ln>
          <a:noFill/>
        </a:ln>
      </c:spPr>
    </c:plotArea>
    <c:legend>
      <c:legendPos val="b"/>
      <c:layout>
        <c:manualLayout>
          <c:xMode val="edge"/>
          <c:yMode val="edge"/>
          <c:x val="0.38504761310711932"/>
          <c:y val="0.77077993827160574"/>
          <c:w val="0.28424626990080892"/>
          <c:h val="5.5123649744786916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8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年陕西省网民使用金融理财</a:t>
            </a:r>
            <a:r>
              <a:rPr lang="en-US" sz="1200" b="1"/>
              <a:t>APP</a:t>
            </a:r>
            <a:r>
              <a:rPr lang="zh-CN" altLang="en-US" sz="1200" b="1"/>
              <a:t>月独立设备数比例</a:t>
            </a:r>
          </a:p>
        </c:rich>
      </c:tx>
      <c:layout>
        <c:manualLayout>
          <c:xMode val="edge"/>
          <c:yMode val="edge"/>
          <c:x val="0.11504511809713906"/>
          <c:y val="2.3670881738117263E-2"/>
        </c:manualLayout>
      </c:layout>
      <c:spPr>
        <a:noFill/>
        <a:ln w="25400">
          <a:noFill/>
        </a:ln>
      </c:spPr>
    </c:title>
    <c:plotArea>
      <c:layout>
        <c:manualLayout>
          <c:layoutTarget val="inner"/>
          <c:xMode val="edge"/>
          <c:yMode val="edge"/>
          <c:x val="0.10591941117764465"/>
          <c:y val="0.1623354166666667"/>
          <c:w val="0.83426189288090491"/>
          <c:h val="0.46244687500000037"/>
        </c:manualLayout>
      </c:layout>
      <c:areaChart>
        <c:grouping val="standard"/>
        <c:ser>
          <c:idx val="1"/>
          <c:order val="0"/>
          <c:tx>
            <c:strRef>
              <c:f>'05-移动端十大类APP网络使用黏性'!$A$126</c:f>
              <c:strCache>
                <c:ptCount val="1"/>
                <c:pt idx="0">
                  <c:v>月独立设备数比例</c:v>
                </c:pt>
              </c:strCache>
            </c:strRef>
          </c:tx>
          <c:spPr>
            <a:solidFill>
              <a:srgbClr val="B2D234"/>
            </a:solidFill>
            <a:ln w="12700">
              <a:noFill/>
              <a:prstDash val="solid"/>
            </a:ln>
          </c:spPr>
          <c:dLbls>
            <c:dLbl>
              <c:idx val="0"/>
              <c:delete val="1"/>
            </c:dLbl>
            <c:dLbl>
              <c:idx val="1"/>
              <c:layout>
                <c:manualLayout>
                  <c:x val="7.9216566866267494E-3"/>
                  <c:y val="-0.18520833333333356"/>
                </c:manualLayout>
              </c:layout>
              <c:showVal val="1"/>
            </c:dLbl>
            <c:dLbl>
              <c:idx val="2"/>
              <c:delete val="1"/>
            </c:dLbl>
            <c:dLbl>
              <c:idx val="3"/>
              <c:layout>
                <c:manualLayout>
                  <c:x val="5.2811044577511703E-3"/>
                  <c:y val="-0.18079861111111128"/>
                </c:manualLayout>
              </c:layout>
              <c:showVal val="1"/>
            </c:dLbl>
            <c:dLbl>
              <c:idx val="4"/>
              <c:delete val="1"/>
            </c:dLbl>
            <c:dLbl>
              <c:idx val="5"/>
              <c:layout>
                <c:manualLayout>
                  <c:x val="5.2811044577511703E-3"/>
                  <c:y val="-0.1763888888888889"/>
                </c:manualLayout>
              </c:layout>
              <c:showVal val="1"/>
            </c:dLbl>
            <c:dLbl>
              <c:idx val="6"/>
              <c:delete val="1"/>
            </c:dLbl>
            <c:dLbl>
              <c:idx val="7"/>
              <c:layout>
                <c:manualLayout>
                  <c:x val="-5.2811044577511703E-3"/>
                  <c:y val="-0.20725694444444456"/>
                </c:manualLayout>
              </c:layout>
              <c:showVal val="1"/>
            </c:dLbl>
            <c:dLbl>
              <c:idx val="8"/>
              <c:delete val="1"/>
            </c:dLbl>
            <c:dLbl>
              <c:idx val="9"/>
              <c:layout>
                <c:manualLayout>
                  <c:x val="-2.6405522288755856E-3"/>
                  <c:y val="-0.20284722222222237"/>
                </c:manualLayout>
              </c:layout>
              <c:showVal val="1"/>
            </c:dLbl>
            <c:dLbl>
              <c:idx val="10"/>
              <c:delete val="1"/>
            </c:dLbl>
            <c:dLbl>
              <c:idx val="11"/>
              <c:layout>
                <c:manualLayout>
                  <c:x val="-2.6405522288755856E-3"/>
                  <c:y val="-0.20725694444444456"/>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'05-移动端十大类APP网络使用黏性'!$B$125:$M$125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'05-移动端十大类APP网络使用黏性'!$B$126:$M$126</c:f>
              <c:numCache>
                <c:formatCode>0.00%</c:formatCode>
                <c:ptCount val="12"/>
                <c:pt idx="0">
                  <c:v>0.68146784419877071</c:v>
                </c:pt>
                <c:pt idx="1">
                  <c:v>0.62868954966549773</c:v>
                </c:pt>
                <c:pt idx="2">
                  <c:v>0.64040994216632863</c:v>
                </c:pt>
                <c:pt idx="3">
                  <c:v>0.62089009722509636</c:v>
                </c:pt>
                <c:pt idx="4">
                  <c:v>0.61243133820177165</c:v>
                </c:pt>
                <c:pt idx="5">
                  <c:v>0.6368195996731093</c:v>
                </c:pt>
                <c:pt idx="6">
                  <c:v>0.66381814928730254</c:v>
                </c:pt>
                <c:pt idx="7">
                  <c:v>0.67918067715084895</c:v>
                </c:pt>
                <c:pt idx="8">
                  <c:v>0.68271104821377493</c:v>
                </c:pt>
                <c:pt idx="9">
                  <c:v>0.663376126922397</c:v>
                </c:pt>
                <c:pt idx="10">
                  <c:v>0.69970758226822805</c:v>
                </c:pt>
                <c:pt idx="11">
                  <c:v>0.6939649955215571</c:v>
                </c:pt>
              </c:numCache>
            </c:numRef>
          </c:val>
          <c:extLst xmlns:c16r2="http://schemas.microsoft.com/office/drawing/2015/06/chart">
            <c:ext xmlns:c16="http://schemas.microsoft.com/office/drawing/2014/chart" uri="{C3380CC4-5D6E-409C-BE32-E72D297353CC}">
              <c16:uniqueId val="{00000000-6C98-4B4C-8F9D-54C284D1298F}"/>
            </c:ext>
          </c:extLst>
        </c:ser>
        <c:dLbls>
          <c:showVal val="1"/>
        </c:dLbls>
        <c:axId val="258425984"/>
        <c:axId val="258441984"/>
      </c:areaChart>
      <c:catAx>
        <c:axId val="25842598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441984"/>
        <c:crosses val="autoZero"/>
        <c:lblAlgn val="ctr"/>
        <c:lblOffset val="100"/>
        <c:tickLblSkip val="1"/>
        <c:tickMarkSkip val="1"/>
      </c:catAx>
      <c:valAx>
        <c:axId val="258441984"/>
        <c:scaling>
          <c:orientation val="minMax"/>
          <c:max val="0.8"/>
          <c:min val="0.4"/>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425984"/>
        <c:crosses val="autoZero"/>
        <c:crossBetween val="midCat"/>
        <c:majorUnit val="0.1"/>
        <c:minorUnit val="0.1"/>
      </c:valAx>
      <c:spPr>
        <a:noFill/>
        <a:ln w="12700">
          <a:noFill/>
          <a:prstDash val="solid"/>
        </a:ln>
      </c:spPr>
    </c:plotArea>
    <c:legend>
      <c:legendPos val="r"/>
      <c:layout>
        <c:manualLayout>
          <c:xMode val="edge"/>
          <c:yMode val="edge"/>
          <c:x val="0.13337242182302061"/>
          <c:y val="0.72878958333333377"/>
          <c:w val="0.7344018213572856"/>
          <c:h val="6.4565625000000057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88.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年陕西省网民使用金融理财</a:t>
            </a:r>
            <a:r>
              <a:rPr lang="en-US" sz="1200" b="1"/>
              <a:t>APP</a:t>
            </a:r>
            <a:r>
              <a:rPr lang="zh-CN" altLang="en-US" sz="1200" b="1"/>
              <a:t>单机使用天数</a:t>
            </a:r>
            <a:endParaRPr lang="zh-CN" sz="1200" b="1"/>
          </a:p>
        </c:rich>
      </c:tx>
      <c:spPr>
        <a:noFill/>
        <a:ln w="25400">
          <a:noFill/>
        </a:ln>
      </c:spPr>
    </c:title>
    <c:plotArea>
      <c:layout>
        <c:manualLayout>
          <c:layoutTarget val="inner"/>
          <c:xMode val="edge"/>
          <c:yMode val="edge"/>
          <c:x val="7.6873336660013308E-2"/>
          <c:y val="0.19117848956663233"/>
          <c:w val="0.87651072854291368"/>
          <c:h val="0.44761388888888887"/>
        </c:manualLayout>
      </c:layout>
      <c:barChart>
        <c:barDir val="col"/>
        <c:grouping val="clustered"/>
        <c:ser>
          <c:idx val="1"/>
          <c:order val="0"/>
          <c:tx>
            <c:strRef>
              <c:f>'05-移动端十大类APP网络使用黏性'!$A$131</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'05-移动端十大类APP网络使用黏性'!$B$130:$M$130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'05-移动端十大类APP网络使用黏性'!$B$131:$M$131</c:f>
              <c:numCache>
                <c:formatCode>General</c:formatCode>
                <c:ptCount val="12"/>
                <c:pt idx="0">
                  <c:v>9.1300000000000008</c:v>
                </c:pt>
                <c:pt idx="1">
                  <c:v>8.17</c:v>
                </c:pt>
                <c:pt idx="2">
                  <c:v>9.16</c:v>
                </c:pt>
                <c:pt idx="3">
                  <c:v>8.5400000000000009</c:v>
                </c:pt>
                <c:pt idx="4">
                  <c:v>8.99</c:v>
                </c:pt>
                <c:pt idx="5">
                  <c:v>8.64</c:v>
                </c:pt>
                <c:pt idx="6">
                  <c:v>8.98</c:v>
                </c:pt>
                <c:pt idx="7">
                  <c:v>8.9600000000000026</c:v>
                </c:pt>
                <c:pt idx="8">
                  <c:v>8.74</c:v>
                </c:pt>
                <c:pt idx="9">
                  <c:v>8.64</c:v>
                </c:pt>
                <c:pt idx="10">
                  <c:v>8.69</c:v>
                </c:pt>
                <c:pt idx="11">
                  <c:v>9.3600000000000048</c:v>
                </c:pt>
              </c:numCache>
            </c:numRef>
          </c:val>
          <c:extLst xmlns:c16r2="http://schemas.microsoft.com/office/drawing/2015/06/chart">
            <c:ext xmlns:c16="http://schemas.microsoft.com/office/drawing/2014/chart" uri="{C3380CC4-5D6E-409C-BE32-E72D297353CC}">
              <c16:uniqueId val="{00000000-29F3-489B-9EEB-A5F153295EF6}"/>
            </c:ext>
          </c:extLst>
        </c:ser>
        <c:dLbls>
          <c:showVal val="1"/>
        </c:dLbls>
        <c:gapWidth val="60"/>
        <c:axId val="258512000"/>
        <c:axId val="258513536"/>
      </c:barChart>
      <c:lineChart>
        <c:grouping val="standard"/>
        <c:ser>
          <c:idx val="0"/>
          <c:order val="1"/>
          <c:tx>
            <c:strRef>
              <c:f>'05-移动端十大类APP网络使用黏性'!$A$132</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F3-489B-9EEB-A5F153295EF6}"/>
                </c:ext>
              </c:extLst>
            </c:dLbl>
            <c:dLbl>
              <c:idx val="1"/>
              <c:layout>
                <c:manualLayout>
                  <c:x val="-6.3462450099800449E-2"/>
                  <c:y val="-5.181944444444448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9F3-489B-9EEB-A5F153295EF6}"/>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9F3-489B-9EEB-A5F153295EF6}"/>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9F3-489B-9EEB-A5F153295EF6}"/>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'05-移动端十大类APP网络使用黏性'!$B$130:$M$130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'05-移动端十大类APP网络使用黏性'!$B$132:$M$132</c:f>
              <c:numCache>
                <c:formatCode>0.0%</c:formatCode>
                <c:ptCount val="12"/>
                <c:pt idx="1">
                  <c:v>-0.10514786418400884</c:v>
                </c:pt>
                <c:pt idx="2">
                  <c:v>0.12117503059975521</c:v>
                </c:pt>
                <c:pt idx="3">
                  <c:v>-6.7685589519650757E-2</c:v>
                </c:pt>
                <c:pt idx="4">
                  <c:v>5.2693208430913532E-2</c:v>
                </c:pt>
                <c:pt idx="5">
                  <c:v>-3.893214682981086E-2</c:v>
                </c:pt>
                <c:pt idx="6">
                  <c:v>3.935185185185186E-2</c:v>
                </c:pt>
                <c:pt idx="7">
                  <c:v>-2.2271714922048619E-3</c:v>
                </c:pt>
                <c:pt idx="8">
                  <c:v>-2.4553571428571532E-2</c:v>
                </c:pt>
                <c:pt idx="9">
                  <c:v>-1.1441647597253969E-2</c:v>
                </c:pt>
                <c:pt idx="10">
                  <c:v>5.7870370370369795E-3</c:v>
                </c:pt>
                <c:pt idx="11">
                  <c:v>7.7100115074798525E-2</c:v>
                </c:pt>
              </c:numCache>
            </c:numRef>
          </c:val>
          <c:extLst xmlns:c16r2="http://schemas.microsoft.com/office/drawing/2015/06/chart">
            <c:ext xmlns:c16="http://schemas.microsoft.com/office/drawing/2014/chart" uri="{C3380CC4-5D6E-409C-BE32-E72D297353CC}">
              <c16:uniqueId val="{00000005-29F3-489B-9EEB-A5F153295EF6}"/>
            </c:ext>
          </c:extLst>
        </c:ser>
        <c:dLbls>
          <c:showVal val="1"/>
        </c:dLbls>
        <c:marker val="1"/>
        <c:axId val="258523520"/>
        <c:axId val="258525056"/>
      </c:lineChart>
      <c:catAx>
        <c:axId val="25851200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513536"/>
        <c:crosses val="autoZero"/>
        <c:lblAlgn val="ctr"/>
        <c:lblOffset val="100"/>
        <c:tickLblSkip val="1"/>
        <c:tickMarkSkip val="1"/>
      </c:catAx>
      <c:valAx>
        <c:axId val="258513536"/>
        <c:scaling>
          <c:orientation val="minMax"/>
          <c:max val="1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512000"/>
        <c:crosses val="autoZero"/>
        <c:crossBetween val="between"/>
        <c:majorUnit val="5"/>
        <c:minorUnit val="1"/>
      </c:valAx>
      <c:catAx>
        <c:axId val="258523520"/>
        <c:scaling>
          <c:orientation val="minMax"/>
        </c:scaling>
        <c:delete val="1"/>
        <c:axPos val="b"/>
        <c:numFmt formatCode="General" sourceLinked="1"/>
        <c:tickLblPos val="none"/>
        <c:crossAx val="258525056"/>
        <c:crosses val="autoZero"/>
        <c:lblAlgn val="ctr"/>
        <c:lblOffset val="100"/>
      </c:catAx>
      <c:valAx>
        <c:axId val="258525056"/>
        <c:scaling>
          <c:orientation val="minMax"/>
          <c:max val="0.30000000000000027"/>
          <c:min val="-1.7"/>
        </c:scaling>
        <c:axPos val="r"/>
        <c:numFmt formatCode="General" sourceLinked="1"/>
        <c:majorTickMark val="none"/>
        <c:tickLblPos val="none"/>
        <c:spPr>
          <a:ln w="3175">
            <a:noFill/>
            <a:prstDash val="solid"/>
          </a:ln>
        </c:spPr>
        <c:crossAx val="258523520"/>
        <c:crosses val="max"/>
        <c:crossBetween val="between"/>
        <c:majorUnit val="0.29000000000000031"/>
        <c:minorUnit val="0.29000000000000031"/>
      </c:valAx>
      <c:spPr>
        <a:noFill/>
        <a:ln w="12700">
          <a:noFill/>
          <a:prstDash val="solid"/>
        </a:ln>
      </c:spPr>
    </c:plotArea>
    <c:legend>
      <c:legendPos val="r"/>
      <c:layout>
        <c:manualLayout>
          <c:xMode val="edge"/>
          <c:yMode val="edge"/>
          <c:x val="0.12809152528276777"/>
          <c:y val="0.73826805555555564"/>
          <c:w val="0.78985335166437565"/>
          <c:h val="6.8173611111111171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金融理财</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8.2154233200266213E-2"/>
          <c:y val="0.18738072228589481"/>
          <c:w val="0.87387017631403918"/>
          <c:h val="0.44641145833333329"/>
        </c:manualLayout>
      </c:layout>
      <c:barChart>
        <c:barDir val="col"/>
        <c:grouping val="clustered"/>
        <c:ser>
          <c:idx val="1"/>
          <c:order val="0"/>
          <c:tx>
            <c:strRef>
              <c:f>'05-移动端十大类APP网络使用黏性'!$A$136</c:f>
              <c:strCache>
                <c:ptCount val="1"/>
                <c:pt idx="0">
                  <c:v>单机单日使用次数（次）</c:v>
                </c:pt>
              </c:strCache>
            </c:strRef>
          </c:tx>
          <c:spPr>
            <a:solidFill>
              <a:srgbClr val="B2D234"/>
            </a:solidFill>
            <a:ln w="12700">
              <a:noFill/>
              <a:prstDash val="solid"/>
            </a:ln>
          </c:spPr>
          <c:dLbls>
            <c:dLbl>
              <c:idx val="11"/>
              <c:layout>
                <c:manualLayout>
                  <c:x val="-2.6405522288755856E-3"/>
                  <c:y val="8.8194444444444561E-3"/>
                </c:manualLayout>
              </c:layout>
              <c:showVal val="1"/>
            </c:dLbl>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'05-移动端十大类APP网络使用黏性'!$B$135:$M$135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'05-移动端十大类APP网络使用黏性'!$B$136:$M$136</c:f>
              <c:numCache>
                <c:formatCode>General</c:formatCode>
                <c:ptCount val="12"/>
                <c:pt idx="0">
                  <c:v>3.15</c:v>
                </c:pt>
                <c:pt idx="1">
                  <c:v>2.62</c:v>
                </c:pt>
                <c:pt idx="2">
                  <c:v>2.8499999999999988</c:v>
                </c:pt>
                <c:pt idx="3">
                  <c:v>2.9099999999999997</c:v>
                </c:pt>
                <c:pt idx="4">
                  <c:v>2.9</c:v>
                </c:pt>
                <c:pt idx="5">
                  <c:v>3.02</c:v>
                </c:pt>
                <c:pt idx="6">
                  <c:v>3.13</c:v>
                </c:pt>
                <c:pt idx="7">
                  <c:v>3.29</c:v>
                </c:pt>
                <c:pt idx="8">
                  <c:v>3.3899999999999997</c:v>
                </c:pt>
                <c:pt idx="9">
                  <c:v>3.62</c:v>
                </c:pt>
                <c:pt idx="10">
                  <c:v>3.8499999999999988</c:v>
                </c:pt>
                <c:pt idx="11">
                  <c:v>4.38</c:v>
                </c:pt>
              </c:numCache>
            </c:numRef>
          </c:val>
          <c:extLst xmlns:c16r2="http://schemas.microsoft.com/office/drawing/2015/06/chart">
            <c:ext xmlns:c16="http://schemas.microsoft.com/office/drawing/2014/chart" uri="{C3380CC4-5D6E-409C-BE32-E72D297353CC}">
              <c16:uniqueId val="{00000000-1C2D-4EF4-92C8-D1C16C19EEE2}"/>
            </c:ext>
          </c:extLst>
        </c:ser>
        <c:dLbls>
          <c:showVal val="1"/>
        </c:dLbls>
        <c:gapWidth val="60"/>
        <c:axId val="258394752"/>
        <c:axId val="258400640"/>
      </c:barChart>
      <c:lineChart>
        <c:grouping val="standard"/>
        <c:ser>
          <c:idx val="0"/>
          <c:order val="1"/>
          <c:tx>
            <c:strRef>
              <c:f>'05-移动端十大类APP网络使用黏性'!$A$137</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2D-4EF4-92C8-D1C16C19EEE2}"/>
                </c:ext>
              </c:extLst>
            </c:dLbl>
            <c:dLbl>
              <c:idx val="1"/>
              <c:layout>
                <c:manualLayout>
                  <c:x val="-5.5540793413173674E-2"/>
                  <c:y val="-6.06388888888888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2D-4EF4-92C8-D1C16C19EEE2}"/>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2D-4EF4-92C8-D1C16C19EEE2}"/>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2D-4EF4-92C8-D1C16C19EEE2}"/>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'05-移动端十大类APP网络使用黏性'!$B$135:$M$135</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'05-移动端十大类APP网络使用黏性'!$B$137:$M$137</c:f>
              <c:numCache>
                <c:formatCode>0.0%</c:formatCode>
                <c:ptCount val="12"/>
                <c:pt idx="1">
                  <c:v>-0.16825396825396818</c:v>
                </c:pt>
                <c:pt idx="2">
                  <c:v>8.7786259541984699E-2</c:v>
                </c:pt>
                <c:pt idx="3">
                  <c:v>2.1052631578947441E-2</c:v>
                </c:pt>
                <c:pt idx="4">
                  <c:v>-3.4364261168385868E-3</c:v>
                </c:pt>
                <c:pt idx="5">
                  <c:v>4.1379310344827683E-2</c:v>
                </c:pt>
                <c:pt idx="6">
                  <c:v>3.642384105960253E-2</c:v>
                </c:pt>
                <c:pt idx="7">
                  <c:v>5.1118210862619813E-2</c:v>
                </c:pt>
                <c:pt idx="8">
                  <c:v>3.0395136778115471E-2</c:v>
                </c:pt>
                <c:pt idx="9">
                  <c:v>6.7846607669616504E-2</c:v>
                </c:pt>
                <c:pt idx="10">
                  <c:v>6.3535911602209838E-2</c:v>
                </c:pt>
                <c:pt idx="11">
                  <c:v>0.13766233766233776</c:v>
                </c:pt>
              </c:numCache>
            </c:numRef>
          </c:val>
          <c:extLst xmlns:c16r2="http://schemas.microsoft.com/office/drawing/2015/06/chart">
            <c:ext xmlns:c16="http://schemas.microsoft.com/office/drawing/2014/chart" uri="{C3380CC4-5D6E-409C-BE32-E72D297353CC}">
              <c16:uniqueId val="{00000005-1C2D-4EF4-92C8-D1C16C19EEE2}"/>
            </c:ext>
          </c:extLst>
        </c:ser>
        <c:dLbls>
          <c:showVal val="1"/>
        </c:dLbls>
        <c:marker val="1"/>
        <c:axId val="258402176"/>
        <c:axId val="258403712"/>
      </c:lineChart>
      <c:catAx>
        <c:axId val="25839475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400640"/>
        <c:crosses val="autoZero"/>
        <c:lblAlgn val="ctr"/>
        <c:lblOffset val="100"/>
        <c:tickLblSkip val="1"/>
        <c:tickMarkSkip val="1"/>
      </c:catAx>
      <c:valAx>
        <c:axId val="258400640"/>
        <c:scaling>
          <c:orientation val="minMax"/>
          <c:max val="7"/>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394752"/>
        <c:crosses val="autoZero"/>
        <c:crossBetween val="between"/>
        <c:majorUnit val="2"/>
        <c:minorUnit val="1"/>
      </c:valAx>
      <c:catAx>
        <c:axId val="258402176"/>
        <c:scaling>
          <c:orientation val="minMax"/>
        </c:scaling>
        <c:delete val="1"/>
        <c:axPos val="b"/>
        <c:numFmt formatCode="General" sourceLinked="1"/>
        <c:tickLblPos val="none"/>
        <c:crossAx val="258403712"/>
        <c:crosses val="autoZero"/>
        <c:lblAlgn val="ctr"/>
        <c:lblOffset val="100"/>
      </c:catAx>
      <c:valAx>
        <c:axId val="258403712"/>
        <c:scaling>
          <c:orientation val="minMax"/>
          <c:max val="0.30000000000000027"/>
          <c:min val="-1.7"/>
        </c:scaling>
        <c:axPos val="r"/>
        <c:numFmt formatCode="General" sourceLinked="1"/>
        <c:majorTickMark val="none"/>
        <c:tickLblPos val="none"/>
        <c:spPr>
          <a:ln w="3175">
            <a:noFill/>
            <a:prstDash val="solid"/>
          </a:ln>
        </c:spPr>
        <c:crossAx val="258402176"/>
        <c:crosses val="max"/>
        <c:crossBetween val="between"/>
        <c:majorUnit val="0.29000000000000031"/>
        <c:minorUnit val="0.29000000000000031"/>
      </c:valAx>
      <c:spPr>
        <a:noFill/>
        <a:ln w="12700">
          <a:noFill/>
          <a:prstDash val="solid"/>
        </a:ln>
      </c:spPr>
    </c:plotArea>
    <c:legend>
      <c:legendPos val="r"/>
      <c:layout>
        <c:manualLayout>
          <c:xMode val="edge"/>
          <c:yMode val="edge"/>
          <c:x val="0.11488876413838989"/>
          <c:y val="0.73106631944444445"/>
          <c:w val="0.78985335166437565"/>
          <c:h val="7.4186805555555541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lgn="ctr" rtl="0">
              <a:defRPr sz="1200" b="1"/>
            </a:pPr>
            <a:r>
              <a:rPr lang="en-US" sz="1200" b="1"/>
              <a:t>2017</a:t>
            </a:r>
            <a:r>
              <a:rPr lang="zh-CN" sz="1200" b="1"/>
              <a:t>年陕西省网民家庭月收入分布</a:t>
            </a:r>
          </a:p>
        </c:rich>
      </c:tx>
      <c:layout>
        <c:manualLayout>
          <c:xMode val="edge"/>
          <c:yMode val="edge"/>
          <c:x val="0.25976463739188288"/>
          <c:y val="2.6458333333333341E-2"/>
        </c:manualLayout>
      </c:layout>
    </c:title>
    <c:plotArea>
      <c:layout>
        <c:manualLayout>
          <c:layoutTarget val="inner"/>
          <c:xMode val="edge"/>
          <c:yMode val="edge"/>
          <c:x val="0.20870432262464253"/>
          <c:y val="0.15161666666666671"/>
          <c:w val="0.75282235944879028"/>
          <c:h val="0.57266388888888942"/>
        </c:manualLayout>
      </c:layout>
      <c:barChart>
        <c:barDir val="bar"/>
        <c:grouping val="clustered"/>
        <c:ser>
          <c:idx val="1"/>
          <c:order val="0"/>
          <c:spPr>
            <a:solidFill>
              <a:srgbClr val="B2D234"/>
            </a:solidFill>
            <a:ln w="12700">
              <a:noFill/>
            </a:ln>
          </c:spPr>
          <c:dLbls>
            <c:numFmt formatCode="0.0%" sourceLinked="0"/>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网民规模与基本属性PC端!$E$210:$E$215</c:f>
              <c:strCache>
                <c:ptCount val="6"/>
                <c:pt idx="0">
                  <c:v>2000元以下</c:v>
                </c:pt>
                <c:pt idx="1">
                  <c:v>2000-4000元</c:v>
                </c:pt>
                <c:pt idx="2">
                  <c:v>4000-6000元</c:v>
                </c:pt>
                <c:pt idx="3">
                  <c:v>6000-10000元</c:v>
                </c:pt>
                <c:pt idx="4">
                  <c:v>10000-15000元</c:v>
                </c:pt>
                <c:pt idx="5">
                  <c:v>15000元以上</c:v>
                </c:pt>
              </c:strCache>
            </c:strRef>
          </c:cat>
          <c:val>
            <c:numRef>
              <c:f>网民规模与基本属性PC端!$F$210:$F$215</c:f>
              <c:numCache>
                <c:formatCode>0.0%</c:formatCode>
                <c:ptCount val="6"/>
                <c:pt idx="0">
                  <c:v>0.14669479606188471</c:v>
                </c:pt>
                <c:pt idx="1">
                  <c:v>0.34353023909985952</c:v>
                </c:pt>
                <c:pt idx="2">
                  <c:v>0.23895921237693402</c:v>
                </c:pt>
                <c:pt idx="3">
                  <c:v>0.1451476793248945</c:v>
                </c:pt>
                <c:pt idx="4">
                  <c:v>6.4697609001406531E-2</c:v>
                </c:pt>
                <c:pt idx="5">
                  <c:v>6.0970464135021128E-2</c:v>
                </c:pt>
              </c:numCache>
            </c:numRef>
          </c:val>
          <c:extLst xmlns:c16r2="http://schemas.microsoft.com/office/drawing/2015/06/chart">
            <c:ext xmlns:c16="http://schemas.microsoft.com/office/drawing/2014/chart" uri="{C3380CC4-5D6E-409C-BE32-E72D297353CC}">
              <c16:uniqueId val="{00000000-BAC5-42DE-827E-4CF1C9550F5C}"/>
            </c:ext>
          </c:extLst>
        </c:ser>
        <c:dLbls>
          <c:showVal val="1"/>
        </c:dLbls>
        <c:gapWidth val="60"/>
        <c:axId val="208975360"/>
        <c:axId val="208986112"/>
      </c:barChart>
      <c:catAx>
        <c:axId val="208975360"/>
        <c:scaling>
          <c:orientation val="minMax"/>
        </c:scaling>
        <c:axPos val="l"/>
        <c:numFmt formatCode="General" sourceLinked="0"/>
        <c:majorTickMark val="none"/>
        <c:tickLblPos val="nextTo"/>
        <c:spPr>
          <a:ln w="12700">
            <a:solidFill>
              <a:schemeClr val="tx1">
                <a:lumMod val="50000"/>
                <a:lumOff val="50000"/>
              </a:schemeClr>
            </a:solidFill>
          </a:ln>
        </c:spPr>
        <c:crossAx val="208986112"/>
        <c:crosses val="autoZero"/>
        <c:auto val="1"/>
        <c:lblAlgn val="ctr"/>
        <c:lblOffset val="100"/>
      </c:catAx>
      <c:valAx>
        <c:axId val="208986112"/>
        <c:scaling>
          <c:orientation val="minMax"/>
          <c:max val="0.4"/>
          <c:min val="0"/>
        </c:scaling>
        <c:delete val="1"/>
        <c:axPos val="b"/>
        <c:majorGridlines>
          <c:spPr>
            <a:ln>
              <a:noFill/>
            </a:ln>
          </c:spPr>
        </c:majorGridlines>
        <c:numFmt formatCode="0%" sourceLinked="0"/>
        <c:majorTickMark val="none"/>
        <c:tickLblPos val="none"/>
        <c:crossAx val="208975360"/>
        <c:crosses val="autoZero"/>
        <c:crossBetween val="between"/>
        <c:majorUnit val="0.1"/>
      </c:valAx>
      <c:spPr>
        <a:ln>
          <a:noFill/>
        </a:ln>
      </c:spPr>
    </c:plotArea>
    <c:plotVisOnly val="1"/>
    <c:dispBlanksAs val="gap"/>
  </c:chart>
  <c:spPr>
    <a:ln w="12700">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externalData r:id="rId1"/>
  <c:userShapes r:id="rId2"/>
</c:chartSpace>
</file>

<file path=word/charts/chart90.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金融理财</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8.2154441117764557E-2"/>
          <c:y val="0.17857465277777776"/>
          <c:w val="0.87122962408516358"/>
          <c:h val="0.45523090277777778"/>
        </c:manualLayout>
      </c:layout>
      <c:barChart>
        <c:barDir val="col"/>
        <c:grouping val="clustered"/>
        <c:ser>
          <c:idx val="1"/>
          <c:order val="0"/>
          <c:tx>
            <c:strRef>
              <c:f>'05-移动端十大类APP网络使用黏性'!$A$141</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'05-移动端十大类APP网络使用黏性'!$B$140:$M$140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'05-移动端十大类APP网络使用黏性'!$B$141:$M$141</c:f>
              <c:numCache>
                <c:formatCode>General</c:formatCode>
                <c:ptCount val="12"/>
                <c:pt idx="0">
                  <c:v>4.18</c:v>
                </c:pt>
                <c:pt idx="1">
                  <c:v>3.9299999999999997</c:v>
                </c:pt>
                <c:pt idx="2">
                  <c:v>3.8099999999999987</c:v>
                </c:pt>
                <c:pt idx="3">
                  <c:v>3.84</c:v>
                </c:pt>
                <c:pt idx="4">
                  <c:v>3.7</c:v>
                </c:pt>
                <c:pt idx="5">
                  <c:v>3.82</c:v>
                </c:pt>
                <c:pt idx="6">
                  <c:v>3.38</c:v>
                </c:pt>
                <c:pt idx="7">
                  <c:v>3.42</c:v>
                </c:pt>
                <c:pt idx="8">
                  <c:v>3.27</c:v>
                </c:pt>
                <c:pt idx="9">
                  <c:v>3.02</c:v>
                </c:pt>
                <c:pt idx="10">
                  <c:v>3.07</c:v>
                </c:pt>
                <c:pt idx="11">
                  <c:v>3.12</c:v>
                </c:pt>
              </c:numCache>
            </c:numRef>
          </c:val>
          <c:extLst xmlns:c16r2="http://schemas.microsoft.com/office/drawing/2015/06/chart">
            <c:ext xmlns:c16="http://schemas.microsoft.com/office/drawing/2014/chart" uri="{C3380CC4-5D6E-409C-BE32-E72D297353CC}">
              <c16:uniqueId val="{00000000-D1A1-421A-BD83-803129CAB296}"/>
            </c:ext>
          </c:extLst>
        </c:ser>
        <c:dLbls>
          <c:showVal val="1"/>
        </c:dLbls>
        <c:gapWidth val="60"/>
        <c:axId val="258572672"/>
        <c:axId val="258574208"/>
      </c:barChart>
      <c:lineChart>
        <c:grouping val="standard"/>
        <c:ser>
          <c:idx val="0"/>
          <c:order val="1"/>
          <c:tx>
            <c:strRef>
              <c:f>'05-移动端十大类APP网络使用黏性'!$A$142</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A1-421A-BD83-803129CAB296}"/>
                </c:ext>
              </c:extLst>
            </c:dLbl>
            <c:dLbl>
              <c:idx val="1"/>
              <c:layout>
                <c:manualLayout>
                  <c:x val="-7.6665419161676643E-2"/>
                  <c:y val="-4.30002525252524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A1-421A-BD83-803129CAB296}"/>
                </c:ext>
              </c:extLst>
            </c:dLbl>
            <c:dLbl>
              <c:idx val="2"/>
              <c:layout>
                <c:manualLayout>
                  <c:x val="-5.977898369926813E-2"/>
                  <c:y val="-3.832272727272724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A1-421A-BD83-803129CAB296}"/>
                </c:ext>
              </c:extLst>
            </c:dLbl>
            <c:dLbl>
              <c:idx val="3"/>
              <c:layout>
                <c:manualLayout>
                  <c:x val="-5.3778068862275451E-2"/>
                  <c:y val="-5.555202020202026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A1-421A-BD83-803129CAB296}"/>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'05-移动端十大类APP网络使用黏性'!$B$140:$M$140</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'05-移动端十大类APP网络使用黏性'!$B$142:$M$142</c:f>
              <c:numCache>
                <c:formatCode>0.0%</c:formatCode>
                <c:ptCount val="12"/>
                <c:pt idx="1">
                  <c:v>-5.9808612440191387E-2</c:v>
                </c:pt>
                <c:pt idx="2">
                  <c:v>-3.0534351145038195E-2</c:v>
                </c:pt>
                <c:pt idx="3">
                  <c:v>7.8740157480314821E-3</c:v>
                </c:pt>
                <c:pt idx="4">
                  <c:v>-3.6458333333333259E-2</c:v>
                </c:pt>
                <c:pt idx="5">
                  <c:v>3.2432432432432351E-2</c:v>
                </c:pt>
                <c:pt idx="6">
                  <c:v>-0.11518324607329854</c:v>
                </c:pt>
                <c:pt idx="7">
                  <c:v>1.1834319526627281E-2</c:v>
                </c:pt>
                <c:pt idx="8">
                  <c:v>-4.3859649122807043E-2</c:v>
                </c:pt>
                <c:pt idx="9">
                  <c:v>-7.6452599388379228E-2</c:v>
                </c:pt>
                <c:pt idx="10">
                  <c:v>1.6556291390728457E-2</c:v>
                </c:pt>
                <c:pt idx="11">
                  <c:v>1.6286644951140072E-2</c:v>
                </c:pt>
              </c:numCache>
            </c:numRef>
          </c:val>
          <c:extLst xmlns:c16r2="http://schemas.microsoft.com/office/drawing/2015/06/chart">
            <c:ext xmlns:c16="http://schemas.microsoft.com/office/drawing/2014/chart" uri="{C3380CC4-5D6E-409C-BE32-E72D297353CC}">
              <c16:uniqueId val="{00000005-D1A1-421A-BD83-803129CAB296}"/>
            </c:ext>
          </c:extLst>
        </c:ser>
        <c:dLbls>
          <c:showVal val="1"/>
        </c:dLbls>
        <c:marker val="1"/>
        <c:axId val="258575744"/>
        <c:axId val="258684032"/>
      </c:lineChart>
      <c:catAx>
        <c:axId val="25857267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574208"/>
        <c:crosses val="autoZero"/>
        <c:lblAlgn val="ctr"/>
        <c:lblOffset val="100"/>
        <c:tickLblSkip val="1"/>
        <c:tickMarkSkip val="1"/>
      </c:catAx>
      <c:valAx>
        <c:axId val="258574208"/>
        <c:scaling>
          <c:orientation val="minMax"/>
          <c:max val="8"/>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572672"/>
        <c:crosses val="autoZero"/>
        <c:crossBetween val="between"/>
        <c:majorUnit val="2"/>
      </c:valAx>
      <c:catAx>
        <c:axId val="258575744"/>
        <c:scaling>
          <c:orientation val="minMax"/>
        </c:scaling>
        <c:delete val="1"/>
        <c:axPos val="b"/>
        <c:numFmt formatCode="General" sourceLinked="1"/>
        <c:tickLblPos val="none"/>
        <c:crossAx val="258684032"/>
        <c:crosses val="autoZero"/>
        <c:lblAlgn val="ctr"/>
        <c:lblOffset val="100"/>
      </c:catAx>
      <c:valAx>
        <c:axId val="258684032"/>
        <c:scaling>
          <c:orientation val="minMax"/>
          <c:max val="1.5"/>
          <c:min val="-6"/>
        </c:scaling>
        <c:axPos val="r"/>
        <c:numFmt formatCode="General" sourceLinked="1"/>
        <c:majorTickMark val="none"/>
        <c:tickLblPos val="none"/>
        <c:spPr>
          <a:ln w="3175">
            <a:noFill/>
            <a:prstDash val="solid"/>
          </a:ln>
        </c:spPr>
        <c:crossAx val="258575744"/>
        <c:crosses val="max"/>
        <c:crossBetween val="between"/>
        <c:majorUnit val="0.29000000000000031"/>
        <c:minorUnit val="0.29000000000000031"/>
      </c:valAx>
      <c:spPr>
        <a:noFill/>
        <a:ln w="12700">
          <a:noFill/>
          <a:prstDash val="solid"/>
        </a:ln>
      </c:spPr>
    </c:plotArea>
    <c:legend>
      <c:legendPos val="r"/>
      <c:layout>
        <c:manualLayout>
          <c:xMode val="edge"/>
          <c:yMode val="edge"/>
          <c:x val="0.10960765968063872"/>
          <c:y val="0.73347187500000044"/>
          <c:w val="0.78985335166437565"/>
          <c:h val="6.9777083333333434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1.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网民常用金融理财类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21068591982701271"/>
          <c:y val="2.589104938271608E-2"/>
        </c:manualLayout>
      </c:layout>
    </c:title>
    <c:plotArea>
      <c:layout>
        <c:manualLayout>
          <c:layoutTarget val="inner"/>
          <c:xMode val="edge"/>
          <c:yMode val="edge"/>
          <c:x val="0.23503480036675836"/>
          <c:y val="0.14894969135802494"/>
          <c:w val="0.69723159956655834"/>
          <c:h val="0.5494163580246908"/>
        </c:manualLayout>
      </c:layout>
      <c:barChart>
        <c:barDir val="bar"/>
        <c:grouping val="clustered"/>
        <c:ser>
          <c:idx val="1"/>
          <c:order val="0"/>
          <c:tx>
            <c:strRef>
              <c:f>'06-移动端十大类APP-Top10'!$D$104</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layout/>
                <c15:showLeaderLines val="0"/>
              </c:ext>
            </c:extLst>
          </c:dLbls>
          <c:cat>
            <c:strRef>
              <c:f>'06-移动端十大类APP-Top10'!$C$105:$C$114</c:f>
              <c:strCache>
                <c:ptCount val="10"/>
                <c:pt idx="0">
                  <c:v>招商银行</c:v>
                </c:pt>
                <c:pt idx="1">
                  <c:v>农行掌上银行</c:v>
                </c:pt>
                <c:pt idx="2">
                  <c:v>东方财富网</c:v>
                </c:pt>
                <c:pt idx="3">
                  <c:v>工银融e联</c:v>
                </c:pt>
                <c:pt idx="4">
                  <c:v>中国工商银行</c:v>
                </c:pt>
                <c:pt idx="5">
                  <c:v>招商银行掌上生活</c:v>
                </c:pt>
                <c:pt idx="6">
                  <c:v>大智慧</c:v>
                </c:pt>
                <c:pt idx="7">
                  <c:v>同花顺</c:v>
                </c:pt>
                <c:pt idx="8">
                  <c:v>中国建设银行</c:v>
                </c:pt>
                <c:pt idx="9">
                  <c:v>支付宝</c:v>
                </c:pt>
              </c:strCache>
            </c:strRef>
          </c:cat>
          <c:val>
            <c:numRef>
              <c:f>'06-移动端十大类APP-Top10'!$D$105:$D$114</c:f>
              <c:numCache>
                <c:formatCode>0.00%</c:formatCode>
                <c:ptCount val="10"/>
                <c:pt idx="0">
                  <c:v>3.3099999999999997E-2</c:v>
                </c:pt>
                <c:pt idx="1">
                  <c:v>3.3500000000000002E-2</c:v>
                </c:pt>
                <c:pt idx="2">
                  <c:v>4.1000000000000002E-2</c:v>
                </c:pt>
                <c:pt idx="3">
                  <c:v>4.1599999999999998E-2</c:v>
                </c:pt>
                <c:pt idx="4">
                  <c:v>4.3800000000000013E-2</c:v>
                </c:pt>
                <c:pt idx="5">
                  <c:v>4.5500000000000013E-2</c:v>
                </c:pt>
                <c:pt idx="6">
                  <c:v>5.470000000000004E-2</c:v>
                </c:pt>
                <c:pt idx="7">
                  <c:v>7.9800000000000051E-2</c:v>
                </c:pt>
                <c:pt idx="8">
                  <c:v>8.5600000000000065E-2</c:v>
                </c:pt>
                <c:pt idx="9">
                  <c:v>0.67750000000000044</c:v>
                </c:pt>
              </c:numCache>
            </c:numRef>
          </c:val>
          <c:extLst xmlns:c16r2="http://schemas.microsoft.com/office/drawing/2015/06/chart">
            <c:ext xmlns:c16="http://schemas.microsoft.com/office/drawing/2014/chart" uri="{C3380CC4-5D6E-409C-BE32-E72D297353CC}">
              <c16:uniqueId val="{00000000-F503-4FDF-9BB1-9D2D0EF46583}"/>
            </c:ext>
          </c:extLst>
        </c:ser>
        <c:dLbls>
          <c:showVal val="1"/>
        </c:dLbls>
        <c:gapWidth val="60"/>
        <c:axId val="258713472"/>
        <c:axId val="258715008"/>
      </c:barChart>
      <c:catAx>
        <c:axId val="258713472"/>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58715008"/>
        <c:crosses val="autoZero"/>
        <c:auto val="1"/>
        <c:lblAlgn val="ctr"/>
        <c:lblOffset val="100"/>
      </c:catAx>
      <c:valAx>
        <c:axId val="258715008"/>
        <c:scaling>
          <c:orientation val="minMax"/>
          <c:max val="0.8"/>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58713472"/>
        <c:crosses val="autoZero"/>
        <c:crossBetween val="between"/>
        <c:majorUnit val="0.2"/>
        <c:minorUnit val="0.1"/>
      </c:valAx>
      <c:spPr>
        <a:ln>
          <a:noFill/>
        </a:ln>
      </c:spPr>
    </c:plotArea>
    <c:legend>
      <c:legendPos val="b"/>
      <c:layout>
        <c:manualLayout>
          <c:xMode val="edge"/>
          <c:yMode val="edge"/>
          <c:x val="0.38504761310711932"/>
          <c:y val="0.78091882716049432"/>
          <c:w val="0.28424626990080892"/>
          <c:h val="5.1621676702176891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92.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年陕西省网民使用电子商务</a:t>
            </a:r>
            <a:r>
              <a:rPr lang="en-US" sz="1200" b="1"/>
              <a:t>APP</a:t>
            </a:r>
            <a:r>
              <a:rPr lang="zh-CN" altLang="en-US" sz="1200" b="1"/>
              <a:t>月独立设备数比例</a:t>
            </a:r>
          </a:p>
        </c:rich>
      </c:tx>
      <c:spPr>
        <a:noFill/>
        <a:ln w="25400">
          <a:noFill/>
        </a:ln>
      </c:spPr>
    </c:title>
    <c:plotArea>
      <c:layout>
        <c:manualLayout>
          <c:layoutTarget val="inner"/>
          <c:xMode val="edge"/>
          <c:yMode val="edge"/>
          <c:x val="0.10855996340652035"/>
          <c:y val="0.16259409722222237"/>
          <c:w val="0.83162134065202964"/>
          <c:h val="0.47407222222222251"/>
        </c:manualLayout>
      </c:layout>
      <c:areaChart>
        <c:grouping val="standard"/>
        <c:ser>
          <c:idx val="1"/>
          <c:order val="0"/>
          <c:tx>
            <c:strRef>
              <c:f>'05-移动端十大类APP网络使用黏性'!$A$149</c:f>
              <c:strCache>
                <c:ptCount val="1"/>
                <c:pt idx="0">
                  <c:v>月独立设备数比例</c:v>
                </c:pt>
              </c:strCache>
            </c:strRef>
          </c:tx>
          <c:spPr>
            <a:solidFill>
              <a:srgbClr val="B2D234"/>
            </a:solidFill>
            <a:ln w="12700">
              <a:noFill/>
              <a:prstDash val="solid"/>
            </a:ln>
          </c:spPr>
          <c:dLbls>
            <c:dLbl>
              <c:idx val="0"/>
              <c:delete val="1"/>
            </c:dLbl>
            <c:dLbl>
              <c:idx val="1"/>
              <c:layout>
                <c:manualLayout>
                  <c:x val="7.9216566866267494E-3"/>
                  <c:y val="-0.1455208333333334"/>
                </c:manualLayout>
              </c:layout>
              <c:showVal val="1"/>
            </c:dLbl>
            <c:dLbl>
              <c:idx val="2"/>
              <c:delete val="1"/>
            </c:dLbl>
            <c:dLbl>
              <c:idx val="3"/>
              <c:layout>
                <c:manualLayout>
                  <c:x val="-2.6405522288755856E-3"/>
                  <c:y val="-0.1455208333333334"/>
                </c:manualLayout>
              </c:layout>
              <c:showVal val="1"/>
            </c:dLbl>
            <c:dLbl>
              <c:idx val="4"/>
              <c:delete val="1"/>
            </c:dLbl>
            <c:dLbl>
              <c:idx val="5"/>
              <c:layout>
                <c:manualLayout>
                  <c:x val="0"/>
                  <c:y val="-0.18079861111111128"/>
                </c:manualLayout>
              </c:layout>
              <c:showVal val="1"/>
            </c:dLbl>
            <c:dLbl>
              <c:idx val="6"/>
              <c:delete val="1"/>
            </c:dLbl>
            <c:dLbl>
              <c:idx val="7"/>
              <c:layout>
                <c:manualLayout>
                  <c:x val="-2.6405522288755856E-3"/>
                  <c:y val="-0.22489583333333341"/>
                </c:manualLayout>
              </c:layout>
              <c:showVal val="1"/>
            </c:dLbl>
            <c:dLbl>
              <c:idx val="8"/>
              <c:delete val="1"/>
            </c:dLbl>
            <c:dLbl>
              <c:idx val="9"/>
              <c:layout>
                <c:manualLayout>
                  <c:x val="-1.0562208915502337E-2"/>
                  <c:y val="-0.22048611111111119"/>
                </c:manualLayout>
              </c:layout>
              <c:showVal val="1"/>
            </c:dLbl>
            <c:dLbl>
              <c:idx val="10"/>
              <c:delete val="1"/>
            </c:dLbl>
            <c:dLbl>
              <c:idx val="11"/>
              <c:layout>
                <c:manualLayout>
                  <c:x val="0"/>
                  <c:y val="-0.22048611111111122"/>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'05-移动端十大类APP网络使用黏性'!$B$148:$M$148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'05-移动端十大类APP网络使用黏性'!$B$149:$M$149</c:f>
              <c:numCache>
                <c:formatCode>0.00%</c:formatCode>
                <c:ptCount val="12"/>
                <c:pt idx="0">
                  <c:v>0.57640135738220877</c:v>
                </c:pt>
                <c:pt idx="1">
                  <c:v>0.58260280958220467</c:v>
                </c:pt>
                <c:pt idx="2">
                  <c:v>0.58222000546272856</c:v>
                </c:pt>
                <c:pt idx="3">
                  <c:v>0.58332988563491828</c:v>
                </c:pt>
                <c:pt idx="4">
                  <c:v>0.60417742150658693</c:v>
                </c:pt>
                <c:pt idx="5">
                  <c:v>0.61251856029650431</c:v>
                </c:pt>
                <c:pt idx="6">
                  <c:v>0.64225972912104923</c:v>
                </c:pt>
                <c:pt idx="7">
                  <c:v>0.69445618789774055</c:v>
                </c:pt>
                <c:pt idx="8">
                  <c:v>0.69253118839822159</c:v>
                </c:pt>
                <c:pt idx="9">
                  <c:v>0.69995414972600278</c:v>
                </c:pt>
                <c:pt idx="10">
                  <c:v>0.73162916489339835</c:v>
                </c:pt>
                <c:pt idx="11">
                  <c:v>0.68304458807738966</c:v>
                </c:pt>
              </c:numCache>
            </c:numRef>
          </c:val>
          <c:extLst xmlns:c16r2="http://schemas.microsoft.com/office/drawing/2015/06/chart">
            <c:ext xmlns:c16="http://schemas.microsoft.com/office/drawing/2014/chart" uri="{C3380CC4-5D6E-409C-BE32-E72D297353CC}">
              <c16:uniqueId val="{00000000-7956-4B99-B26D-B62D5CF9928E}"/>
            </c:ext>
          </c:extLst>
        </c:ser>
        <c:dLbls>
          <c:showVal val="1"/>
        </c:dLbls>
        <c:axId val="258781184"/>
        <c:axId val="258782720"/>
      </c:areaChart>
      <c:catAx>
        <c:axId val="258781184"/>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782720"/>
        <c:crosses val="autoZero"/>
        <c:lblAlgn val="ctr"/>
        <c:lblOffset val="100"/>
        <c:tickLblSkip val="1"/>
        <c:tickMarkSkip val="1"/>
      </c:catAx>
      <c:valAx>
        <c:axId val="258782720"/>
        <c:scaling>
          <c:orientation val="minMax"/>
          <c:max val="0.8"/>
          <c:min val="0.4"/>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781184"/>
        <c:crosses val="autoZero"/>
        <c:crossBetween val="midCat"/>
        <c:majorUnit val="0.1"/>
        <c:minorUnit val="0.1"/>
      </c:valAx>
      <c:spPr>
        <a:noFill/>
        <a:ln w="12700">
          <a:noFill/>
          <a:prstDash val="solid"/>
        </a:ln>
      </c:spPr>
    </c:plotArea>
    <c:legend>
      <c:legendPos val="r"/>
      <c:layout>
        <c:manualLayout>
          <c:xMode val="edge"/>
          <c:yMode val="edge"/>
          <c:x val="0.11224821190951437"/>
          <c:y val="0.74966458333333363"/>
          <c:w val="0.78985335166437565"/>
          <c:h val="5.6548064067966877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3.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en-US" sz="1200" b="1" i="0" u="none" strike="noStrike" baseline="0">
                <a:effectLst/>
              </a:rPr>
              <a:t>电子商务</a:t>
            </a:r>
            <a:r>
              <a:rPr lang="en-US" sz="1200" b="1"/>
              <a:t>APP</a:t>
            </a:r>
            <a:r>
              <a:rPr lang="zh-CN" altLang="en-US" sz="1200" b="1"/>
              <a:t>单机使用天数</a:t>
            </a:r>
            <a:endParaRPr lang="zh-CN" sz="1200" b="1"/>
          </a:p>
        </c:rich>
      </c:tx>
      <c:spPr>
        <a:noFill/>
        <a:ln w="25400">
          <a:noFill/>
        </a:ln>
      </c:spPr>
    </c:title>
    <c:plotArea>
      <c:layout>
        <c:manualLayout>
          <c:layoutTarget val="inner"/>
          <c:xMode val="edge"/>
          <c:yMode val="edge"/>
          <c:x val="7.6873336660013308E-2"/>
          <c:y val="0.16858897941518158"/>
          <c:w val="0.87651072854291368"/>
          <c:h val="0.47006354166666681"/>
        </c:manualLayout>
      </c:layout>
      <c:barChart>
        <c:barDir val="col"/>
        <c:grouping val="clustered"/>
        <c:ser>
          <c:idx val="1"/>
          <c:order val="0"/>
          <c:tx>
            <c:strRef>
              <c:f>'05-移动端十大类APP网络使用黏性'!$A$154</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'05-移动端十大类APP网络使用黏性'!$B$153:$M$153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'05-移动端十大类APP网络使用黏性'!$B$154:$M$154</c:f>
              <c:numCache>
                <c:formatCode>General</c:formatCode>
                <c:ptCount val="12"/>
                <c:pt idx="0">
                  <c:v>7.23</c:v>
                </c:pt>
                <c:pt idx="1">
                  <c:v>6.4</c:v>
                </c:pt>
                <c:pt idx="2">
                  <c:v>7.44</c:v>
                </c:pt>
                <c:pt idx="3">
                  <c:v>6.98</c:v>
                </c:pt>
                <c:pt idx="4">
                  <c:v>7.33</c:v>
                </c:pt>
                <c:pt idx="5">
                  <c:v>6.98</c:v>
                </c:pt>
                <c:pt idx="6">
                  <c:v>7.24</c:v>
                </c:pt>
                <c:pt idx="7">
                  <c:v>7.73</c:v>
                </c:pt>
                <c:pt idx="8">
                  <c:v>7.72</c:v>
                </c:pt>
                <c:pt idx="9">
                  <c:v>7.88</c:v>
                </c:pt>
                <c:pt idx="10">
                  <c:v>7.73</c:v>
                </c:pt>
                <c:pt idx="11">
                  <c:v>8.25</c:v>
                </c:pt>
              </c:numCache>
            </c:numRef>
          </c:val>
          <c:extLst xmlns:c16r2="http://schemas.microsoft.com/office/drawing/2015/06/chart">
            <c:ext xmlns:c16="http://schemas.microsoft.com/office/drawing/2014/chart" uri="{C3380CC4-5D6E-409C-BE32-E72D297353CC}">
              <c16:uniqueId val="{00000000-0A66-47A3-AA6F-5E387D19985B}"/>
            </c:ext>
          </c:extLst>
        </c:ser>
        <c:dLbls>
          <c:showVal val="1"/>
        </c:dLbls>
        <c:gapWidth val="60"/>
        <c:axId val="258636032"/>
        <c:axId val="258875392"/>
      </c:barChart>
      <c:lineChart>
        <c:grouping val="standard"/>
        <c:ser>
          <c:idx val="0"/>
          <c:order val="1"/>
          <c:tx>
            <c:strRef>
              <c:f>'05-移动端十大类APP网络使用黏性'!$A$155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66-47A3-AA6F-5E387D19985B}"/>
                </c:ext>
              </c:extLst>
            </c:dLbl>
            <c:dLbl>
              <c:idx val="1"/>
              <c:layout>
                <c:manualLayout>
                  <c:x val="-5.0259688955422502E-2"/>
                  <c:y val="-7.386805555555556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66-47A3-AA6F-5E387D19985B}"/>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66-47A3-AA6F-5E387D19985B}"/>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66-47A3-AA6F-5E387D19985B}"/>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'05-移动端十大类APP网络使用黏性'!$B$153:$M$153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'05-移动端十大类APP网络使用黏性'!$B$155:$M$155</c:f>
              <c:numCache>
                <c:formatCode>0.0%</c:formatCode>
                <c:ptCount val="12"/>
                <c:pt idx="1">
                  <c:v>-0.11479944674965432</c:v>
                </c:pt>
                <c:pt idx="2">
                  <c:v>0.16250000000000009</c:v>
                </c:pt>
                <c:pt idx="3">
                  <c:v>-6.1827956989247305E-2</c:v>
                </c:pt>
                <c:pt idx="4">
                  <c:v>5.014326647564471E-2</c:v>
                </c:pt>
                <c:pt idx="5">
                  <c:v>-4.7748976807639829E-2</c:v>
                </c:pt>
                <c:pt idx="6">
                  <c:v>3.7249283667621751E-2</c:v>
                </c:pt>
                <c:pt idx="7">
                  <c:v>6.7679558011049856E-2</c:v>
                </c:pt>
                <c:pt idx="8">
                  <c:v>-1.2936610608021979E-3</c:v>
                </c:pt>
                <c:pt idx="9">
                  <c:v>2.072538860103635E-2</c:v>
                </c:pt>
                <c:pt idx="10">
                  <c:v>-1.903553299492378E-2</c:v>
                </c:pt>
                <c:pt idx="11">
                  <c:v>6.7270375161707641E-2</c:v>
                </c:pt>
              </c:numCache>
            </c:numRef>
          </c:val>
          <c:extLst xmlns:c16r2="http://schemas.microsoft.com/office/drawing/2015/06/chart">
            <c:ext xmlns:c16="http://schemas.microsoft.com/office/drawing/2014/chart" uri="{C3380CC4-5D6E-409C-BE32-E72D297353CC}">
              <c16:uniqueId val="{00000005-0A66-47A3-AA6F-5E387D19985B}"/>
            </c:ext>
          </c:extLst>
        </c:ser>
        <c:dLbls>
          <c:showVal val="1"/>
        </c:dLbls>
        <c:marker val="1"/>
        <c:axId val="258876928"/>
        <c:axId val="258878464"/>
      </c:lineChart>
      <c:catAx>
        <c:axId val="25863603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875392"/>
        <c:crosses val="autoZero"/>
        <c:lblAlgn val="ctr"/>
        <c:lblOffset val="100"/>
        <c:tickLblSkip val="1"/>
        <c:tickMarkSkip val="1"/>
      </c:catAx>
      <c:valAx>
        <c:axId val="258875392"/>
        <c:scaling>
          <c:orientation val="minMax"/>
          <c:max val="15"/>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636032"/>
        <c:crosses val="autoZero"/>
        <c:crossBetween val="between"/>
        <c:majorUnit val="5"/>
        <c:minorUnit val="1"/>
      </c:valAx>
      <c:catAx>
        <c:axId val="258876928"/>
        <c:scaling>
          <c:orientation val="minMax"/>
        </c:scaling>
        <c:delete val="1"/>
        <c:axPos val="b"/>
        <c:numFmt formatCode="General" sourceLinked="1"/>
        <c:tickLblPos val="none"/>
        <c:crossAx val="258878464"/>
        <c:crosses val="autoZero"/>
        <c:lblAlgn val="ctr"/>
        <c:lblOffset val="100"/>
      </c:catAx>
      <c:valAx>
        <c:axId val="258878464"/>
        <c:scaling>
          <c:orientation val="minMax"/>
          <c:max val="0.30000000000000027"/>
          <c:min val="-1"/>
        </c:scaling>
        <c:axPos val="r"/>
        <c:numFmt formatCode="General" sourceLinked="1"/>
        <c:majorTickMark val="none"/>
        <c:tickLblPos val="none"/>
        <c:spPr>
          <a:ln w="3175">
            <a:noFill/>
            <a:prstDash val="solid"/>
          </a:ln>
        </c:spPr>
        <c:crossAx val="258876928"/>
        <c:crosses val="max"/>
        <c:crossBetween val="between"/>
        <c:majorUnit val="0.29000000000000031"/>
        <c:minorUnit val="0.29000000000000031"/>
      </c:valAx>
      <c:spPr>
        <a:noFill/>
        <a:ln w="12700">
          <a:noFill/>
          <a:prstDash val="solid"/>
        </a:ln>
      </c:spPr>
    </c:plotArea>
    <c:legend>
      <c:legendPos val="r"/>
      <c:layout>
        <c:manualLayout>
          <c:xMode val="edge"/>
          <c:yMode val="edge"/>
          <c:x val="9.6404898536260941E-2"/>
          <c:y val="0.73998229166666651"/>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4.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电子商务</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7.9513888888888939E-2"/>
          <c:y val="0.14286938770334881"/>
          <c:w val="0.87387017631403918"/>
          <c:h val="0.49852638888888939"/>
        </c:manualLayout>
      </c:layout>
      <c:barChart>
        <c:barDir val="col"/>
        <c:grouping val="clustered"/>
        <c:ser>
          <c:idx val="1"/>
          <c:order val="0"/>
          <c:tx>
            <c:strRef>
              <c:f>'05-移动端十大类APP网络使用黏性'!$A$159</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'05-移动端十大类APP网络使用黏性'!$B$158:$M$158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'05-移动端十大类APP网络使用黏性'!$B$159:$M$159</c:f>
              <c:numCache>
                <c:formatCode>General</c:formatCode>
                <c:ptCount val="12"/>
                <c:pt idx="0">
                  <c:v>4.1599999999999975</c:v>
                </c:pt>
                <c:pt idx="1">
                  <c:v>3.9</c:v>
                </c:pt>
                <c:pt idx="2">
                  <c:v>4.07</c:v>
                </c:pt>
                <c:pt idx="3">
                  <c:v>4.1199999999999966</c:v>
                </c:pt>
                <c:pt idx="4">
                  <c:v>4.3</c:v>
                </c:pt>
                <c:pt idx="5">
                  <c:v>4.5999999999999996</c:v>
                </c:pt>
                <c:pt idx="6">
                  <c:v>4.8499999999999996</c:v>
                </c:pt>
                <c:pt idx="7">
                  <c:v>4.68</c:v>
                </c:pt>
                <c:pt idx="8">
                  <c:v>4.4800000000000004</c:v>
                </c:pt>
                <c:pt idx="9">
                  <c:v>4.9700000000000024</c:v>
                </c:pt>
                <c:pt idx="10">
                  <c:v>5.2</c:v>
                </c:pt>
                <c:pt idx="11">
                  <c:v>4.96</c:v>
                </c:pt>
              </c:numCache>
            </c:numRef>
          </c:val>
          <c:extLst xmlns:c16r2="http://schemas.microsoft.com/office/drawing/2015/06/chart">
            <c:ext xmlns:c16="http://schemas.microsoft.com/office/drawing/2014/chart" uri="{C3380CC4-5D6E-409C-BE32-E72D297353CC}">
              <c16:uniqueId val="{00000000-390E-42CD-B136-216C2CA8633A}"/>
            </c:ext>
          </c:extLst>
        </c:ser>
        <c:dLbls>
          <c:showVal val="1"/>
        </c:dLbls>
        <c:gapWidth val="60"/>
        <c:axId val="258949120"/>
        <c:axId val="258950656"/>
      </c:barChart>
      <c:lineChart>
        <c:grouping val="standard"/>
        <c:ser>
          <c:idx val="0"/>
          <c:order val="1"/>
          <c:tx>
            <c:strRef>
              <c:f>'05-移动端十大类APP网络使用黏性'!$A$160</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0E-42CD-B136-216C2CA8633A}"/>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0E-42CD-B136-216C2CA8633A}"/>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0E-42CD-B136-216C2CA8633A}"/>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0E-42CD-B136-216C2CA8633A}"/>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'05-移动端十大类APP网络使用黏性'!$B$158:$M$158</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'05-移动端十大类APP网络使用黏性'!$B$160:$M$160</c:f>
              <c:numCache>
                <c:formatCode>0.0%</c:formatCode>
                <c:ptCount val="12"/>
                <c:pt idx="1">
                  <c:v>-6.25E-2</c:v>
                </c:pt>
                <c:pt idx="2">
                  <c:v>4.3589743589743664E-2</c:v>
                </c:pt>
                <c:pt idx="3">
                  <c:v>1.2285012285012225E-2</c:v>
                </c:pt>
                <c:pt idx="4">
                  <c:v>4.3689320388349467E-2</c:v>
                </c:pt>
                <c:pt idx="5">
                  <c:v>6.9767441860465088E-2</c:v>
                </c:pt>
                <c:pt idx="6">
                  <c:v>5.4347826086956562E-2</c:v>
                </c:pt>
                <c:pt idx="7">
                  <c:v>-3.5051546391752571E-2</c:v>
                </c:pt>
                <c:pt idx="8">
                  <c:v>-4.2735042735042576E-2</c:v>
                </c:pt>
                <c:pt idx="9">
                  <c:v>0.10937499999999978</c:v>
                </c:pt>
                <c:pt idx="10">
                  <c:v>4.6277665995976054E-2</c:v>
                </c:pt>
                <c:pt idx="11">
                  <c:v>-4.6153846153846233E-2</c:v>
                </c:pt>
              </c:numCache>
            </c:numRef>
          </c:val>
          <c:extLst xmlns:c16r2="http://schemas.microsoft.com/office/drawing/2015/06/chart">
            <c:ext xmlns:c16="http://schemas.microsoft.com/office/drawing/2014/chart" uri="{C3380CC4-5D6E-409C-BE32-E72D297353CC}">
              <c16:uniqueId val="{00000005-390E-42CD-B136-216C2CA8633A}"/>
            </c:ext>
          </c:extLst>
        </c:ser>
        <c:dLbls>
          <c:showVal val="1"/>
        </c:dLbls>
        <c:marker val="1"/>
        <c:axId val="258952192"/>
        <c:axId val="258970368"/>
      </c:lineChart>
      <c:catAx>
        <c:axId val="258949120"/>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8950656"/>
        <c:crosses val="autoZero"/>
        <c:lblAlgn val="ctr"/>
        <c:lblOffset val="100"/>
        <c:tickLblSkip val="1"/>
        <c:tickMarkSkip val="1"/>
      </c:catAx>
      <c:valAx>
        <c:axId val="258950656"/>
        <c:scaling>
          <c:orientation val="minMax"/>
          <c:max val="10"/>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8949120"/>
        <c:crosses val="autoZero"/>
        <c:crossBetween val="between"/>
        <c:majorUnit val="2"/>
        <c:minorUnit val="1"/>
      </c:valAx>
      <c:catAx>
        <c:axId val="258952192"/>
        <c:scaling>
          <c:orientation val="minMax"/>
        </c:scaling>
        <c:delete val="1"/>
        <c:axPos val="b"/>
        <c:numFmt formatCode="General" sourceLinked="1"/>
        <c:tickLblPos val="none"/>
        <c:crossAx val="258970368"/>
        <c:crosses val="autoZero"/>
        <c:lblAlgn val="ctr"/>
        <c:lblOffset val="100"/>
      </c:catAx>
      <c:valAx>
        <c:axId val="258970368"/>
        <c:scaling>
          <c:orientation val="minMax"/>
          <c:max val="0.60000000000000053"/>
          <c:min val="-2"/>
        </c:scaling>
        <c:axPos val="r"/>
        <c:numFmt formatCode="General" sourceLinked="1"/>
        <c:majorTickMark val="none"/>
        <c:tickLblPos val="none"/>
        <c:spPr>
          <a:ln w="3175">
            <a:noFill/>
            <a:prstDash val="solid"/>
          </a:ln>
        </c:spPr>
        <c:crossAx val="258952192"/>
        <c:crosses val="max"/>
        <c:crossBetween val="between"/>
        <c:majorUnit val="0.29000000000000031"/>
        <c:minorUnit val="0.29000000000000031"/>
      </c:valAx>
      <c:spPr>
        <a:noFill/>
        <a:ln w="12700">
          <a:noFill/>
          <a:prstDash val="solid"/>
        </a:ln>
      </c:spPr>
    </c:plotArea>
    <c:legend>
      <c:legendPos val="r"/>
      <c:layout>
        <c:manualLayout>
          <c:xMode val="edge"/>
          <c:yMode val="edge"/>
          <c:x val="0.1043265552228876"/>
          <c:y val="0.73531388888888893"/>
          <c:w val="0.78985335166437565"/>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5.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a:t>
            </a:r>
            <a:r>
              <a:rPr lang="zh-CN" altLang="zh-CN" sz="1200" b="1" i="0" u="none" strike="noStrike" baseline="0">
                <a:effectLst/>
              </a:rPr>
              <a:t>电子商务</a:t>
            </a:r>
            <a:r>
              <a:rPr lang="en-US" sz="1200" b="1"/>
              <a:t>APP</a:t>
            </a:r>
            <a:r>
              <a:rPr lang="zh-CN" altLang="en-US" sz="1200" b="1"/>
              <a:t>单机单次有效时间</a:t>
            </a:r>
            <a:endParaRPr lang="zh-CN" sz="1200" b="1"/>
          </a:p>
        </c:rich>
      </c:tx>
      <c:spPr>
        <a:noFill/>
        <a:ln w="25400">
          <a:noFill/>
        </a:ln>
      </c:spPr>
    </c:title>
    <c:plotArea>
      <c:layout>
        <c:manualLayout>
          <c:layoutTarget val="inner"/>
          <c:xMode val="edge"/>
          <c:yMode val="edge"/>
          <c:x val="7.6873336660013308E-2"/>
          <c:y val="0.15157454328109976"/>
          <c:w val="0.87651072854291368"/>
          <c:h val="0.48329270833333327"/>
        </c:manualLayout>
      </c:layout>
      <c:barChart>
        <c:barDir val="col"/>
        <c:grouping val="clustered"/>
        <c:ser>
          <c:idx val="1"/>
          <c:order val="0"/>
          <c:tx>
            <c:strRef>
              <c:f>'05-移动端十大类APP网络使用黏性'!$A$164</c:f>
              <c:strCache>
                <c:ptCount val="1"/>
                <c:pt idx="0">
                  <c:v>单机单次有效时间（分钟）</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'05-移动端十大类APP网络使用黏性'!$B$163:$M$163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'05-移动端十大类APP网络使用黏性'!$B$164:$M$164</c:f>
              <c:numCache>
                <c:formatCode>General</c:formatCode>
                <c:ptCount val="12"/>
                <c:pt idx="0">
                  <c:v>3.66</c:v>
                </c:pt>
                <c:pt idx="1">
                  <c:v>3.9699999999999998</c:v>
                </c:pt>
                <c:pt idx="2">
                  <c:v>4.13</c:v>
                </c:pt>
                <c:pt idx="3">
                  <c:v>4.07</c:v>
                </c:pt>
                <c:pt idx="4">
                  <c:v>3.98</c:v>
                </c:pt>
                <c:pt idx="5">
                  <c:v>4.1499999999999995</c:v>
                </c:pt>
                <c:pt idx="6">
                  <c:v>3.9499999999999997</c:v>
                </c:pt>
                <c:pt idx="7">
                  <c:v>3.9699999999999998</c:v>
                </c:pt>
                <c:pt idx="8">
                  <c:v>4</c:v>
                </c:pt>
                <c:pt idx="9">
                  <c:v>3.64</c:v>
                </c:pt>
                <c:pt idx="10">
                  <c:v>3.71</c:v>
                </c:pt>
                <c:pt idx="11">
                  <c:v>3.48</c:v>
                </c:pt>
              </c:numCache>
            </c:numRef>
          </c:val>
          <c:extLst xmlns:c16r2="http://schemas.microsoft.com/office/drawing/2015/06/chart">
            <c:ext xmlns:c16="http://schemas.microsoft.com/office/drawing/2014/chart" uri="{C3380CC4-5D6E-409C-BE32-E72D297353CC}">
              <c16:uniqueId val="{00000000-1C47-45B8-9158-AF5B9D8FF413}"/>
            </c:ext>
          </c:extLst>
        </c:ser>
        <c:dLbls>
          <c:showVal val="1"/>
        </c:dLbls>
        <c:gapWidth val="60"/>
        <c:axId val="259020288"/>
        <c:axId val="259021824"/>
      </c:barChart>
      <c:lineChart>
        <c:grouping val="standard"/>
        <c:ser>
          <c:idx val="0"/>
          <c:order val="1"/>
          <c:tx>
            <c:strRef>
              <c:f>'05-移动端十大类APP网络使用黏性'!$A$165</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47-45B8-9158-AF5B9D8FF413}"/>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47-45B8-9158-AF5B9D8FF413}"/>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47-45B8-9158-AF5B9D8FF413}"/>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47-45B8-9158-AF5B9D8FF413}"/>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showLeaderLines val="0"/>
              </c:ext>
            </c:extLst>
          </c:dLbls>
          <c:cat>
            <c:strRef>
              <c:f>'05-移动端十大类APP网络使用黏性'!$B$163:$M$163</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'05-移动端十大类APP网络使用黏性'!$B$165:$M$165</c:f>
              <c:numCache>
                <c:formatCode>0.0%</c:formatCode>
                <c:ptCount val="12"/>
                <c:pt idx="1">
                  <c:v>8.4699453551912662E-2</c:v>
                </c:pt>
                <c:pt idx="2">
                  <c:v>4.0302267002518891E-2</c:v>
                </c:pt>
                <c:pt idx="3">
                  <c:v>-1.4527845036319547E-2</c:v>
                </c:pt>
                <c:pt idx="4">
                  <c:v>-2.2113022113022251E-2</c:v>
                </c:pt>
                <c:pt idx="5">
                  <c:v>4.27135678391962E-2</c:v>
                </c:pt>
                <c:pt idx="6">
                  <c:v>-4.8192771084337428E-2</c:v>
                </c:pt>
                <c:pt idx="7">
                  <c:v>5.0632911392405394E-3</c:v>
                </c:pt>
                <c:pt idx="8">
                  <c:v>7.5566750629723145E-3</c:v>
                </c:pt>
                <c:pt idx="9">
                  <c:v>-9.0000000000000024E-2</c:v>
                </c:pt>
                <c:pt idx="10">
                  <c:v>1.9230769230769183E-2</c:v>
                </c:pt>
                <c:pt idx="11">
                  <c:v>-6.1994609164420483E-2</c:v>
                </c:pt>
              </c:numCache>
            </c:numRef>
          </c:val>
          <c:extLst xmlns:c16r2="http://schemas.microsoft.com/office/drawing/2015/06/chart">
            <c:ext xmlns:c16="http://schemas.microsoft.com/office/drawing/2014/chart" uri="{C3380CC4-5D6E-409C-BE32-E72D297353CC}">
              <c16:uniqueId val="{00000005-1C47-45B8-9158-AF5B9D8FF413}"/>
            </c:ext>
          </c:extLst>
        </c:ser>
        <c:dLbls>
          <c:showVal val="1"/>
        </c:dLbls>
        <c:marker val="1"/>
        <c:axId val="259035904"/>
        <c:axId val="259037440"/>
      </c:lineChart>
      <c:catAx>
        <c:axId val="259020288"/>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021824"/>
        <c:crosses val="autoZero"/>
        <c:lblAlgn val="ctr"/>
        <c:lblOffset val="100"/>
        <c:tickLblSkip val="1"/>
        <c:tickMarkSkip val="1"/>
      </c:catAx>
      <c:valAx>
        <c:axId val="259021824"/>
        <c:scaling>
          <c:orientation val="minMax"/>
          <c:max val="8"/>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020288"/>
        <c:crosses val="autoZero"/>
        <c:crossBetween val="between"/>
        <c:majorUnit val="2"/>
        <c:minorUnit val="1"/>
      </c:valAx>
      <c:catAx>
        <c:axId val="259035904"/>
        <c:scaling>
          <c:orientation val="minMax"/>
        </c:scaling>
        <c:delete val="1"/>
        <c:axPos val="b"/>
        <c:numFmt formatCode="General" sourceLinked="1"/>
        <c:tickLblPos val="none"/>
        <c:crossAx val="259037440"/>
        <c:crosses val="autoZero"/>
        <c:lblAlgn val="ctr"/>
        <c:lblOffset val="100"/>
      </c:catAx>
      <c:valAx>
        <c:axId val="259037440"/>
        <c:scaling>
          <c:orientation val="minMax"/>
          <c:max val="0.70000000000000051"/>
          <c:min val="-3"/>
        </c:scaling>
        <c:axPos val="r"/>
        <c:numFmt formatCode="General" sourceLinked="1"/>
        <c:majorTickMark val="none"/>
        <c:tickLblPos val="none"/>
        <c:spPr>
          <a:ln w="3175">
            <a:noFill/>
            <a:prstDash val="solid"/>
          </a:ln>
        </c:spPr>
        <c:crossAx val="259035904"/>
        <c:crosses val="max"/>
        <c:crossBetween val="between"/>
        <c:majorUnit val="0.1"/>
        <c:minorUnit val="0.1"/>
      </c:valAx>
      <c:spPr>
        <a:noFill/>
        <a:ln w="12700">
          <a:noFill/>
          <a:prstDash val="solid"/>
        </a:ln>
      </c:spPr>
    </c:plotArea>
    <c:legend>
      <c:legendPos val="r"/>
      <c:layout>
        <c:manualLayout>
          <c:xMode val="edge"/>
          <c:yMode val="edge"/>
          <c:x val="0.10168600299401202"/>
          <c:y val="0.73241805555555561"/>
          <c:w val="0.83210225382568193"/>
          <c:h val="5.6548064067966877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6.xml><?xml version="1.0" encoding="utf-8"?>
<c:chartSpace xmlns:c="http://schemas.openxmlformats.org/drawingml/2006/chart" xmlns:a="http://schemas.openxmlformats.org/drawingml/2006/main" xmlns:r="http://schemas.openxmlformats.org/officeDocument/2006/relationships">
  <c:lang val="zh-CN"/>
  <c:chart>
    <c:title>
      <c:tx>
        <c:rich>
          <a:bodyPr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微软雅黑" panose="020B0503020204020204" pitchFamily="34" charset="-122"/>
                <a:ea typeface="微软雅黑" panose="020B0503020204020204" pitchFamily="34" charset="-122"/>
                <a:cs typeface="+mn-cs"/>
              </a:defRPr>
            </a:pPr>
            <a:r>
              <a:rPr lang="en-US" altLang="zh-CN" sz="1200">
                <a:latin typeface="微软雅黑" panose="020B0503020204020204" pitchFamily="34" charset="-122"/>
                <a:ea typeface="微软雅黑" panose="020B0503020204020204" pitchFamily="34" charset="-122"/>
              </a:rPr>
              <a:t>2017</a:t>
            </a:r>
            <a:r>
              <a:rPr lang="zh-CN" altLang="en-US" sz="1200">
                <a:latin typeface="微软雅黑" panose="020B0503020204020204" pitchFamily="34" charset="-122"/>
                <a:ea typeface="微软雅黑" panose="020B0503020204020204" pitchFamily="34" charset="-122"/>
              </a:rPr>
              <a:t>年</a:t>
            </a:r>
            <a:r>
              <a:rPr lang="en-US" altLang="zh-CN" sz="1200">
                <a:latin typeface="微软雅黑" panose="020B0503020204020204" pitchFamily="34" charset="-122"/>
                <a:ea typeface="微软雅黑" panose="020B0503020204020204" pitchFamily="34" charset="-122"/>
              </a:rPr>
              <a:t>12</a:t>
            </a:r>
            <a:r>
              <a:rPr lang="zh-CN" altLang="en-US" sz="1200">
                <a:latin typeface="微软雅黑" panose="020B0503020204020204" pitchFamily="34" charset="-122"/>
                <a:ea typeface="微软雅黑" panose="020B0503020204020204" pitchFamily="34" charset="-122"/>
              </a:rPr>
              <a:t>月</a:t>
            </a:r>
            <a:r>
              <a:rPr lang="zh-CN" altLang="zh-CN" sz="1200" b="1" i="0" u="none" strike="noStrike" baseline="0">
                <a:effectLst/>
              </a:rPr>
              <a:t>陕西省</a:t>
            </a:r>
            <a:r>
              <a:rPr lang="zh-CN" altLang="en-US" sz="1200">
                <a:latin typeface="微软雅黑" panose="020B0503020204020204" pitchFamily="34" charset="-122"/>
                <a:ea typeface="微软雅黑" panose="020B0503020204020204" pitchFamily="34" charset="-122"/>
              </a:rPr>
              <a:t>网民常用电子商务类</a:t>
            </a:r>
            <a:r>
              <a:rPr lang="en-US" altLang="zh-CN" sz="1200">
                <a:latin typeface="微软雅黑" panose="020B0503020204020204" pitchFamily="34" charset="-122"/>
                <a:ea typeface="微软雅黑" panose="020B0503020204020204" pitchFamily="34" charset="-122"/>
              </a:rPr>
              <a:t>APP</a:t>
            </a:r>
          </a:p>
        </c:rich>
      </c:tx>
      <c:layout>
        <c:manualLayout>
          <c:xMode val="edge"/>
          <c:yMode val="edge"/>
          <c:x val="0.1949495707260149"/>
          <c:y val="2.5898148148148149E-2"/>
        </c:manualLayout>
      </c:layout>
    </c:title>
    <c:plotArea>
      <c:layout>
        <c:manualLayout>
          <c:layoutTarget val="inner"/>
          <c:xMode val="edge"/>
          <c:yMode val="edge"/>
          <c:x val="0.15563995165458031"/>
          <c:y val="0.13719043209876544"/>
          <c:w val="0.77397995332166414"/>
          <c:h val="0.56693456790123409"/>
        </c:manualLayout>
      </c:layout>
      <c:barChart>
        <c:barDir val="bar"/>
        <c:grouping val="clustered"/>
        <c:ser>
          <c:idx val="1"/>
          <c:order val="0"/>
          <c:tx>
            <c:strRef>
              <c:f>'06-移动端十大类APP-Top10'!$D$126</c:f>
              <c:strCache>
                <c:ptCount val="1"/>
                <c:pt idx="0">
                  <c:v>月独立设备数比例</c:v>
                </c:pt>
              </c:strCache>
            </c:strRef>
          </c:tx>
          <c:spPr>
            <a:solidFill>
              <a:srgbClr val="B2D234"/>
            </a:solidFill>
            <a:ln w="12700">
              <a:noFill/>
            </a:ln>
          </c:spPr>
          <c:dLbls>
            <c:numFmt formatCode="0.0%" sourceLinked="0"/>
            <c:spPr>
              <a:noFill/>
              <a:ln>
                <a:noFill/>
              </a:ln>
              <a:effectLst/>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dLblPos val="outEnd"/>
            <c:showVal val="1"/>
            <c:extLst xmlns:c16r2="http://schemas.microsoft.com/office/drawing/2015/06/chart">
              <c:ext xmlns:c15="http://schemas.microsoft.com/office/drawing/2012/chart" uri="{CE6537A1-D6FC-4f65-9D91-7224C49458BB}">
                <c15:showLeaderLines val="0"/>
              </c:ext>
            </c:extLst>
          </c:dLbls>
          <c:cat>
            <c:strRef>
              <c:f>'06-移动端十大类APP-Top10'!$C$127:$C$136</c:f>
              <c:strCache>
                <c:ptCount val="10"/>
                <c:pt idx="0">
                  <c:v>聚美优品</c:v>
                </c:pt>
                <c:pt idx="1">
                  <c:v>百度糯米</c:v>
                </c:pt>
                <c:pt idx="2">
                  <c:v>苏宁易购</c:v>
                </c:pt>
                <c:pt idx="3">
                  <c:v>小米商城</c:v>
                </c:pt>
                <c:pt idx="4">
                  <c:v>天猫</c:v>
                </c:pt>
                <c:pt idx="5">
                  <c:v>唯品会</c:v>
                </c:pt>
                <c:pt idx="6">
                  <c:v>拼多多</c:v>
                </c:pt>
                <c:pt idx="7">
                  <c:v>美团</c:v>
                </c:pt>
                <c:pt idx="8">
                  <c:v>京东商城</c:v>
                </c:pt>
                <c:pt idx="9">
                  <c:v>手机淘宝</c:v>
                </c:pt>
              </c:strCache>
            </c:strRef>
          </c:cat>
          <c:val>
            <c:numRef>
              <c:f>'06-移动端十大类APP-Top10'!$D$127:$D$136</c:f>
              <c:numCache>
                <c:formatCode>0.00%</c:formatCode>
                <c:ptCount val="10"/>
                <c:pt idx="0">
                  <c:v>1.8700000000000015E-2</c:v>
                </c:pt>
                <c:pt idx="1">
                  <c:v>2.0000000000000011E-2</c:v>
                </c:pt>
                <c:pt idx="2">
                  <c:v>3.2800000000000031E-2</c:v>
                </c:pt>
                <c:pt idx="3">
                  <c:v>4.9400000000000034E-2</c:v>
                </c:pt>
                <c:pt idx="4">
                  <c:v>6.59E-2</c:v>
                </c:pt>
                <c:pt idx="5">
                  <c:v>0.11550000000000002</c:v>
                </c:pt>
                <c:pt idx="6">
                  <c:v>0.21060000000000001</c:v>
                </c:pt>
                <c:pt idx="7">
                  <c:v>0.21410000000000001</c:v>
                </c:pt>
                <c:pt idx="8">
                  <c:v>0.30580000000000035</c:v>
                </c:pt>
                <c:pt idx="9">
                  <c:v>0.72230000000000005</c:v>
                </c:pt>
              </c:numCache>
            </c:numRef>
          </c:val>
          <c:extLst xmlns:c16r2="http://schemas.microsoft.com/office/drawing/2015/06/chart">
            <c:ext xmlns:c16="http://schemas.microsoft.com/office/drawing/2014/chart" uri="{C3380CC4-5D6E-409C-BE32-E72D297353CC}">
              <c16:uniqueId val="{00000000-FFB6-4E15-8A8F-5ED906D51528}"/>
            </c:ext>
          </c:extLst>
        </c:ser>
        <c:dLbls>
          <c:showVal val="1"/>
        </c:dLbls>
        <c:gapWidth val="60"/>
        <c:axId val="259000960"/>
        <c:axId val="259084672"/>
      </c:barChart>
      <c:catAx>
        <c:axId val="259000960"/>
        <c:scaling>
          <c:orientation val="minMax"/>
        </c:scaling>
        <c:axPos val="l"/>
        <c:numFmt formatCode="General" sourceLinked="0"/>
        <c:majorTickMark val="none"/>
        <c:tickLblPos val="nextTo"/>
        <c:spPr>
          <a:ln w="12700">
            <a:solidFill>
              <a:schemeClr val="tx1">
                <a:lumMod val="50000"/>
                <a:lumOff val="50000"/>
              </a:schemeClr>
            </a:solidFill>
          </a:ln>
        </c:spPr>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crossAx val="259084672"/>
        <c:crosses val="autoZero"/>
        <c:auto val="1"/>
        <c:lblAlgn val="ctr"/>
        <c:lblOffset val="100"/>
      </c:catAx>
      <c:valAx>
        <c:axId val="259084672"/>
        <c:scaling>
          <c:orientation val="minMax"/>
          <c:max val="0.8"/>
          <c:min val="0"/>
        </c:scaling>
        <c:axPos val="b"/>
        <c:majorGridlines>
          <c:spPr>
            <a:ln>
              <a:noFill/>
            </a:ln>
          </c:spPr>
        </c:majorGridlines>
        <c:numFmt formatCode="0%" sourceLinked="0"/>
        <c:majorTickMark val="none"/>
        <c:tickLblPos val="nextTo"/>
        <c:spPr>
          <a:ln w="9525">
            <a:solidFill>
              <a:schemeClr val="tx1">
                <a:lumMod val="50000"/>
                <a:lumOff val="50000"/>
              </a:schemeClr>
            </a:solidFill>
          </a:ln>
        </c:spPr>
        <c:txPr>
          <a:bodyPr/>
          <a:lstStyle/>
          <a:p>
            <a:pPr>
              <a:defRPr sz="800">
                <a:latin typeface="微软雅黑" panose="020B0503020204020204" pitchFamily="34" charset="-122"/>
                <a:ea typeface="微软雅黑" panose="020B0503020204020204" pitchFamily="34" charset="-122"/>
              </a:defRPr>
            </a:pPr>
            <a:endParaRPr lang="zh-CN"/>
          </a:p>
        </c:txPr>
        <c:crossAx val="259000960"/>
        <c:crosses val="autoZero"/>
        <c:crossBetween val="between"/>
        <c:majorUnit val="0.2"/>
        <c:minorUnit val="0.1"/>
      </c:valAx>
      <c:spPr>
        <a:ln>
          <a:noFill/>
        </a:ln>
      </c:spPr>
    </c:plotArea>
    <c:legend>
      <c:legendPos val="b"/>
      <c:layout>
        <c:manualLayout>
          <c:xMode val="edge"/>
          <c:yMode val="edge"/>
          <c:x val="0.36652204717846165"/>
          <c:y val="0.78203518518518522"/>
          <c:w val="0.28424626990080892"/>
          <c:h val="6.3625000000000001E-2"/>
        </c:manualLayout>
      </c:layout>
      <c:txPr>
        <a:bodyPr/>
        <a:lstStyle/>
        <a:p>
          <a:pPr>
            <a:defRPr sz="800">
              <a:solidFill>
                <a:sysClr val="windowText" lastClr="000000"/>
              </a:solidFill>
              <a:latin typeface="微软雅黑" panose="020B0503020204020204" pitchFamily="34" charset="-122"/>
              <a:ea typeface="微软雅黑" panose="020B0503020204020204" pitchFamily="34" charset="-122"/>
            </a:defRPr>
          </a:pPr>
          <a:endParaRPr lang="zh-CN"/>
        </a:p>
      </c:txPr>
    </c:legend>
    <c:plotVisOnly val="1"/>
    <c:dispBlanksAs val="gap"/>
  </c:chart>
  <c:spPr>
    <a:ln w="12700">
      <a:solidFill>
        <a:schemeClr val="tx1">
          <a:lumMod val="50000"/>
          <a:lumOff val="50000"/>
        </a:schemeClr>
      </a:solidFill>
    </a:ln>
  </c:spPr>
  <c:externalData r:id="rId1"/>
  <c:userShapes r:id="rId2"/>
</c:chartSpace>
</file>

<file path=word/charts/chart97.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年陕西省网民使用游戏服务</a:t>
            </a:r>
            <a:r>
              <a:rPr lang="en-US" sz="1200" b="1"/>
              <a:t>APP</a:t>
            </a:r>
            <a:r>
              <a:rPr lang="zh-CN" altLang="en-US" sz="1200" b="1"/>
              <a:t>月独立设备数比例</a:t>
            </a:r>
          </a:p>
        </c:rich>
      </c:tx>
      <c:layout>
        <c:manualLayout>
          <c:xMode val="edge"/>
          <c:yMode val="edge"/>
          <c:x val="9.8528775781769926E-2"/>
          <c:y val="2.3670697850321911E-2"/>
        </c:manualLayout>
      </c:layout>
      <c:spPr>
        <a:noFill/>
        <a:ln w="25400">
          <a:noFill/>
        </a:ln>
      </c:spPr>
    </c:title>
    <c:plotArea>
      <c:layout>
        <c:manualLayout>
          <c:layoutTarget val="inner"/>
          <c:xMode val="edge"/>
          <c:yMode val="edge"/>
          <c:x val="0.11120051563539585"/>
          <c:y val="0.18879383320328214"/>
          <c:w val="0.8289807884231537"/>
          <c:h val="0.45402812500000023"/>
        </c:manualLayout>
      </c:layout>
      <c:areaChart>
        <c:grouping val="standard"/>
        <c:ser>
          <c:idx val="1"/>
          <c:order val="0"/>
          <c:tx>
            <c:strRef>
              <c:f>'05-移动端十大类APP网络使用黏性'!$A$218</c:f>
              <c:strCache>
                <c:ptCount val="1"/>
                <c:pt idx="0">
                  <c:v>月独立设备数比例</c:v>
                </c:pt>
              </c:strCache>
            </c:strRef>
          </c:tx>
          <c:spPr>
            <a:solidFill>
              <a:srgbClr val="B2D234"/>
            </a:solidFill>
            <a:ln w="12700">
              <a:noFill/>
              <a:prstDash val="solid"/>
            </a:ln>
          </c:spPr>
          <c:dLbls>
            <c:dLbl>
              <c:idx val="0"/>
              <c:delete val="1"/>
            </c:dLbl>
            <c:dLbl>
              <c:idx val="1"/>
              <c:layout>
                <c:manualLayout>
                  <c:x val="0"/>
                  <c:y val="-0.17197916666666671"/>
                </c:manualLayout>
              </c:layout>
              <c:showVal val="1"/>
            </c:dLbl>
            <c:dLbl>
              <c:idx val="2"/>
              <c:delete val="1"/>
            </c:dLbl>
            <c:dLbl>
              <c:idx val="3"/>
              <c:layout>
                <c:manualLayout>
                  <c:x val="-2.6405522288755856E-3"/>
                  <c:y val="-0.1455208333333334"/>
                </c:manualLayout>
              </c:layout>
              <c:showVal val="1"/>
            </c:dLbl>
            <c:dLbl>
              <c:idx val="4"/>
              <c:delete val="1"/>
            </c:dLbl>
            <c:dLbl>
              <c:idx val="5"/>
              <c:layout>
                <c:manualLayout>
                  <c:x val="-5.2811044577511703E-3"/>
                  <c:y val="-0.17197916666666671"/>
                </c:manualLayout>
              </c:layout>
              <c:showVal val="1"/>
            </c:dLbl>
            <c:dLbl>
              <c:idx val="6"/>
              <c:delete val="1"/>
            </c:dLbl>
            <c:dLbl>
              <c:idx val="7"/>
              <c:layout>
                <c:manualLayout>
                  <c:x val="0"/>
                  <c:y val="-0.19843750000000004"/>
                </c:manualLayout>
              </c:layout>
              <c:showVal val="1"/>
            </c:dLbl>
            <c:dLbl>
              <c:idx val="8"/>
              <c:delete val="1"/>
            </c:dLbl>
            <c:dLbl>
              <c:idx val="9"/>
              <c:layout>
                <c:manualLayout>
                  <c:x val="0"/>
                  <c:y val="-0.18079861111111128"/>
                </c:manualLayout>
              </c:layout>
              <c:showVal val="1"/>
            </c:dLbl>
            <c:dLbl>
              <c:idx val="10"/>
              <c:delete val="1"/>
            </c:dLbl>
            <c:dLbl>
              <c:idx val="11"/>
              <c:layout>
                <c:manualLayout>
                  <c:x val="-7.9216566866267494E-3"/>
                  <c:y val="-0.16315972222222222"/>
                </c:manualLayout>
              </c:layout>
              <c:showVal val="1"/>
            </c:dLbl>
            <c:numFmt formatCode="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'05-移动端十大类APP网络使用黏性'!$B$217:$M$217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'05-移动端十大类APP网络使用黏性'!$B$218:$M$218</c:f>
              <c:numCache>
                <c:formatCode>0.00%</c:formatCode>
                <c:ptCount val="12"/>
                <c:pt idx="0">
                  <c:v>0.59603296846850951</c:v>
                </c:pt>
                <c:pt idx="1">
                  <c:v>0.58076941756413902</c:v>
                </c:pt>
                <c:pt idx="2">
                  <c:v>0.54711900435830763</c:v>
                </c:pt>
                <c:pt idx="3">
                  <c:v>0.53843198676083759</c:v>
                </c:pt>
                <c:pt idx="4">
                  <c:v>0.55961323178830991</c:v>
                </c:pt>
                <c:pt idx="5">
                  <c:v>0.56122883550685465</c:v>
                </c:pt>
                <c:pt idx="6">
                  <c:v>0.64474188683746458</c:v>
                </c:pt>
                <c:pt idx="7">
                  <c:v>0.62723106169839316</c:v>
                </c:pt>
                <c:pt idx="8">
                  <c:v>0.61229908610416872</c:v>
                </c:pt>
                <c:pt idx="9">
                  <c:v>0.62008904896588346</c:v>
                </c:pt>
                <c:pt idx="10">
                  <c:v>0.58732032783734345</c:v>
                </c:pt>
                <c:pt idx="11">
                  <c:v>0.58447042748284606</c:v>
                </c:pt>
              </c:numCache>
            </c:numRef>
          </c:val>
          <c:extLst xmlns:c16r2="http://schemas.microsoft.com/office/drawing/2015/06/chart">
            <c:ext xmlns:c16="http://schemas.microsoft.com/office/drawing/2014/chart" uri="{C3380CC4-5D6E-409C-BE32-E72D297353CC}">
              <c16:uniqueId val="{00000000-1DD7-4171-A13F-634E64AA5C0C}"/>
            </c:ext>
          </c:extLst>
        </c:ser>
        <c:dLbls>
          <c:showVal val="1"/>
        </c:dLbls>
        <c:axId val="259110016"/>
        <c:axId val="259111552"/>
      </c:areaChart>
      <c:catAx>
        <c:axId val="259110016"/>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111552"/>
        <c:crosses val="autoZero"/>
        <c:lblAlgn val="ctr"/>
        <c:lblOffset val="100"/>
        <c:tickLblSkip val="1"/>
        <c:tickMarkSkip val="1"/>
      </c:catAx>
      <c:valAx>
        <c:axId val="259111552"/>
        <c:scaling>
          <c:orientation val="minMax"/>
          <c:max val="0.8"/>
          <c:min val="0.30000000000000027"/>
        </c:scaling>
        <c:axPos val="l"/>
        <c:majorGridlines>
          <c:spPr>
            <a:ln w="12700">
              <a:noFill/>
              <a:prstDash val="solid"/>
            </a:ln>
          </c:spPr>
        </c:majorGridlines>
        <c:numFmt formatCode="0%"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110016"/>
        <c:crosses val="autoZero"/>
        <c:crossBetween val="midCat"/>
        <c:majorUnit val="0.1"/>
        <c:minorUnit val="0.1"/>
      </c:valAx>
      <c:spPr>
        <a:noFill/>
        <a:ln w="12700">
          <a:noFill/>
          <a:prstDash val="solid"/>
        </a:ln>
      </c:spPr>
    </c:plotArea>
    <c:legend>
      <c:legendPos val="r"/>
      <c:layout>
        <c:manualLayout>
          <c:xMode val="edge"/>
          <c:yMode val="edge"/>
          <c:x val="0.11752910844976711"/>
          <c:y val="0.73921249999999961"/>
          <c:w val="0.78985335166437565"/>
          <c:h val="7.8596527777777772E-2"/>
        </c:manualLayout>
      </c:layout>
      <c:spPr>
        <a:solidFill>
          <a:srgbClr val="FFFFFF"/>
        </a:solidFill>
        <a:ln w="25400">
          <a:noFill/>
        </a:ln>
      </c:spPr>
    </c:legend>
    <c:plotVisOnly val="1"/>
    <c:dispBlanksAs val="zero"/>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8.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年陕西省网民使用游戏服务</a:t>
            </a:r>
            <a:r>
              <a:rPr lang="en-US" sz="1200" b="1"/>
              <a:t>APP</a:t>
            </a:r>
            <a:r>
              <a:rPr lang="zh-CN" altLang="en-US" sz="1200" b="1"/>
              <a:t>单机使用天数</a:t>
            </a:r>
            <a:endParaRPr lang="zh-CN" sz="1200" b="1"/>
          </a:p>
        </c:rich>
      </c:tx>
      <c:spPr>
        <a:noFill/>
        <a:ln w="25400">
          <a:noFill/>
        </a:ln>
      </c:spPr>
    </c:title>
    <c:plotArea>
      <c:layout>
        <c:manualLayout>
          <c:layoutTarget val="inner"/>
          <c:xMode val="edge"/>
          <c:yMode val="edge"/>
          <c:x val="8.2154441117764557E-2"/>
          <c:y val="0.19117848956663233"/>
          <c:w val="0.87122962408516358"/>
          <c:h val="0.43197951388888933"/>
        </c:manualLayout>
      </c:layout>
      <c:barChart>
        <c:barDir val="col"/>
        <c:grouping val="clustered"/>
        <c:ser>
          <c:idx val="1"/>
          <c:order val="0"/>
          <c:tx>
            <c:strRef>
              <c:f>'05-移动端十大类APP网络使用黏性'!$A$223</c:f>
              <c:strCache>
                <c:ptCount val="1"/>
                <c:pt idx="0">
                  <c:v>单机使用天数（天）</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'05-移动端十大类APP网络使用黏性'!$B$222:$M$222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'05-移动端十大类APP网络使用黏性'!$B$223:$M$223</c:f>
              <c:numCache>
                <c:formatCode>General</c:formatCode>
                <c:ptCount val="12"/>
                <c:pt idx="0">
                  <c:v>10.1</c:v>
                </c:pt>
                <c:pt idx="1">
                  <c:v>8.91</c:v>
                </c:pt>
                <c:pt idx="2">
                  <c:v>9.68</c:v>
                </c:pt>
                <c:pt idx="3">
                  <c:v>9.26</c:v>
                </c:pt>
                <c:pt idx="4">
                  <c:v>9.32</c:v>
                </c:pt>
                <c:pt idx="5">
                  <c:v>8.83</c:v>
                </c:pt>
                <c:pt idx="6">
                  <c:v>8.9700000000000006</c:v>
                </c:pt>
                <c:pt idx="7">
                  <c:v>11.07</c:v>
                </c:pt>
                <c:pt idx="8">
                  <c:v>10.06</c:v>
                </c:pt>
                <c:pt idx="9">
                  <c:v>10.19</c:v>
                </c:pt>
                <c:pt idx="10">
                  <c:v>9.39</c:v>
                </c:pt>
                <c:pt idx="11">
                  <c:v>10.02</c:v>
                </c:pt>
              </c:numCache>
            </c:numRef>
          </c:val>
          <c:extLst xmlns:c16r2="http://schemas.microsoft.com/office/drawing/2015/06/chart">
            <c:ext xmlns:c16="http://schemas.microsoft.com/office/drawing/2014/chart" uri="{C3380CC4-5D6E-409C-BE32-E72D297353CC}">
              <c16:uniqueId val="{00000000-4D42-424B-9ED7-FEEFAD50DAD2}"/>
            </c:ext>
          </c:extLst>
        </c:ser>
        <c:dLbls>
          <c:showVal val="1"/>
        </c:dLbls>
        <c:gapWidth val="60"/>
        <c:axId val="259309952"/>
        <c:axId val="259311488"/>
      </c:barChart>
      <c:lineChart>
        <c:grouping val="standard"/>
        <c:ser>
          <c:idx val="0"/>
          <c:order val="1"/>
          <c:tx>
            <c:strRef>
              <c:f>'05-移动端十大类APP网络使用黏性'!$A$224</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42-424B-9ED7-FEEFAD50DAD2}"/>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D42-424B-9ED7-FEEFAD50DAD2}"/>
                </c:ext>
              </c:extLst>
            </c:dLbl>
            <c:dLbl>
              <c:idx val="2"/>
              <c:layout>
                <c:manualLayout>
                  <c:x val="-3.6014013639387894E-2"/>
                  <c:y val="-5.5961805555555501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D42-424B-9ED7-FEEFAD50DAD2}"/>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D42-424B-9ED7-FEEFAD50DAD2}"/>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'05-移动端十大类APP网络使用黏性'!$B$222:$M$222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'05-移动端十大类APP网络使用黏性'!$B$224:$M$224</c:f>
              <c:numCache>
                <c:formatCode>0.0%</c:formatCode>
                <c:ptCount val="12"/>
                <c:pt idx="1">
                  <c:v>-0.11782178217821793</c:v>
                </c:pt>
                <c:pt idx="2">
                  <c:v>8.6419753086419679E-2</c:v>
                </c:pt>
                <c:pt idx="3">
                  <c:v>-4.3388429752066179E-2</c:v>
                </c:pt>
                <c:pt idx="4">
                  <c:v>6.4794816414688377E-3</c:v>
                </c:pt>
                <c:pt idx="5">
                  <c:v>-5.2575107296137354E-2</c:v>
                </c:pt>
                <c:pt idx="6">
                  <c:v>1.5855039637599162E-2</c:v>
                </c:pt>
                <c:pt idx="7">
                  <c:v>0.23411371237458167</c:v>
                </c:pt>
                <c:pt idx="8">
                  <c:v>-9.1237579042457148E-2</c:v>
                </c:pt>
                <c:pt idx="9">
                  <c:v>1.292246520874742E-2</c:v>
                </c:pt>
                <c:pt idx="10">
                  <c:v>-7.8508341511285495E-2</c:v>
                </c:pt>
                <c:pt idx="11">
                  <c:v>6.7092651757188482E-2</c:v>
                </c:pt>
              </c:numCache>
            </c:numRef>
          </c:val>
          <c:extLst xmlns:c16r2="http://schemas.microsoft.com/office/drawing/2015/06/chart">
            <c:ext xmlns:c16="http://schemas.microsoft.com/office/drawing/2014/chart" uri="{C3380CC4-5D6E-409C-BE32-E72D297353CC}">
              <c16:uniqueId val="{00000005-4D42-424B-9ED7-FEEFAD50DAD2}"/>
            </c:ext>
          </c:extLst>
        </c:ser>
        <c:dLbls>
          <c:showVal val="1"/>
        </c:dLbls>
        <c:marker val="1"/>
        <c:axId val="259313024"/>
        <c:axId val="259368064"/>
      </c:lineChart>
      <c:catAx>
        <c:axId val="25930995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311488"/>
        <c:crosses val="autoZero"/>
        <c:lblAlgn val="ctr"/>
        <c:lblOffset val="100"/>
        <c:tickLblSkip val="1"/>
        <c:tickMarkSkip val="1"/>
      </c:catAx>
      <c:valAx>
        <c:axId val="259311488"/>
        <c:scaling>
          <c:orientation val="minMax"/>
          <c:max val="16"/>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309952"/>
        <c:crosses val="autoZero"/>
        <c:crossBetween val="between"/>
        <c:majorUnit val="5"/>
        <c:minorUnit val="1"/>
      </c:valAx>
      <c:catAx>
        <c:axId val="259313024"/>
        <c:scaling>
          <c:orientation val="minMax"/>
        </c:scaling>
        <c:delete val="1"/>
        <c:axPos val="b"/>
        <c:numFmt formatCode="General" sourceLinked="1"/>
        <c:tickLblPos val="none"/>
        <c:crossAx val="259368064"/>
        <c:crosses val="autoZero"/>
        <c:lblAlgn val="ctr"/>
        <c:lblOffset val="100"/>
      </c:catAx>
      <c:valAx>
        <c:axId val="259368064"/>
        <c:scaling>
          <c:orientation val="minMax"/>
          <c:max val="0.4"/>
          <c:min val="-3"/>
        </c:scaling>
        <c:axPos val="r"/>
        <c:numFmt formatCode="General" sourceLinked="1"/>
        <c:majorTickMark val="none"/>
        <c:tickLblPos val="none"/>
        <c:spPr>
          <a:ln w="3175">
            <a:noFill/>
            <a:prstDash val="solid"/>
          </a:ln>
        </c:spPr>
        <c:crossAx val="259313024"/>
        <c:crosses val="max"/>
        <c:crossBetween val="between"/>
      </c:valAx>
      <c:spPr>
        <a:noFill/>
        <a:ln w="12700">
          <a:noFill/>
          <a:prstDash val="solid"/>
        </a:ln>
      </c:spPr>
    </c:plotArea>
    <c:legend>
      <c:legendPos val="r"/>
      <c:layout>
        <c:manualLayout>
          <c:xMode val="edge"/>
          <c:yMode val="edge"/>
          <c:x val="0.1043265552228876"/>
          <c:y val="0.73466006944444462"/>
          <c:w val="0.78985335166437565"/>
          <c:h val="6.5367361111111175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charts/chart99.xml><?xml version="1.0" encoding="utf-8"?>
<c:chartSpace xmlns:c="http://schemas.openxmlformats.org/drawingml/2006/chart" xmlns:a="http://schemas.openxmlformats.org/drawingml/2006/main" xmlns:r="http://schemas.openxmlformats.org/officeDocument/2006/relationships">
  <c:lang val="zh-CN"/>
  <c:chart>
    <c:title>
      <c:tx>
        <c:rich>
          <a:bodyPr/>
          <a:lstStyle/>
          <a:p>
            <a:pPr>
              <a:defRPr sz="1200" b="1"/>
            </a:pPr>
            <a:r>
              <a:rPr lang="en-US" altLang="zh-CN" sz="1200" b="1"/>
              <a:t>2017</a:t>
            </a:r>
            <a:r>
              <a:rPr lang="zh-CN" altLang="en-US" sz="1200" b="1"/>
              <a:t>年陕西省网民使用游戏服务</a:t>
            </a:r>
            <a:r>
              <a:rPr lang="en-US" sz="1200" b="1"/>
              <a:t>APP</a:t>
            </a:r>
            <a:r>
              <a:rPr lang="zh-CN" altLang="en-US" sz="1200" b="1"/>
              <a:t>单机单日使用次数</a:t>
            </a:r>
            <a:endParaRPr lang="zh-CN" sz="1200" b="1"/>
          </a:p>
        </c:rich>
      </c:tx>
      <c:spPr>
        <a:noFill/>
        <a:ln w="25400">
          <a:noFill/>
        </a:ln>
      </c:spPr>
    </c:title>
    <c:plotArea>
      <c:layout>
        <c:manualLayout>
          <c:layoutTarget val="inner"/>
          <c:xMode val="edge"/>
          <c:yMode val="edge"/>
          <c:x val="8.7435337658017323E-2"/>
          <c:y val="0.18738072228589481"/>
          <c:w val="0.86858907185628742"/>
          <c:h val="0.43278125000000001"/>
        </c:manualLayout>
      </c:layout>
      <c:barChart>
        <c:barDir val="col"/>
        <c:grouping val="clustered"/>
        <c:ser>
          <c:idx val="1"/>
          <c:order val="0"/>
          <c:tx>
            <c:strRef>
              <c:f>'05-移动端十大类APP网络使用黏性'!$A$228</c:f>
              <c:strCache>
                <c:ptCount val="1"/>
                <c:pt idx="0">
                  <c:v>单机单日使用次数（次）</c:v>
                </c:pt>
              </c:strCache>
            </c:strRef>
          </c:tx>
          <c:spPr>
            <a:solidFill>
              <a:srgbClr val="B2D234"/>
            </a:solidFill>
            <a:ln w="12700">
              <a:noFill/>
              <a:prstDash val="solid"/>
            </a:ln>
          </c:spPr>
          <c:dLbls>
            <c:numFmt formatCode="#,##0.0_);[Red]\(#,##0.0\)" sourceLinked="0"/>
            <c:spPr>
              <a:noFill/>
              <a:ln>
                <a:noFill/>
              </a:ln>
              <a:effectLst/>
            </c:spPr>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'05-移动端十大类APP网络使用黏性'!$B$227:$M$227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'05-移动端十大类APP网络使用黏性'!$B$228:$M$228</c:f>
              <c:numCache>
                <c:formatCode>General</c:formatCode>
                <c:ptCount val="12"/>
                <c:pt idx="0">
                  <c:v>3.15</c:v>
                </c:pt>
                <c:pt idx="1">
                  <c:v>3.17</c:v>
                </c:pt>
                <c:pt idx="2">
                  <c:v>3.16</c:v>
                </c:pt>
                <c:pt idx="3">
                  <c:v>3.29</c:v>
                </c:pt>
                <c:pt idx="4">
                  <c:v>3.67</c:v>
                </c:pt>
                <c:pt idx="5">
                  <c:v>3.77</c:v>
                </c:pt>
                <c:pt idx="6">
                  <c:v>3.88</c:v>
                </c:pt>
                <c:pt idx="7">
                  <c:v>3.58</c:v>
                </c:pt>
                <c:pt idx="8">
                  <c:v>3.61</c:v>
                </c:pt>
                <c:pt idx="9">
                  <c:v>4</c:v>
                </c:pt>
                <c:pt idx="10">
                  <c:v>3.98</c:v>
                </c:pt>
                <c:pt idx="11">
                  <c:v>3.98</c:v>
                </c:pt>
              </c:numCache>
            </c:numRef>
          </c:val>
          <c:extLst xmlns:c16r2="http://schemas.microsoft.com/office/drawing/2015/06/chart">
            <c:ext xmlns:c16="http://schemas.microsoft.com/office/drawing/2014/chart" uri="{C3380CC4-5D6E-409C-BE32-E72D297353CC}">
              <c16:uniqueId val="{00000000-9A08-4ED5-9D20-01F910F94EB6}"/>
            </c:ext>
          </c:extLst>
        </c:ser>
        <c:dLbls>
          <c:showVal val="1"/>
        </c:dLbls>
        <c:gapWidth val="60"/>
        <c:axId val="259398272"/>
        <c:axId val="259441024"/>
      </c:barChart>
      <c:lineChart>
        <c:grouping val="standard"/>
        <c:ser>
          <c:idx val="0"/>
          <c:order val="1"/>
          <c:tx>
            <c:strRef>
              <c:f>'05-移动端十大类APP网络使用黏性'!$A$229</c:f>
              <c:strCache>
                <c:ptCount val="1"/>
                <c:pt idx="0">
                  <c:v>环比增长率</c:v>
                </c:pt>
              </c:strCache>
            </c:strRef>
          </c:tx>
          <c:spPr>
            <a:ln w="25400">
              <a:solidFill>
                <a:srgbClr val="B2D234"/>
              </a:solidFill>
              <a:prstDash val="solid"/>
            </a:ln>
          </c:spPr>
          <c:marker>
            <c:symbol val="circle"/>
            <c:size val="5"/>
            <c:spPr>
              <a:solidFill>
                <a:srgbClr val="B2D234"/>
              </a:solidFill>
              <a:ln>
                <a:solidFill>
                  <a:srgbClr val="B2D234"/>
                </a:solidFill>
                <a:prstDash val="solid"/>
              </a:ln>
            </c:spPr>
          </c:marker>
          <c:dLbls>
            <c:dLbl>
              <c:idx val="0"/>
              <c:layout>
                <c:manualLayout>
                  <c:x val="-5.0793859100945922E-2"/>
                  <c:y val="-5.251208084970738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08-4ED5-9D20-01F910F94EB6}"/>
                </c:ext>
              </c:extLst>
            </c:dLbl>
            <c:dLbl>
              <c:idx val="1"/>
              <c:layout>
                <c:manualLayout>
                  <c:x val="-4.7619047619047623E-2"/>
                  <c:y val="-4.2999915333163996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A08-4ED5-9D20-01F910F94EB6}"/>
                </c:ext>
              </c:extLst>
            </c:dLbl>
            <c:dLbl>
              <c:idx val="2"/>
              <c:layout>
                <c:manualLayout>
                  <c:x val="-4.6576128478989565E-2"/>
                  <c:y val="-3.832281510716867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A08-4ED5-9D20-01F910F94EB6}"/>
                </c:ext>
              </c:extLst>
            </c:dLbl>
            <c:dLbl>
              <c:idx val="3"/>
              <c:layout>
                <c:manualLayout>
                  <c:x val="-3.5294129900429141E-2"/>
                  <c:y val="-5.5552121405385083E-2"/>
                </c:manualLayout>
              </c:layout>
              <c:dLblPos val="r"/>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A08-4ED5-9D20-01F910F94EB6}"/>
                </c:ext>
              </c:extLst>
            </c:dLbl>
            <c:numFmt formatCode="0.0%" sourceLinked="0"/>
            <c:spPr>
              <a:noFill/>
              <a:ln w="25400">
                <a:noFill/>
              </a:ln>
            </c:spPr>
            <c:dLblPos val="t"/>
            <c:showVal val="1"/>
            <c:extLst xmlns:c16r2="http://schemas.microsoft.com/office/drawing/2015/06/chart">
              <c:ext xmlns:c15="http://schemas.microsoft.com/office/drawing/2012/chart" uri="{CE6537A1-D6FC-4f65-9D91-7224C49458BB}">
                <c15:layout/>
                <c15:showLeaderLines val="0"/>
              </c:ext>
            </c:extLst>
          </c:dLbls>
          <c:cat>
            <c:strRef>
              <c:f>'05-移动端十大类APP网络使用黏性'!$B$227:$M$227</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'05-移动端十大类APP网络使用黏性'!$B$229:$M$229</c:f>
              <c:numCache>
                <c:formatCode>0.0%</c:formatCode>
                <c:ptCount val="12"/>
                <c:pt idx="1">
                  <c:v>6.349206349206331E-3</c:v>
                </c:pt>
                <c:pt idx="2">
                  <c:v>-3.1545741324920974E-3</c:v>
                </c:pt>
                <c:pt idx="3">
                  <c:v>4.1139240506329069E-2</c:v>
                </c:pt>
                <c:pt idx="4">
                  <c:v>0.11550151975683899</c:v>
                </c:pt>
                <c:pt idx="5">
                  <c:v>2.7247956403269762E-2</c:v>
                </c:pt>
                <c:pt idx="6">
                  <c:v>2.917771883289123E-2</c:v>
                </c:pt>
                <c:pt idx="7">
                  <c:v>-7.7319587628865982E-2</c:v>
                </c:pt>
                <c:pt idx="8">
                  <c:v>8.3798882681562926E-3</c:v>
                </c:pt>
                <c:pt idx="9">
                  <c:v>0.10803324099723015</c:v>
                </c:pt>
                <c:pt idx="10">
                  <c:v>-5.0000000000000079E-3</c:v>
                </c:pt>
                <c:pt idx="11">
                  <c:v>0</c:v>
                </c:pt>
              </c:numCache>
            </c:numRef>
          </c:val>
          <c:extLst xmlns:c16r2="http://schemas.microsoft.com/office/drawing/2015/06/chart">
            <c:ext xmlns:c16="http://schemas.microsoft.com/office/drawing/2014/chart" uri="{C3380CC4-5D6E-409C-BE32-E72D297353CC}">
              <c16:uniqueId val="{00000005-9A08-4ED5-9D20-01F910F94EB6}"/>
            </c:ext>
          </c:extLst>
        </c:ser>
        <c:dLbls>
          <c:showVal val="1"/>
        </c:dLbls>
        <c:marker val="1"/>
        <c:axId val="259442560"/>
        <c:axId val="259444096"/>
      </c:lineChart>
      <c:catAx>
        <c:axId val="259398272"/>
        <c:scaling>
          <c:orientation val="minMax"/>
        </c:scaling>
        <c:axPos val="b"/>
        <c:numFmt formatCode="General" sourceLinked="1"/>
        <c:majorTickMark val="none"/>
        <c:tickLblPos val="low"/>
        <c:spPr>
          <a:ln w="3175">
            <a:solidFill>
              <a:schemeClr val="tx1">
                <a:lumMod val="50000"/>
                <a:lumOff val="50000"/>
              </a:schemeClr>
            </a:solidFill>
            <a:prstDash val="solid"/>
          </a:ln>
        </c:spPr>
        <c:txPr>
          <a:bodyPr rot="0" vert="horz"/>
          <a:lstStyle/>
          <a:p>
            <a:pPr>
              <a:defRPr/>
            </a:pPr>
            <a:endParaRPr lang="zh-CN"/>
          </a:p>
        </c:txPr>
        <c:crossAx val="259441024"/>
        <c:crosses val="autoZero"/>
        <c:lblAlgn val="ctr"/>
        <c:lblOffset val="100"/>
        <c:tickLblSkip val="1"/>
        <c:tickMarkSkip val="1"/>
      </c:catAx>
      <c:valAx>
        <c:axId val="259441024"/>
        <c:scaling>
          <c:orientation val="minMax"/>
          <c:max val="7"/>
          <c:min val="0"/>
        </c:scaling>
        <c:axPos val="l"/>
        <c:majorGridlines>
          <c:spPr>
            <a:ln w="12700">
              <a:noFill/>
              <a:prstDash val="solid"/>
            </a:ln>
          </c:spPr>
        </c:majorGridlines>
        <c:numFmt formatCode="General" sourceLinked="0"/>
        <c:majorTickMark val="none"/>
        <c:tickLblPos val="nextTo"/>
        <c:spPr>
          <a:ln w="3175">
            <a:solidFill>
              <a:schemeClr val="tx1">
                <a:lumMod val="50000"/>
                <a:lumOff val="50000"/>
              </a:schemeClr>
            </a:solidFill>
            <a:prstDash val="solid"/>
          </a:ln>
        </c:spPr>
        <c:txPr>
          <a:bodyPr rot="0" vert="horz"/>
          <a:lstStyle/>
          <a:p>
            <a:pPr>
              <a:defRPr/>
            </a:pPr>
            <a:endParaRPr lang="zh-CN"/>
          </a:p>
        </c:txPr>
        <c:crossAx val="259398272"/>
        <c:crosses val="autoZero"/>
        <c:crossBetween val="between"/>
        <c:majorUnit val="2"/>
        <c:minorUnit val="1"/>
      </c:valAx>
      <c:catAx>
        <c:axId val="259442560"/>
        <c:scaling>
          <c:orientation val="minMax"/>
        </c:scaling>
        <c:delete val="1"/>
        <c:axPos val="b"/>
        <c:numFmt formatCode="General" sourceLinked="1"/>
        <c:tickLblPos val="none"/>
        <c:crossAx val="259444096"/>
        <c:crosses val="autoZero"/>
        <c:lblAlgn val="ctr"/>
        <c:lblOffset val="100"/>
      </c:catAx>
      <c:valAx>
        <c:axId val="259444096"/>
        <c:scaling>
          <c:orientation val="minMax"/>
          <c:max val="0.30000000000000027"/>
          <c:min val="-1.7"/>
        </c:scaling>
        <c:axPos val="r"/>
        <c:numFmt formatCode="General" sourceLinked="1"/>
        <c:majorTickMark val="none"/>
        <c:tickLblPos val="none"/>
        <c:spPr>
          <a:ln w="3175">
            <a:noFill/>
            <a:prstDash val="solid"/>
          </a:ln>
        </c:spPr>
        <c:crossAx val="259442560"/>
        <c:crosses val="max"/>
        <c:crossBetween val="between"/>
        <c:majorUnit val="0.29000000000000031"/>
        <c:minorUnit val="0.29000000000000031"/>
      </c:valAx>
      <c:spPr>
        <a:noFill/>
        <a:ln w="12700">
          <a:noFill/>
          <a:prstDash val="solid"/>
        </a:ln>
      </c:spPr>
    </c:plotArea>
    <c:legend>
      <c:legendPos val="r"/>
      <c:layout>
        <c:manualLayout>
          <c:xMode val="edge"/>
          <c:yMode val="edge"/>
          <c:x val="0.1307320775116434"/>
          <c:y val="0.72104444444444504"/>
          <c:w val="0.78985335166437565"/>
          <c:h val="6.9777083333333434E-2"/>
        </c:manualLayout>
      </c:layout>
      <c:spPr>
        <a:solidFill>
          <a:srgbClr val="FFFFFF"/>
        </a:solidFill>
        <a:ln w="25400">
          <a:noFill/>
        </a:ln>
      </c:spPr>
    </c:legend>
    <c:plotVisOnly val="1"/>
    <c:dispBlanksAs val="gap"/>
  </c:chart>
  <c:spPr>
    <a:solidFill>
      <a:srgbClr val="FFFFFF"/>
    </a:solidFill>
    <a:ln w="3175">
      <a:solidFill>
        <a:schemeClr val="tx1">
          <a:lumMod val="50000"/>
          <a:lumOff val="50000"/>
        </a:schemeClr>
      </a:solidFill>
      <a:prstDash val="solid"/>
    </a:ln>
  </c:spPr>
  <c:txPr>
    <a:bodyPr/>
    <a:lstStyle/>
    <a:p>
      <a:pPr>
        <a:defRPr sz="800" b="0" i="0" u="none" strike="noStrike" baseline="0">
          <a:solidFill>
            <a:srgbClr val="000000"/>
          </a:solidFill>
          <a:latin typeface="微软雅黑" panose="020B0503020204020204" pitchFamily="34" charset="-122"/>
          <a:ea typeface="微软雅黑" panose="020B0503020204020204" pitchFamily="34" charset="-122"/>
          <a:cs typeface="华文细黑"/>
        </a:defRPr>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0.02352</cdr:x>
      <cdr:y>0.8169</cdr:y>
    </cdr:from>
    <cdr:to>
      <cdr:x>0.98427</cdr:x>
      <cdr:y>0.97565</cdr:y>
    </cdr:to>
    <cdr:sp macro="" textlink="">
      <cdr:nvSpPr>
        <cdr:cNvPr id="18433" name="Text Box 1"/>
        <cdr:cNvSpPr txBox="1">
          <a:spLocks xmlns:a="http://schemas.openxmlformats.org/drawingml/2006/main" noChangeArrowheads="1"/>
        </cdr:cNvSpPr>
      </cdr:nvSpPr>
      <cdr:spPr bwMode="auto">
        <a:xfrm xmlns:a="http://schemas.openxmlformats.org/drawingml/2006/main">
          <a:off x="113122" y="2352675"/>
          <a:ext cx="4620804" cy="4572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xml><?xml version="1.0" encoding="utf-8"?>
<c:userShapes xmlns:c="http://schemas.openxmlformats.org/drawingml/2006/chart">
  <cdr:relSizeAnchor xmlns:cdr="http://schemas.openxmlformats.org/drawingml/2006/chartDrawing">
    <cdr:from>
      <cdr:x>0.0275</cdr:x>
      <cdr:y>0.80367</cdr:y>
    </cdr:from>
    <cdr:to>
      <cdr:x>0.97624</cdr:x>
      <cdr:y>0.97956</cdr:y>
    </cdr:to>
    <cdr:sp macro="" textlink="">
      <cdr:nvSpPr>
        <cdr:cNvPr id="18433" name="Text Box 1"/>
        <cdr:cNvSpPr txBox="1">
          <a:spLocks xmlns:a="http://schemas.openxmlformats.org/drawingml/2006/main" noChangeArrowheads="1"/>
        </cdr:cNvSpPr>
      </cdr:nvSpPr>
      <cdr:spPr bwMode="auto">
        <a:xfrm xmlns:a="http://schemas.openxmlformats.org/drawingml/2006/main">
          <a:off x="132278" y="2314575"/>
          <a:ext cx="4563558" cy="50655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0.xml><?xml version="1.0" encoding="utf-8"?>
<c:userShapes xmlns:c="http://schemas.openxmlformats.org/drawingml/2006/chart">
  <cdr:relSizeAnchor xmlns:cdr="http://schemas.openxmlformats.org/drawingml/2006/chartDrawing">
    <cdr:from>
      <cdr:x>0.02839</cdr:x>
      <cdr:y>0.8147</cdr:y>
    </cdr:from>
    <cdr:to>
      <cdr:x>0.97586</cdr:x>
      <cdr:y>0.98449</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463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1.xml><?xml version="1.0" encoding="utf-8"?>
<c:userShapes xmlns:c="http://schemas.openxmlformats.org/drawingml/2006/chart">
  <cdr:relSizeAnchor xmlns:cdr="http://schemas.openxmlformats.org/drawingml/2006/chartDrawing">
    <cdr:from>
      <cdr:x>0.02448</cdr:x>
      <cdr:y>0.82903</cdr:y>
    </cdr:from>
    <cdr:to>
      <cdr:x>0.97562</cdr:x>
      <cdr:y>0.97496</cdr:y>
    </cdr:to>
    <cdr:sp macro="" textlink="">
      <cdr:nvSpPr>
        <cdr:cNvPr id="3" name="Text Box 1"/>
        <cdr:cNvSpPr txBox="1">
          <a:spLocks xmlns:a="http://schemas.openxmlformats.org/drawingml/2006/main" noChangeArrowheads="1"/>
        </cdr:cNvSpPr>
      </cdr:nvSpPr>
      <cdr:spPr bwMode="auto">
        <a:xfrm xmlns:a="http://schemas.openxmlformats.org/drawingml/2006/main">
          <a:off x="117741" y="2686050"/>
          <a:ext cx="4574604" cy="4728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2.xml><?xml version="1.0" encoding="utf-8"?>
<c:userShapes xmlns:c="http://schemas.openxmlformats.org/drawingml/2006/chart">
  <cdr:relSizeAnchor xmlns:cdr="http://schemas.openxmlformats.org/drawingml/2006/chartDrawing">
    <cdr:from>
      <cdr:x>0.02839</cdr:x>
      <cdr:y>0.8147</cdr:y>
    </cdr:from>
    <cdr:to>
      <cdr:x>0.97586</cdr:x>
      <cdr:y>0.98449</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463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3.xml><?xml version="1.0" encoding="utf-8"?>
<c:userShapes xmlns:c="http://schemas.openxmlformats.org/drawingml/2006/chart">
  <cdr:relSizeAnchor xmlns:cdr="http://schemas.openxmlformats.org/drawingml/2006/chartDrawing">
    <cdr:from>
      <cdr:x>0.03235</cdr:x>
      <cdr:y>0.79485</cdr:y>
    </cdr:from>
    <cdr:to>
      <cdr:x>0.97982</cdr:x>
      <cdr:y>0.96464</cdr:y>
    </cdr:to>
    <cdr:sp macro="" textlink="">
      <cdr:nvSpPr>
        <cdr:cNvPr id="2" name="Text Box 1"/>
        <cdr:cNvSpPr txBox="1">
          <a:spLocks xmlns:a="http://schemas.openxmlformats.org/drawingml/2006/main" noChangeArrowheads="1"/>
        </cdr:cNvSpPr>
      </cdr:nvSpPr>
      <cdr:spPr bwMode="auto">
        <a:xfrm xmlns:a="http://schemas.openxmlformats.org/drawingml/2006/main">
          <a:off x="155575" y="22891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4.xml><?xml version="1.0" encoding="utf-8"?>
<c:userShapes xmlns:c="http://schemas.openxmlformats.org/drawingml/2006/chart">
  <cdr:relSizeAnchor xmlns:cdr="http://schemas.openxmlformats.org/drawingml/2006/chartDrawing">
    <cdr:from>
      <cdr:x>0.02443</cdr:x>
      <cdr:y>0.80477</cdr:y>
    </cdr:from>
    <cdr:to>
      <cdr:x>0.9719</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117475" y="231775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5.xml><?xml version="1.0" encoding="utf-8"?>
<c:userShapes xmlns:c="http://schemas.openxmlformats.org/drawingml/2006/chart">
  <cdr:relSizeAnchor xmlns:cdr="http://schemas.openxmlformats.org/drawingml/2006/chartDrawing">
    <cdr:from>
      <cdr:x>0.02641</cdr:x>
      <cdr:y>0.8147</cdr:y>
    </cdr:from>
    <cdr:to>
      <cdr:x>0.97388</cdr:x>
      <cdr:y>0.98449</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463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6.xml><?xml version="1.0" encoding="utf-8"?>
<c:userShapes xmlns:c="http://schemas.openxmlformats.org/drawingml/2006/chart">
  <cdr:relSizeAnchor xmlns:cdr="http://schemas.openxmlformats.org/drawingml/2006/chartDrawing">
    <cdr:from>
      <cdr:x>0.02306</cdr:x>
      <cdr:y>0.84373</cdr:y>
    </cdr:from>
    <cdr:to>
      <cdr:x>0.9742</cdr:x>
      <cdr:y>0.97745</cdr:y>
    </cdr:to>
    <cdr:sp macro="" textlink="">
      <cdr:nvSpPr>
        <cdr:cNvPr id="3" name="Text Box 1"/>
        <cdr:cNvSpPr txBox="1">
          <a:spLocks xmlns:a="http://schemas.openxmlformats.org/drawingml/2006/main" noChangeArrowheads="1"/>
        </cdr:cNvSpPr>
      </cdr:nvSpPr>
      <cdr:spPr bwMode="auto">
        <a:xfrm xmlns:a="http://schemas.openxmlformats.org/drawingml/2006/main">
          <a:off x="110909" y="2733677"/>
          <a:ext cx="4574603" cy="43326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7.xml><?xml version="1.0" encoding="utf-8"?>
<c:userShapes xmlns:c="http://schemas.openxmlformats.org/drawingml/2006/chart">
  <cdr:relSizeAnchor xmlns:cdr="http://schemas.openxmlformats.org/drawingml/2006/chartDrawing">
    <cdr:from>
      <cdr:x>0.02641</cdr:x>
      <cdr:y>0.77398</cdr:y>
    </cdr:from>
    <cdr:to>
      <cdr:x>0.97388</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127019" y="2228850"/>
          <a:ext cx="4556847" cy="57761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万台独立移动设备样本网络行为的长期监测数据获得。其中应用分发类</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APP</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是艾瑞在</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2017</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年新监测分类，具体包括应用商店、厂商商店和游戏商店等类别。</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8.xml><?xml version="1.0" encoding="utf-8"?>
<c:userShapes xmlns:c="http://schemas.openxmlformats.org/drawingml/2006/chart">
  <cdr:relSizeAnchor xmlns:cdr="http://schemas.openxmlformats.org/drawingml/2006/chartDrawing">
    <cdr:from>
      <cdr:x>0.02443</cdr:x>
      <cdr:y>0.79816</cdr:y>
    </cdr:from>
    <cdr:to>
      <cdr:x>0.9719</cdr:x>
      <cdr:y>0.96795</cdr:y>
    </cdr:to>
    <cdr:sp macro="" textlink="">
      <cdr:nvSpPr>
        <cdr:cNvPr id="2" name="Text Box 1"/>
        <cdr:cNvSpPr txBox="1">
          <a:spLocks xmlns:a="http://schemas.openxmlformats.org/drawingml/2006/main" noChangeArrowheads="1"/>
        </cdr:cNvSpPr>
      </cdr:nvSpPr>
      <cdr:spPr bwMode="auto">
        <a:xfrm xmlns:a="http://schemas.openxmlformats.org/drawingml/2006/main">
          <a:off x="117475" y="229870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09.xml><?xml version="1.0" encoding="utf-8"?>
<c:userShapes xmlns:c="http://schemas.openxmlformats.org/drawingml/2006/chart">
  <cdr:relSizeAnchor xmlns:cdr="http://schemas.openxmlformats.org/drawingml/2006/chartDrawing">
    <cdr:from>
      <cdr:x>0.02046</cdr:x>
      <cdr:y>0.80477</cdr:y>
    </cdr:from>
    <cdr:to>
      <cdr:x>0.96794</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98425" y="231775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xml><?xml version="1.0" encoding="utf-8"?>
<c:userShapes xmlns:c="http://schemas.openxmlformats.org/drawingml/2006/chart">
  <cdr:relSizeAnchor xmlns:cdr="http://schemas.openxmlformats.org/drawingml/2006/chartDrawing">
    <cdr:from>
      <cdr:x>0.02664</cdr:x>
      <cdr:y>0.81359</cdr:y>
    </cdr:from>
    <cdr:to>
      <cdr:x>0.97425</cdr:x>
      <cdr:y>0.97667</cdr:y>
    </cdr:to>
    <cdr:sp macro="" textlink="">
      <cdr:nvSpPr>
        <cdr:cNvPr id="2" name="Text Box 1"/>
        <cdr:cNvSpPr txBox="1">
          <a:spLocks xmlns:a="http://schemas.openxmlformats.org/drawingml/2006/main" noChangeArrowheads="1"/>
        </cdr:cNvSpPr>
      </cdr:nvSpPr>
      <cdr:spPr bwMode="auto">
        <a:xfrm xmlns:a="http://schemas.openxmlformats.org/drawingml/2006/main">
          <a:off x="128125" y="2343150"/>
          <a:ext cx="4557521" cy="46966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110.xml><?xml version="1.0" encoding="utf-8"?>
<c:userShapes xmlns:c="http://schemas.openxmlformats.org/drawingml/2006/chart">
  <cdr:relSizeAnchor xmlns:cdr="http://schemas.openxmlformats.org/drawingml/2006/chartDrawing">
    <cdr:from>
      <cdr:x>0.02839</cdr:x>
      <cdr:y>0.80147</cdr:y>
    </cdr:from>
    <cdr:to>
      <cdr:x>0.97586</cdr:x>
      <cdr:y>0.97126</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082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1.xml><?xml version="1.0" encoding="utf-8"?>
<c:userShapes xmlns:c="http://schemas.openxmlformats.org/drawingml/2006/chart">
  <cdr:relSizeAnchor xmlns:cdr="http://schemas.openxmlformats.org/drawingml/2006/chartDrawing">
    <cdr:from>
      <cdr:x>0.02845</cdr:x>
      <cdr:y>0.84373</cdr:y>
    </cdr:from>
    <cdr:to>
      <cdr:x>0.97959</cdr:x>
      <cdr:y>0.97708</cdr:y>
    </cdr:to>
    <cdr:sp macro="" textlink="">
      <cdr:nvSpPr>
        <cdr:cNvPr id="3" name="Text Box 1"/>
        <cdr:cNvSpPr txBox="1">
          <a:spLocks xmlns:a="http://schemas.openxmlformats.org/drawingml/2006/main" noChangeArrowheads="1"/>
        </cdr:cNvSpPr>
      </cdr:nvSpPr>
      <cdr:spPr bwMode="auto">
        <a:xfrm xmlns:a="http://schemas.openxmlformats.org/drawingml/2006/main">
          <a:off x="136833" y="2733675"/>
          <a:ext cx="4574603" cy="43206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2.xml><?xml version="1.0" encoding="utf-8"?>
<c:userShapes xmlns:c="http://schemas.openxmlformats.org/drawingml/2006/chart">
  <cdr:relSizeAnchor xmlns:cdr="http://schemas.openxmlformats.org/drawingml/2006/chartDrawing">
    <cdr:from>
      <cdr:x>0.02443</cdr:x>
      <cdr:y>0.81367</cdr:y>
    </cdr:from>
    <cdr:to>
      <cdr:x>0.9719</cdr:x>
      <cdr:y>0.98346</cdr:y>
    </cdr:to>
    <cdr:sp macro="" textlink="">
      <cdr:nvSpPr>
        <cdr:cNvPr id="2" name="Text Box 1"/>
        <cdr:cNvSpPr txBox="1">
          <a:spLocks xmlns:a="http://schemas.openxmlformats.org/drawingml/2006/main" noChangeArrowheads="1"/>
        </cdr:cNvSpPr>
      </cdr:nvSpPr>
      <cdr:spPr bwMode="auto">
        <a:xfrm xmlns:a="http://schemas.openxmlformats.org/drawingml/2006/main">
          <a:off x="117475" y="234338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3.xml><?xml version="1.0" encoding="utf-8"?>
<c:userShapes xmlns:c="http://schemas.openxmlformats.org/drawingml/2006/chart">
  <cdr:relSizeAnchor xmlns:cdr="http://schemas.openxmlformats.org/drawingml/2006/chartDrawing">
    <cdr:from>
      <cdr:x>0.03433</cdr:x>
      <cdr:y>0.8147</cdr:y>
    </cdr:from>
    <cdr:to>
      <cdr:x>0.9818</cdr:x>
      <cdr:y>0.98449</cdr:y>
    </cdr:to>
    <cdr:sp macro="" textlink="">
      <cdr:nvSpPr>
        <cdr:cNvPr id="2" name="Text Box 1"/>
        <cdr:cNvSpPr txBox="1">
          <a:spLocks xmlns:a="http://schemas.openxmlformats.org/drawingml/2006/main" noChangeArrowheads="1"/>
        </cdr:cNvSpPr>
      </cdr:nvSpPr>
      <cdr:spPr bwMode="auto">
        <a:xfrm xmlns:a="http://schemas.openxmlformats.org/drawingml/2006/main">
          <a:off x="165100" y="23463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4.xml><?xml version="1.0" encoding="utf-8"?>
<c:userShapes xmlns:c="http://schemas.openxmlformats.org/drawingml/2006/chart">
  <cdr:relSizeAnchor xmlns:cdr="http://schemas.openxmlformats.org/drawingml/2006/chartDrawing">
    <cdr:from>
      <cdr:x>0.03037</cdr:x>
      <cdr:y>0.81367</cdr:y>
    </cdr:from>
    <cdr:to>
      <cdr:x>0.97784</cdr:x>
      <cdr:y>0.98346</cdr:y>
    </cdr:to>
    <cdr:sp macro="" textlink="">
      <cdr:nvSpPr>
        <cdr:cNvPr id="2" name="Text Box 1"/>
        <cdr:cNvSpPr txBox="1">
          <a:spLocks xmlns:a="http://schemas.openxmlformats.org/drawingml/2006/main" noChangeArrowheads="1"/>
        </cdr:cNvSpPr>
      </cdr:nvSpPr>
      <cdr:spPr bwMode="auto">
        <a:xfrm xmlns:a="http://schemas.openxmlformats.org/drawingml/2006/main">
          <a:off x="146050" y="234338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5.xml><?xml version="1.0" encoding="utf-8"?>
<c:userShapes xmlns:c="http://schemas.openxmlformats.org/drawingml/2006/chart">
  <cdr:relSizeAnchor xmlns:cdr="http://schemas.openxmlformats.org/drawingml/2006/chartDrawing">
    <cdr:from>
      <cdr:x>0.03235</cdr:x>
      <cdr:y>0.80706</cdr:y>
    </cdr:from>
    <cdr:to>
      <cdr:x>0.97982</cdr:x>
      <cdr:y>0.97685</cdr:y>
    </cdr:to>
    <cdr:sp macro="" textlink="">
      <cdr:nvSpPr>
        <cdr:cNvPr id="2" name="Text Box 1"/>
        <cdr:cNvSpPr txBox="1">
          <a:spLocks xmlns:a="http://schemas.openxmlformats.org/drawingml/2006/main" noChangeArrowheads="1"/>
        </cdr:cNvSpPr>
      </cdr:nvSpPr>
      <cdr:spPr bwMode="auto">
        <a:xfrm xmlns:a="http://schemas.openxmlformats.org/drawingml/2006/main">
          <a:off x="155575" y="232433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6.xml><?xml version="1.0" encoding="utf-8"?>
<c:userShapes xmlns:c="http://schemas.openxmlformats.org/drawingml/2006/chart">
  <cdr:relSizeAnchor xmlns:cdr="http://schemas.openxmlformats.org/drawingml/2006/chartDrawing">
    <cdr:from>
      <cdr:x>0.02646</cdr:x>
      <cdr:y>0.83785</cdr:y>
    </cdr:from>
    <cdr:to>
      <cdr:x>0.9776</cdr:x>
      <cdr:y>0.97472</cdr:y>
    </cdr:to>
    <cdr:sp macro="" textlink="">
      <cdr:nvSpPr>
        <cdr:cNvPr id="3" name="Text Box 1"/>
        <cdr:cNvSpPr txBox="1">
          <a:spLocks xmlns:a="http://schemas.openxmlformats.org/drawingml/2006/main" noChangeArrowheads="1"/>
        </cdr:cNvSpPr>
      </cdr:nvSpPr>
      <cdr:spPr bwMode="auto">
        <a:xfrm xmlns:a="http://schemas.openxmlformats.org/drawingml/2006/main">
          <a:off x="127262" y="2714625"/>
          <a:ext cx="4574603" cy="44346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7.xml><?xml version="1.0" encoding="utf-8"?>
<c:userShapes xmlns:c="http://schemas.openxmlformats.org/drawingml/2006/chart">
  <cdr:relSizeAnchor xmlns:cdr="http://schemas.openxmlformats.org/drawingml/2006/chartDrawing">
    <cdr:from>
      <cdr:x>0.02945</cdr:x>
      <cdr:y>0.80367</cdr:y>
    </cdr:from>
    <cdr:to>
      <cdr:x>0.97682</cdr:x>
      <cdr:y>0.96828</cdr:y>
    </cdr:to>
    <cdr:sp macro="" textlink="">
      <cdr:nvSpPr>
        <cdr:cNvPr id="18433" name="Text Box 1"/>
        <cdr:cNvSpPr txBox="1">
          <a:spLocks xmlns:a="http://schemas.openxmlformats.org/drawingml/2006/main" noChangeArrowheads="1"/>
        </cdr:cNvSpPr>
      </cdr:nvSpPr>
      <cdr:spPr bwMode="auto">
        <a:xfrm xmlns:a="http://schemas.openxmlformats.org/drawingml/2006/main">
          <a:off x="141217" y="2314575"/>
          <a:ext cx="4542787" cy="47407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来源：陕西省通信管理局。</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18.xml><?xml version="1.0" encoding="utf-8"?>
<c:userShapes xmlns:c="http://schemas.openxmlformats.org/drawingml/2006/chart">
  <cdr:relSizeAnchor xmlns:cdr="http://schemas.openxmlformats.org/drawingml/2006/chartDrawing">
    <cdr:from>
      <cdr:x>0.0374</cdr:x>
      <cdr:y>0.83303</cdr:y>
    </cdr:from>
    <cdr:to>
      <cdr:x>0.98477</cdr:x>
      <cdr:y>0.97922</cdr:y>
    </cdr:to>
    <cdr:sp macro="" textlink="">
      <cdr:nvSpPr>
        <cdr:cNvPr id="2" name="矩形 1"/>
        <cdr:cNvSpPr/>
      </cdr:nvSpPr>
      <cdr:spPr>
        <a:xfrm xmlns:a="http://schemas.openxmlformats.org/drawingml/2006/main">
          <a:off x="179891" y="3094125"/>
          <a:ext cx="4556471" cy="542974"/>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vert="horz" wrap="square" lIns="27432" tIns="32004" rIns="0" bIns="0" anchor="t" anchorCtr="0" upright="1">
          <a:normAutofit/>
        </a:bodyPr>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来源：陕西省通信管理局。</a:t>
          </a:r>
          <a:endPar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————————————————————————————————————————©2018.6 iResearch Inc.                                                                          www.iresearch.com.cn</a:t>
          </a:r>
        </a:p>
      </cdr:txBody>
    </cdr:sp>
  </cdr:relSizeAnchor>
</c:userShapes>
</file>

<file path=word/drawings/drawing119.xml><?xml version="1.0" encoding="utf-8"?>
<c:userShapes xmlns:c="http://schemas.openxmlformats.org/drawingml/2006/chart">
  <cdr:relSizeAnchor xmlns:cdr="http://schemas.openxmlformats.org/drawingml/2006/chartDrawing">
    <cdr:from>
      <cdr:x>0.02945</cdr:x>
      <cdr:y>0.81344</cdr:y>
    </cdr:from>
    <cdr:to>
      <cdr:x>0.97682</cdr:x>
      <cdr:y>0.96828</cdr:y>
    </cdr:to>
    <cdr:sp macro="" textlink="">
      <cdr:nvSpPr>
        <cdr:cNvPr id="2" name="矩形 1"/>
        <cdr:cNvSpPr/>
      </cdr:nvSpPr>
      <cdr:spPr>
        <a:xfrm xmlns:a="http://schemas.openxmlformats.org/drawingml/2006/main">
          <a:off x="141239" y="2930978"/>
          <a:ext cx="4542787" cy="557893"/>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vert="horz" wrap="square" lIns="27432" tIns="32004" rIns="0" bIns="0" anchor="t" anchorCtr="0" upright="1">
          <a:normAutofit/>
        </a:bodyPr>
        <a:lstStyle xmlns:a="http://schemas.openxmlformats.org/drawingml/2006/main"/>
        <a:p xmlns:a="http://schemas.openxmlformats.org/drawingml/2006/main">
          <a:pPr algn="l" rtl="0">
            <a:defRPr sz="1000"/>
          </a:pP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来源：根据</a:t>
          </a: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CNNIC</a:t>
          </a: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历年中国互联网络发展状况统计报告整理获得。</a:t>
          </a:r>
          <a:endPar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endParaRPr>
        </a:p>
        <a:p xmlns:a="http://schemas.openxmlformats.org/drawingml/2006/main">
          <a:pPr algn="l" rtl="0">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p>
        <a:p xmlns:a="http://schemas.openxmlformats.org/drawingml/2006/main">
          <a:pPr algn="l" rtl="0">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©2018.6 iResearch Inc.                                                                             www.iresearch.com.cn</a:t>
          </a:r>
        </a:p>
      </cdr:txBody>
    </cdr:sp>
  </cdr:relSizeAnchor>
</c:userShapes>
</file>

<file path=word/drawings/drawing12.xml><?xml version="1.0" encoding="utf-8"?>
<c:userShapes xmlns:c="http://schemas.openxmlformats.org/drawingml/2006/chart">
  <cdr:relSizeAnchor xmlns:cdr="http://schemas.openxmlformats.org/drawingml/2006/chartDrawing">
    <cdr:from>
      <cdr:x>0.0275</cdr:x>
      <cdr:y>0.80698</cdr:y>
    </cdr:from>
    <cdr:to>
      <cdr:x>0.97624</cdr:x>
      <cdr:y>0.97956</cdr:y>
    </cdr:to>
    <cdr:sp macro="" textlink="">
      <cdr:nvSpPr>
        <cdr:cNvPr id="18433" name="Text Box 1"/>
        <cdr:cNvSpPr txBox="1">
          <a:spLocks xmlns:a="http://schemas.openxmlformats.org/drawingml/2006/main" noChangeArrowheads="1"/>
        </cdr:cNvSpPr>
      </cdr:nvSpPr>
      <cdr:spPr bwMode="auto">
        <a:xfrm xmlns:a="http://schemas.openxmlformats.org/drawingml/2006/main">
          <a:off x="132278" y="2324100"/>
          <a:ext cx="4563558" cy="49703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20.xml><?xml version="1.0" encoding="utf-8"?>
<c:userShapes xmlns:c="http://schemas.openxmlformats.org/drawingml/2006/chart">
  <cdr:relSizeAnchor xmlns:cdr="http://schemas.openxmlformats.org/drawingml/2006/chartDrawing">
    <cdr:from>
      <cdr:x>0.03146</cdr:x>
      <cdr:y>0.80706</cdr:y>
    </cdr:from>
    <cdr:to>
      <cdr:x>0.97883</cdr:x>
      <cdr:y>0.96913</cdr:y>
    </cdr:to>
    <cdr:sp macro="" textlink="">
      <cdr:nvSpPr>
        <cdr:cNvPr id="2" name="矩形 1"/>
        <cdr:cNvSpPr/>
      </cdr:nvSpPr>
      <cdr:spPr>
        <a:xfrm xmlns:a="http://schemas.openxmlformats.org/drawingml/2006/main">
          <a:off x="151324" y="2324100"/>
          <a:ext cx="4556968" cy="466724"/>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vert="horz" wrap="square" lIns="27432" tIns="32004" rIns="0" bIns="0" anchor="t" anchorCtr="0" upright="1">
          <a:normAutofit/>
        </a:bodyPr>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来源：根据陕西省历年国民经济和社会发展统计公报整理获得。</a:t>
          </a:r>
          <a:endPar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©2018.6 iResearch Inc.                                                                             www.iresearch.com.cn</a:t>
          </a:r>
        </a:p>
      </cdr:txBody>
    </cdr:sp>
  </cdr:relSizeAnchor>
</c:userShapes>
</file>

<file path=word/drawings/drawing121.xml><?xml version="1.0" encoding="utf-8"?>
<c:userShapes xmlns:c="http://schemas.openxmlformats.org/drawingml/2006/chart">
  <cdr:relSizeAnchor xmlns:cdr="http://schemas.openxmlformats.org/drawingml/2006/chartDrawing">
    <cdr:from>
      <cdr:x>0.02743</cdr:x>
      <cdr:y>0.80351</cdr:y>
    </cdr:from>
    <cdr:to>
      <cdr:x>0.9748</cdr:x>
      <cdr:y>0.96216</cdr:y>
    </cdr:to>
    <cdr:sp macro="" textlink="">
      <cdr:nvSpPr>
        <cdr:cNvPr id="2" name="矩形 1"/>
        <cdr:cNvSpPr/>
      </cdr:nvSpPr>
      <cdr:spPr>
        <a:xfrm xmlns:a="http://schemas.openxmlformats.org/drawingml/2006/main">
          <a:off x="131298" y="2313900"/>
          <a:ext cx="4534709" cy="456869"/>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vert="horz" wrap="square" lIns="27432" tIns="32004" rIns="0" bIns="0" anchor="t" anchorCtr="0" upright="1">
          <a:normAutofit/>
        </a:bodyPr>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来源：根据陕西省历年国民经济和社会发展统计公报整理获得。</a:t>
          </a:r>
          <a:endPar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©2018.6 iResearch Inc.                                                                         www.iresearch.com.cn</a:t>
          </a:r>
        </a:p>
      </cdr:txBody>
    </cdr:sp>
  </cdr:relSizeAnchor>
</c:userShapes>
</file>

<file path=word/drawings/drawing122.xml><?xml version="1.0" encoding="utf-8"?>
<c:userShapes xmlns:c="http://schemas.openxmlformats.org/drawingml/2006/chart">
  <cdr:relSizeAnchor xmlns:cdr="http://schemas.openxmlformats.org/drawingml/2006/chartDrawing">
    <cdr:from>
      <cdr:x>0.01584</cdr:x>
      <cdr:y>0.80044</cdr:y>
    </cdr:from>
    <cdr:to>
      <cdr:x>0.98229</cdr:x>
      <cdr:y>0.97224</cdr:y>
    </cdr:to>
    <cdr:sp macro="" textlink="">
      <cdr:nvSpPr>
        <cdr:cNvPr id="2" name="矩形 1"/>
        <cdr:cNvSpPr/>
      </cdr:nvSpPr>
      <cdr:spPr>
        <a:xfrm xmlns:a="http://schemas.openxmlformats.org/drawingml/2006/main">
          <a:off x="76132" y="2305050"/>
          <a:ext cx="4645063" cy="494734"/>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horz" wrap="square" lIns="27432" tIns="32004" rIns="0" bIns="0" anchor="t" anchorCtr="0" upright="1">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来源：陕西省通信管理局。</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©2018.6</a:t>
          </a:r>
          <a:r>
            <a:rPr lang="en-US" altLang="zh-CN" sz="800" b="0" i="0" strike="noStrike" baseline="0">
              <a:solidFill>
                <a:schemeClr val="tx1">
                  <a:lumMod val="50000"/>
                  <a:lumOff val="50000"/>
                </a:schemeClr>
              </a:solidFill>
              <a:latin typeface="微软雅黑" panose="020B0503020204020204" pitchFamily="2" charset="-122"/>
              <a:ea typeface="微软雅黑" panose="020B0503020204020204" pitchFamily="2" charset="-122"/>
            </a:rPr>
            <a:t> </a:t>
          </a: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 iResearch Inc.                                                                              www.iresearch.com.cn</a:t>
          </a:r>
        </a:p>
      </cdr:txBody>
    </cdr:sp>
  </cdr:relSizeAnchor>
</c:userShapes>
</file>

<file path=word/drawings/drawing123.xml><?xml version="1.0" encoding="utf-8"?>
<c:userShapes xmlns:c="http://schemas.openxmlformats.org/drawingml/2006/chart">
  <cdr:relSizeAnchor xmlns:cdr="http://schemas.openxmlformats.org/drawingml/2006/chartDrawing">
    <cdr:from>
      <cdr:x>0.02945</cdr:x>
      <cdr:y>0.80367</cdr:y>
    </cdr:from>
    <cdr:to>
      <cdr:x>0.97682</cdr:x>
      <cdr:y>0.96828</cdr:y>
    </cdr:to>
    <cdr:sp macro="" textlink="">
      <cdr:nvSpPr>
        <cdr:cNvPr id="18433" name="Text Box 1"/>
        <cdr:cNvSpPr txBox="1">
          <a:spLocks xmlns:a="http://schemas.openxmlformats.org/drawingml/2006/main" noChangeArrowheads="1"/>
        </cdr:cNvSpPr>
      </cdr:nvSpPr>
      <cdr:spPr bwMode="auto">
        <a:xfrm xmlns:a="http://schemas.openxmlformats.org/drawingml/2006/main">
          <a:off x="141217" y="2314575"/>
          <a:ext cx="4542787" cy="47407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来源：陕西省通信管理局。</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24.xml><?xml version="1.0" encoding="utf-8"?>
<c:userShapes xmlns:c="http://schemas.openxmlformats.org/drawingml/2006/chart">
  <cdr:relSizeAnchor xmlns:cdr="http://schemas.openxmlformats.org/drawingml/2006/chartDrawing">
    <cdr:from>
      <cdr:x>0.02346</cdr:x>
      <cdr:y>0.82638</cdr:y>
    </cdr:from>
    <cdr:to>
      <cdr:x>0.97083</cdr:x>
      <cdr:y>0.97832</cdr:y>
    </cdr:to>
    <cdr:sp macro="" textlink="">
      <cdr:nvSpPr>
        <cdr:cNvPr id="2" name="矩形 1"/>
        <cdr:cNvSpPr/>
      </cdr:nvSpPr>
      <cdr:spPr>
        <a:xfrm xmlns:a="http://schemas.openxmlformats.org/drawingml/2006/main">
          <a:off x="112122" y="2514600"/>
          <a:ext cx="4528694" cy="462348"/>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vert="horz" wrap="square" lIns="27432" tIns="32004" rIns="0" bIns="0" anchor="t" anchorCtr="0" upright="1">
          <a:normAutofit/>
        </a:bodyPr>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来源：根据陕西省历年国民经济和社会发展统计公报整理获得。</a:t>
          </a:r>
          <a:endPar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©2018.6 iResearch Inc.                                                                             www.iresearch.com.cn</a:t>
          </a:r>
        </a:p>
      </cdr:txBody>
    </cdr:sp>
  </cdr:relSizeAnchor>
</c:userShapes>
</file>

<file path=word/drawings/drawing125.xml><?xml version="1.0" encoding="utf-8"?>
<c:userShapes xmlns:c="http://schemas.openxmlformats.org/drawingml/2006/chart">
  <cdr:relSizeAnchor xmlns:cdr="http://schemas.openxmlformats.org/drawingml/2006/chartDrawing">
    <cdr:from>
      <cdr:x>0.02948</cdr:x>
      <cdr:y>0.81036</cdr:y>
    </cdr:from>
    <cdr:to>
      <cdr:x>0.97685</cdr:x>
      <cdr:y>0.97354</cdr:y>
    </cdr:to>
    <cdr:sp macro="" textlink="">
      <cdr:nvSpPr>
        <cdr:cNvPr id="2" name="矩形 1"/>
        <cdr:cNvSpPr/>
      </cdr:nvSpPr>
      <cdr:spPr>
        <a:xfrm xmlns:a="http://schemas.openxmlformats.org/drawingml/2006/main">
          <a:off x="141784" y="2333625"/>
          <a:ext cx="4556366" cy="469902"/>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vert="horz" wrap="square" lIns="27432" tIns="32004" rIns="0" bIns="0" anchor="t" anchorCtr="0" upright="1">
          <a:normAutofit/>
        </a:bodyPr>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来源：根据陕西省历年国民经济和社会发展统计公报整理获得。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dr:relSizeAnchor xmlns:cdr="http://schemas.openxmlformats.org/drawingml/2006/chartDrawing">
    <cdr:from>
      <cdr:x>0.81692</cdr:x>
      <cdr:y>0.08477</cdr:y>
    </cdr:from>
    <cdr:to>
      <cdr:x>0.96948</cdr:x>
      <cdr:y>0.16207</cdr:y>
    </cdr:to>
    <cdr:sp macro="" textlink="">
      <cdr:nvSpPr>
        <cdr:cNvPr id="3" name="矩形 2"/>
        <cdr:cNvSpPr/>
      </cdr:nvSpPr>
      <cdr:spPr>
        <a:xfrm xmlns:a="http://schemas.openxmlformats.org/drawingml/2006/main">
          <a:off x="3928951" y="244105"/>
          <a:ext cx="733736" cy="222620"/>
        </a:xfrm>
        <a:prstGeom xmlns:a="http://schemas.openxmlformats.org/drawingml/2006/main" prst="rect">
          <a:avLst/>
        </a:prstGeom>
      </cdr:spPr>
      <cdr:txBody>
        <a:bodyPr xmlns:a="http://schemas.openxmlformats.org/drawingml/2006/main" vert="horz" wrap="none" lIns="45720" tIns="45720" rIns="45720" bIns="45720" rtlCol="0" anchor="t" anchorCtr="0">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zh-CN" altLang="en-US" sz="800">
              <a:solidFill>
                <a:schemeClr val="tx1">
                  <a:lumMod val="75000"/>
                  <a:lumOff val="25000"/>
                </a:schemeClr>
              </a:solidFill>
              <a:latin typeface="微软雅黑" panose="020B0503020204020204" pitchFamily="34" charset="-122"/>
              <a:ea typeface="微软雅黑" panose="020B0503020204020204" pitchFamily="34" charset="-122"/>
            </a:rPr>
            <a:t>单位：万户</a:t>
          </a:r>
        </a:p>
      </cdr:txBody>
    </cdr:sp>
  </cdr:relSizeAnchor>
</c:userShapes>
</file>

<file path=word/drawings/drawing126.xml><?xml version="1.0" encoding="utf-8"?>
<c:userShapes xmlns:c="http://schemas.openxmlformats.org/drawingml/2006/chart">
  <cdr:relSizeAnchor xmlns:cdr="http://schemas.openxmlformats.org/drawingml/2006/chartDrawing">
    <cdr:from>
      <cdr:x>0.0275</cdr:x>
      <cdr:y>0.81359</cdr:y>
    </cdr:from>
    <cdr:to>
      <cdr:x>0.97487</cdr:x>
      <cdr:y>0.97644</cdr:y>
    </cdr:to>
    <cdr:sp macro="" textlink="">
      <cdr:nvSpPr>
        <cdr:cNvPr id="2" name="矩形 1"/>
        <cdr:cNvSpPr/>
      </cdr:nvSpPr>
      <cdr:spPr>
        <a:xfrm xmlns:a="http://schemas.openxmlformats.org/drawingml/2006/main">
          <a:off x="132278" y="2343149"/>
          <a:ext cx="4556969" cy="468997"/>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来源：根据</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CNNIC</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历年中国互联网络发展状况统计报告整理获得。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27.xml><?xml version="1.0" encoding="utf-8"?>
<c:userShapes xmlns:c="http://schemas.openxmlformats.org/drawingml/2006/chart">
  <cdr:relSizeAnchor xmlns:cdr="http://schemas.openxmlformats.org/drawingml/2006/chartDrawing">
    <cdr:from>
      <cdr:x>0.01584</cdr:x>
      <cdr:y>0.78949</cdr:y>
    </cdr:from>
    <cdr:to>
      <cdr:x>0.98229</cdr:x>
      <cdr:y>0.93514</cdr:y>
    </cdr:to>
    <cdr:sp macro="" textlink="">
      <cdr:nvSpPr>
        <cdr:cNvPr id="2" name="矩形 1"/>
        <cdr:cNvSpPr/>
      </cdr:nvSpPr>
      <cdr:spPr>
        <a:xfrm xmlns:a="http://schemas.openxmlformats.org/drawingml/2006/main">
          <a:off x="79481" y="3308251"/>
          <a:ext cx="4849424" cy="610334"/>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horz" wrap="square" lIns="27432" tIns="32004" rIns="0" bIns="0" anchor="t" anchorCtr="0" upright="1">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注释：域名总数不含</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.EDU.CN;</a:t>
          </a:r>
        </a:p>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来源：根据</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CNNIC《</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第</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41</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次中国互联网络发展状况统计报告</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整理获得。</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a:t>
          </a:r>
          <a:r>
            <a:rPr lang="en-US" altLang="zh-CN" sz="800" b="0" i="0" strike="noStrike" baseline="0">
              <a:solidFill>
                <a:schemeClr val="tx1">
                  <a:lumMod val="50000"/>
                  <a:lumOff val="50000"/>
                </a:schemeClr>
              </a:solidFill>
              <a:latin typeface="微软雅黑" panose="020B0503020204020204" pitchFamily="34" charset="-122"/>
              <a:ea typeface="微软雅黑" panose="020B0503020204020204" pitchFamily="34" charset="-122"/>
            </a:rPr>
            <a:t> </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 iResearch Inc.                                                                              www.iresearch.com.cn</a:t>
          </a:r>
        </a:p>
      </cdr:txBody>
    </cdr:sp>
  </cdr:relSizeAnchor>
</c:userShapes>
</file>

<file path=word/drawings/drawing128.xml><?xml version="1.0" encoding="utf-8"?>
<c:userShapes xmlns:c="http://schemas.openxmlformats.org/drawingml/2006/chart">
  <cdr:relSizeAnchor xmlns:cdr="http://schemas.openxmlformats.org/drawingml/2006/chartDrawing">
    <cdr:from>
      <cdr:x>0.02833</cdr:x>
      <cdr:y>0.75693</cdr:y>
    </cdr:from>
    <cdr:to>
      <cdr:x>0.97195</cdr:x>
      <cdr:y>0.98084</cdr:y>
    </cdr:to>
    <cdr:sp macro="" textlink="">
      <cdr:nvSpPr>
        <cdr:cNvPr id="2" name="矩形 1"/>
        <cdr:cNvSpPr/>
      </cdr:nvSpPr>
      <cdr:spPr>
        <a:xfrm xmlns:a="http://schemas.openxmlformats.org/drawingml/2006/main">
          <a:off x="136256" y="2179954"/>
          <a:ext cx="4538435" cy="644865"/>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a:solidFill>
                <a:schemeClr val="bg1">
                  <a:lumMod val="50000"/>
                </a:schemeClr>
              </a:solidFill>
              <a:effectLst/>
              <a:latin typeface="微软雅黑" panose="020B0503020204020204" pitchFamily="34" charset="-122"/>
              <a:ea typeface="微软雅黑" panose="020B0503020204020204" pitchFamily="34" charset="-122"/>
              <a:cs typeface="+mn-cs"/>
            </a:rPr>
            <a:t>注释：</a:t>
          </a:r>
          <a:r>
            <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rPr>
            <a:t>2017</a:t>
          </a:r>
          <a:r>
            <a:rPr lang="zh-CN" altLang="en-US" sz="800">
              <a:solidFill>
                <a:schemeClr val="bg1">
                  <a:lumMod val="50000"/>
                </a:schemeClr>
              </a:solidFill>
              <a:effectLst/>
              <a:latin typeface="微软雅黑" panose="020B0503020204020204" pitchFamily="34" charset="-122"/>
              <a:ea typeface="微软雅黑" panose="020B0503020204020204" pitchFamily="34" charset="-122"/>
              <a:cs typeface="+mn-cs"/>
            </a:rPr>
            <a:t>年陕西省网站备案总数为</a:t>
          </a:r>
          <a:r>
            <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rPr>
            <a:t>103618</a:t>
          </a:r>
          <a:r>
            <a:rPr lang="zh-CN" altLang="en-US" sz="800">
              <a:solidFill>
                <a:schemeClr val="bg1">
                  <a:lumMod val="50000"/>
                </a:schemeClr>
              </a:solidFill>
              <a:effectLst/>
              <a:latin typeface="微软雅黑" panose="020B0503020204020204" pitchFamily="34" charset="-122"/>
              <a:ea typeface="微软雅黑" panose="020B0503020204020204" pitchFamily="34" charset="-122"/>
              <a:cs typeface="+mn-cs"/>
            </a:rPr>
            <a:t>个。</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zh-CN" altLang="en-US" sz="800">
              <a:solidFill>
                <a:schemeClr val="bg1">
                  <a:lumMod val="50000"/>
                </a:schemeClr>
              </a:solidFill>
              <a:effectLst/>
              <a:latin typeface="微软雅黑" panose="020B0503020204020204" pitchFamily="34" charset="-122"/>
              <a:ea typeface="微软雅黑" panose="020B0503020204020204" pitchFamily="34" charset="-122"/>
              <a:cs typeface="+mn-cs"/>
            </a:rPr>
            <a:t>来源：陕西省通信管理局。</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29.xml><?xml version="1.0" encoding="utf-8"?>
<c:userShapes xmlns:c="http://schemas.openxmlformats.org/drawingml/2006/chart">
  <cdr:relSizeAnchor xmlns:cdr="http://schemas.openxmlformats.org/drawingml/2006/chartDrawing">
    <cdr:from>
      <cdr:x>0.01694</cdr:x>
      <cdr:y>0.80375</cdr:y>
    </cdr:from>
    <cdr:to>
      <cdr:x>0.98413</cdr:x>
      <cdr:y>0.97619</cdr:y>
    </cdr:to>
    <cdr:sp macro="" textlink="">
      <cdr:nvSpPr>
        <cdr:cNvPr id="2" name="矩形 1"/>
        <cdr:cNvSpPr/>
      </cdr:nvSpPr>
      <cdr:spPr>
        <a:xfrm xmlns:a="http://schemas.openxmlformats.org/drawingml/2006/main">
          <a:off x="81473" y="2314575"/>
          <a:ext cx="4651690" cy="496584"/>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cs typeface="+mn-cs"/>
            </a:rPr>
            <a:t>陕西省通信管理局</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1000" b="0" i="0">
              <a:solidFill>
                <a:schemeClr val="bg1">
                  <a:lumMod val="50000"/>
                </a:schemeClr>
              </a:solidFill>
              <a:effectLst/>
              <a:latin typeface="微软雅黑" panose="020B0503020204020204" pitchFamily="34" charset="-122"/>
              <a:ea typeface="微软雅黑" panose="020B0503020204020204" pitchFamily="34" charset="-122"/>
              <a:cs typeface="+mn-cs"/>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xml><?xml version="1.0" encoding="utf-8"?>
<c:userShapes xmlns:c="http://schemas.openxmlformats.org/drawingml/2006/chart">
  <cdr:relSizeAnchor xmlns:cdr="http://schemas.openxmlformats.org/drawingml/2006/chartDrawing">
    <cdr:from>
      <cdr:x>0.0275</cdr:x>
      <cdr:y>0.81359</cdr:y>
    </cdr:from>
    <cdr:to>
      <cdr:x>0.97624</cdr:x>
      <cdr:y>0.97956</cdr:y>
    </cdr:to>
    <cdr:sp macro="" textlink="">
      <cdr:nvSpPr>
        <cdr:cNvPr id="18433" name="Text Box 1"/>
        <cdr:cNvSpPr txBox="1">
          <a:spLocks xmlns:a="http://schemas.openxmlformats.org/drawingml/2006/main" noChangeArrowheads="1"/>
        </cdr:cNvSpPr>
      </cdr:nvSpPr>
      <cdr:spPr bwMode="auto">
        <a:xfrm xmlns:a="http://schemas.openxmlformats.org/drawingml/2006/main">
          <a:off x="132278" y="2343149"/>
          <a:ext cx="4563558" cy="47798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0.xml><?xml version="1.0" encoding="utf-8"?>
<c:userShapes xmlns:c="http://schemas.openxmlformats.org/drawingml/2006/chart">
  <cdr:relSizeAnchor xmlns:cdr="http://schemas.openxmlformats.org/drawingml/2006/chartDrawing">
    <cdr:from>
      <cdr:x>0.02778</cdr:x>
      <cdr:y>0.77391</cdr:y>
    </cdr:from>
    <cdr:to>
      <cdr:x>0.98157</cdr:x>
      <cdr:y>0.96904</cdr:y>
    </cdr:to>
    <cdr:sp macro="" textlink="">
      <cdr:nvSpPr>
        <cdr:cNvPr id="2" name="矩形 1"/>
        <cdr:cNvSpPr/>
      </cdr:nvSpPr>
      <cdr:spPr>
        <a:xfrm xmlns:a="http://schemas.openxmlformats.org/drawingml/2006/main">
          <a:off x="133350" y="2228851"/>
          <a:ext cx="4578784" cy="561974"/>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cs typeface="+mn-cs"/>
            </a:rPr>
            <a:t>陕西省陕西省通信管理局</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1000" b="0" i="0">
              <a:solidFill>
                <a:schemeClr val="bg1">
                  <a:lumMod val="50000"/>
                </a:schemeClr>
              </a:solidFill>
              <a:effectLst/>
              <a:latin typeface="微软雅黑" panose="020B0503020204020204" pitchFamily="34" charset="-122"/>
              <a:ea typeface="微软雅黑" panose="020B0503020204020204" pitchFamily="34" charset="-122"/>
              <a:cs typeface="+mn-cs"/>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1.xml><?xml version="1.0" encoding="utf-8"?>
<c:userShapes xmlns:c="http://schemas.openxmlformats.org/drawingml/2006/chart">
  <cdr:relSizeAnchor xmlns:cdr="http://schemas.openxmlformats.org/drawingml/2006/chartDrawing">
    <cdr:from>
      <cdr:x>0.02386</cdr:x>
      <cdr:y>0.8169</cdr:y>
    </cdr:from>
    <cdr:to>
      <cdr:x>0.975</cdr:x>
      <cdr:y>0.97681</cdr:y>
    </cdr:to>
    <cdr:sp macro="" textlink="">
      <cdr:nvSpPr>
        <cdr:cNvPr id="2" name="矩形 1"/>
        <cdr:cNvSpPr/>
      </cdr:nvSpPr>
      <cdr:spPr>
        <a:xfrm xmlns:a="http://schemas.openxmlformats.org/drawingml/2006/main">
          <a:off x="114315" y="2352675"/>
          <a:ext cx="4556983" cy="460538"/>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来源：陕西省通信管理局。</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2.xml><?xml version="1.0" encoding="utf-8"?>
<c:userShapes xmlns:c="http://schemas.openxmlformats.org/drawingml/2006/chart">
  <cdr:relSizeAnchor xmlns:cdr="http://schemas.openxmlformats.org/drawingml/2006/chartDrawing">
    <cdr:from>
      <cdr:x>0.01694</cdr:x>
      <cdr:y>0.81359</cdr:y>
    </cdr:from>
    <cdr:to>
      <cdr:x>0.98413</cdr:x>
      <cdr:y>0.97619</cdr:y>
    </cdr:to>
    <cdr:sp macro="" textlink="">
      <cdr:nvSpPr>
        <cdr:cNvPr id="2" name="矩形 1"/>
        <cdr:cNvSpPr/>
      </cdr:nvSpPr>
      <cdr:spPr>
        <a:xfrm xmlns:a="http://schemas.openxmlformats.org/drawingml/2006/main">
          <a:off x="81475" y="2343139"/>
          <a:ext cx="4651797" cy="468288"/>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cs typeface="+mn-cs"/>
            </a:rPr>
            <a:t>陕西省通信管理局</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1000" b="0" i="0">
              <a:solidFill>
                <a:schemeClr val="bg1">
                  <a:lumMod val="50000"/>
                </a:schemeClr>
              </a:solidFill>
              <a:effectLst/>
              <a:latin typeface="微软雅黑" panose="020B0503020204020204" pitchFamily="34" charset="-122"/>
              <a:ea typeface="微软雅黑" panose="020B0503020204020204" pitchFamily="34" charset="-122"/>
              <a:cs typeface="+mn-cs"/>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3.xml><?xml version="1.0" encoding="utf-8"?>
<c:userShapes xmlns:c="http://schemas.openxmlformats.org/drawingml/2006/chart">
  <cdr:relSizeAnchor xmlns:cdr="http://schemas.openxmlformats.org/drawingml/2006/chartDrawing">
    <cdr:from>
      <cdr:x>0.0227</cdr:x>
      <cdr:y>0.8169</cdr:y>
    </cdr:from>
    <cdr:to>
      <cdr:x>0.9881</cdr:x>
      <cdr:y>0.97631</cdr:y>
    </cdr:to>
    <cdr:sp macro="" textlink="">
      <cdr:nvSpPr>
        <cdr:cNvPr id="2" name="矩形 1"/>
        <cdr:cNvSpPr/>
      </cdr:nvSpPr>
      <cdr:spPr>
        <a:xfrm xmlns:a="http://schemas.openxmlformats.org/drawingml/2006/main">
          <a:off x="109178" y="2352675"/>
          <a:ext cx="4643188" cy="459098"/>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cs typeface="+mn-cs"/>
            </a:rPr>
            <a:t>陕西省互联网应急中心</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1000" b="0" i="0">
              <a:solidFill>
                <a:schemeClr val="bg1">
                  <a:lumMod val="50000"/>
                </a:schemeClr>
              </a:solidFill>
              <a:effectLst/>
              <a:latin typeface="微软雅黑" panose="020B0503020204020204" pitchFamily="34" charset="-122"/>
              <a:ea typeface="微软雅黑" panose="020B0503020204020204" pitchFamily="34" charset="-122"/>
              <a:cs typeface="+mn-cs"/>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4.xml><?xml version="1.0" encoding="utf-8"?>
<c:userShapes xmlns:c="http://schemas.openxmlformats.org/drawingml/2006/chart">
  <cdr:relSizeAnchor xmlns:cdr="http://schemas.openxmlformats.org/drawingml/2006/chartDrawing">
    <cdr:from>
      <cdr:x>0.0227</cdr:x>
      <cdr:y>0.81698</cdr:y>
    </cdr:from>
    <cdr:to>
      <cdr:x>0.9881</cdr:x>
      <cdr:y>0.97631</cdr:y>
    </cdr:to>
    <cdr:sp macro="" textlink="">
      <cdr:nvSpPr>
        <cdr:cNvPr id="2" name="矩形 1"/>
        <cdr:cNvSpPr/>
      </cdr:nvSpPr>
      <cdr:spPr>
        <a:xfrm xmlns:a="http://schemas.openxmlformats.org/drawingml/2006/main">
          <a:off x="109175" y="2352674"/>
          <a:ext cx="4643082" cy="458829"/>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horz" wrap="square" lIns="27432" tIns="32004" rIns="0" bIns="0" anchor="t" anchorCtr="0" upright="1">
          <a:norm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来源：</a:t>
          </a: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cs typeface="+mn-cs"/>
            </a:rPr>
            <a:t>陕西省互联网应急中心</a:t>
          </a:r>
          <a:r>
            <a:rPr lang="zh-CN" altLang="en-US"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endParaRPr lang="en-US" altLang="zh-CN" sz="800">
            <a:solidFill>
              <a:schemeClr val="bg1">
                <a:lumMod val="50000"/>
              </a:schemeClr>
            </a:solidFill>
            <a:effectLst/>
            <a:latin typeface="微软雅黑" panose="020B0503020204020204" pitchFamily="2" charset="-122"/>
            <a:ea typeface="微软雅黑" panose="020B0503020204020204" pitchFamily="2"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r>
            <a:rPr lang="en-US" altLang="zh-CN" sz="800" b="0" i="0" strike="noStrike">
              <a:solidFill>
                <a:schemeClr val="bg1">
                  <a:lumMod val="50000"/>
                </a:schemeClr>
              </a:solidFill>
              <a:latin typeface="微软雅黑" panose="020B0503020204020204" pitchFamily="2" charset="-122"/>
              <a:ea typeface="微软雅黑" panose="020B0503020204020204" pitchFamily="2" charset="-122"/>
            </a:rPr>
            <a:t>—————————————</a:t>
          </a:r>
          <a:r>
            <a:rPr lang="en-US" altLang="zh-CN" sz="1000" b="0" i="0">
              <a:solidFill>
                <a:schemeClr val="bg1">
                  <a:lumMod val="50000"/>
                </a:schemeClr>
              </a:solidFill>
              <a:effectLst/>
              <a:latin typeface="微软雅黑" panose="020B0503020204020204" pitchFamily="2" charset="-122"/>
              <a:ea typeface="微软雅黑" panose="020B0503020204020204" pitchFamily="2" charset="-122"/>
              <a:cs typeface="+mn-cs"/>
            </a:rPr>
            <a:t>———————————</a:t>
          </a:r>
          <a:r>
            <a:rPr lang="en-US" altLang="zh-CN" sz="800" b="0" i="0" strike="noStrike">
              <a:solidFill>
                <a:schemeClr val="bg1">
                  <a:lumMod val="50000"/>
                </a:schemeClr>
              </a:solidFill>
              <a:latin typeface="微软雅黑" panose="020B0503020204020204" pitchFamily="2" charset="-122"/>
              <a:ea typeface="微软雅黑" panose="020B0503020204020204" pitchFamily="2" charset="-122"/>
            </a:rPr>
            <a:t>—</a:t>
          </a: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2" charset="-122"/>
              <a:ea typeface="微软雅黑" panose="020B0503020204020204" pitchFamily="2" charset="-122"/>
            </a:rPr>
            <a:t>©2018.6 iResearch Inc.                                                                               www.iresearch.com.cn</a:t>
          </a:r>
        </a:p>
      </cdr:txBody>
    </cdr:sp>
  </cdr:relSizeAnchor>
</c:userShapes>
</file>

<file path=word/drawings/drawing135.xml><?xml version="1.0" encoding="utf-8"?>
<c:userShapes xmlns:c="http://schemas.openxmlformats.org/drawingml/2006/chart">
  <cdr:relSizeAnchor xmlns:cdr="http://schemas.openxmlformats.org/drawingml/2006/chartDrawing">
    <cdr:from>
      <cdr:x>0.0227</cdr:x>
      <cdr:y>0.81359</cdr:y>
    </cdr:from>
    <cdr:to>
      <cdr:x>0.98053</cdr:x>
      <cdr:y>0.97631</cdr:y>
    </cdr:to>
    <cdr:sp macro="" textlink="">
      <cdr:nvSpPr>
        <cdr:cNvPr id="2" name="矩形 1"/>
        <cdr:cNvSpPr/>
      </cdr:nvSpPr>
      <cdr:spPr>
        <a:xfrm xmlns:a="http://schemas.openxmlformats.org/drawingml/2006/main">
          <a:off x="109178" y="2343149"/>
          <a:ext cx="4606779" cy="468623"/>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cs typeface="+mn-cs"/>
            </a:rPr>
            <a:t>陕西省互联网应急中心</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1000" b="0" i="0">
              <a:solidFill>
                <a:schemeClr val="bg1">
                  <a:lumMod val="50000"/>
                </a:schemeClr>
              </a:solidFill>
              <a:effectLst/>
              <a:latin typeface="微软雅黑" panose="020B0503020204020204" pitchFamily="34" charset="-122"/>
              <a:ea typeface="微软雅黑" panose="020B0503020204020204" pitchFamily="34" charset="-122"/>
              <a:cs typeface="+mn-cs"/>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6.xml><?xml version="1.0" encoding="utf-8"?>
<c:userShapes xmlns:c="http://schemas.openxmlformats.org/drawingml/2006/chart">
  <cdr:relSizeAnchor xmlns:cdr="http://schemas.openxmlformats.org/drawingml/2006/chartDrawing">
    <cdr:from>
      <cdr:x>0.0227</cdr:x>
      <cdr:y>0.81403</cdr:y>
    </cdr:from>
    <cdr:to>
      <cdr:x>0.97067</cdr:x>
      <cdr:y>0.97631</cdr:y>
    </cdr:to>
    <cdr:sp macro="" textlink="">
      <cdr:nvSpPr>
        <cdr:cNvPr id="2" name="矩形 1"/>
        <cdr:cNvSpPr/>
      </cdr:nvSpPr>
      <cdr:spPr>
        <a:xfrm xmlns:a="http://schemas.openxmlformats.org/drawingml/2006/main">
          <a:off x="109178" y="2344420"/>
          <a:ext cx="4559342" cy="467353"/>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cs typeface="+mn-cs"/>
            </a:rPr>
            <a:t>陕西省互联网应急中心</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1000" b="0" i="0">
              <a:solidFill>
                <a:schemeClr val="bg1">
                  <a:lumMod val="50000"/>
                </a:schemeClr>
              </a:solidFill>
              <a:effectLst/>
              <a:latin typeface="微软雅黑" panose="020B0503020204020204" pitchFamily="34" charset="-122"/>
              <a:ea typeface="微软雅黑" panose="020B0503020204020204" pitchFamily="34" charset="-122"/>
              <a:cs typeface="+mn-cs"/>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7.xml><?xml version="1.0" encoding="utf-8"?>
<c:userShapes xmlns:c="http://schemas.openxmlformats.org/drawingml/2006/chart">
  <cdr:relSizeAnchor xmlns:cdr="http://schemas.openxmlformats.org/drawingml/2006/chartDrawing">
    <cdr:from>
      <cdr:x>0.0227</cdr:x>
      <cdr:y>0.80451</cdr:y>
    </cdr:from>
    <cdr:to>
      <cdr:x>0.9881</cdr:x>
      <cdr:y>0.97631</cdr:y>
    </cdr:to>
    <cdr:sp macro="" textlink="">
      <cdr:nvSpPr>
        <cdr:cNvPr id="2" name="矩形 1"/>
        <cdr:cNvSpPr/>
      </cdr:nvSpPr>
      <cdr:spPr>
        <a:xfrm xmlns:a="http://schemas.openxmlformats.org/drawingml/2006/main">
          <a:off x="108933" y="3057525"/>
          <a:ext cx="4632761" cy="652917"/>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cs typeface="+mn-cs"/>
            </a:rPr>
            <a:t>陕西省互联网应急中心通信管理局</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endParaRPr lang="en-US" altLang="zh-CN" sz="800">
            <a:solidFill>
              <a:schemeClr val="bg1">
                <a:lumMod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1000" b="0" i="0">
              <a:solidFill>
                <a:schemeClr val="bg1">
                  <a:lumMod val="50000"/>
                </a:schemeClr>
              </a:solidFill>
              <a:effectLst/>
              <a:latin typeface="微软雅黑" panose="020B0503020204020204" pitchFamily="34" charset="-122"/>
              <a:ea typeface="微软雅黑" panose="020B0503020204020204" pitchFamily="34" charset="-122"/>
              <a:cs typeface="+mn-cs"/>
            </a:rPr>
            <a:t>———————————</a:t>
          </a:r>
          <a:r>
            <a:rPr lang="en-US" altLang="zh-CN" sz="800" b="0" i="0" strike="noStrike">
              <a:solidFill>
                <a:schemeClr val="bg1">
                  <a:lumMod val="50000"/>
                </a:schemeClr>
              </a:solidFill>
              <a:latin typeface="微软雅黑" panose="020B0503020204020204" pitchFamily="34" charset="-122"/>
              <a:ea typeface="微软雅黑" panose="020B0503020204020204" pitchFamily="34" charset="-122"/>
            </a:rPr>
            <a:t>—</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8.xml><?xml version="1.0" encoding="utf-8"?>
<c:userShapes xmlns:c="http://schemas.openxmlformats.org/drawingml/2006/chart">
  <cdr:relSizeAnchor xmlns:cdr="http://schemas.openxmlformats.org/drawingml/2006/chartDrawing">
    <cdr:from>
      <cdr:x>0.0275</cdr:x>
      <cdr:y>0.85465</cdr:y>
    </cdr:from>
    <cdr:to>
      <cdr:x>0.97624</cdr:x>
      <cdr:y>0.97956</cdr:y>
    </cdr:to>
    <cdr:sp macro="" textlink="">
      <cdr:nvSpPr>
        <cdr:cNvPr id="18433" name="Text Box 1"/>
        <cdr:cNvSpPr txBox="1">
          <a:spLocks xmlns:a="http://schemas.openxmlformats.org/drawingml/2006/main" noChangeArrowheads="1"/>
        </cdr:cNvSpPr>
      </cdr:nvSpPr>
      <cdr:spPr bwMode="auto">
        <a:xfrm xmlns:a="http://schemas.openxmlformats.org/drawingml/2006/main">
          <a:off x="132278" y="3076575"/>
          <a:ext cx="4563558" cy="44966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来源：根据</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CNNIC</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历年</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中国互联网络发展状况统计报告</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整理所得。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39.xml><?xml version="1.0" encoding="utf-8"?>
<c:userShapes xmlns:c="http://schemas.openxmlformats.org/drawingml/2006/chart">
  <cdr:relSizeAnchor xmlns:cdr="http://schemas.openxmlformats.org/drawingml/2006/chartDrawing">
    <cdr:from>
      <cdr:x>0.0275</cdr:x>
      <cdr:y>0.85729</cdr:y>
    </cdr:from>
    <cdr:to>
      <cdr:x>0.97624</cdr:x>
      <cdr:y>0.97956</cdr:y>
    </cdr:to>
    <cdr:sp macro="" textlink="">
      <cdr:nvSpPr>
        <cdr:cNvPr id="18433" name="Text Box 1"/>
        <cdr:cNvSpPr txBox="1">
          <a:spLocks xmlns:a="http://schemas.openxmlformats.org/drawingml/2006/main" noChangeArrowheads="1"/>
        </cdr:cNvSpPr>
      </cdr:nvSpPr>
      <cdr:spPr bwMode="auto">
        <a:xfrm xmlns:a="http://schemas.openxmlformats.org/drawingml/2006/main">
          <a:off x="132278" y="3086100"/>
          <a:ext cx="4563558" cy="44013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来源：根据艾瑞统计及预测模型所得。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xml><?xml version="1.0" encoding="utf-8"?>
<c:userShapes xmlns:c="http://schemas.openxmlformats.org/drawingml/2006/chart">
  <cdr:relSizeAnchor xmlns:cdr="http://schemas.openxmlformats.org/drawingml/2006/chartDrawing">
    <cdr:from>
      <cdr:x>0.02705</cdr:x>
      <cdr:y>0.81993</cdr:y>
    </cdr:from>
    <cdr:to>
      <cdr:x>0.98224</cdr:x>
      <cdr:y>0.97143</cdr:y>
    </cdr:to>
    <cdr:sp macro="" textlink="">
      <cdr:nvSpPr>
        <cdr:cNvPr id="2" name="Text Box 1"/>
        <cdr:cNvSpPr txBox="1">
          <a:spLocks xmlns:a="http://schemas.openxmlformats.org/drawingml/2006/main" noChangeArrowheads="1"/>
        </cdr:cNvSpPr>
      </cdr:nvSpPr>
      <cdr:spPr bwMode="auto">
        <a:xfrm xmlns:a="http://schemas.openxmlformats.org/drawingml/2006/main">
          <a:off x="130097" y="2524125"/>
          <a:ext cx="4593976" cy="4664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来源：艾瑞智云新媒体</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OneMedia</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140.xml><?xml version="1.0" encoding="utf-8"?>
<c:userShapes xmlns:c="http://schemas.openxmlformats.org/drawingml/2006/chart">
  <cdr:relSizeAnchor xmlns:cdr="http://schemas.openxmlformats.org/drawingml/2006/chartDrawing">
    <cdr:from>
      <cdr:x>0.03942</cdr:x>
      <cdr:y>0.7653</cdr:y>
    </cdr:from>
    <cdr:to>
      <cdr:x>0.97637</cdr:x>
      <cdr:y>0.97319</cdr:y>
    </cdr:to>
    <cdr:sp macro="" textlink="">
      <cdr:nvSpPr>
        <cdr:cNvPr id="18433" name="Text Box 1"/>
        <cdr:cNvSpPr txBox="1">
          <a:spLocks xmlns:a="http://schemas.openxmlformats.org/drawingml/2006/main" noChangeArrowheads="1"/>
        </cdr:cNvSpPr>
      </cdr:nvSpPr>
      <cdr:spPr bwMode="auto">
        <a:xfrm xmlns:a="http://schemas.openxmlformats.org/drawingml/2006/main">
          <a:off x="189600" y="2203845"/>
          <a:ext cx="4506226" cy="5986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1.xml><?xml version="1.0" encoding="utf-8"?>
<c:userShapes xmlns:c="http://schemas.openxmlformats.org/drawingml/2006/chart">
  <cdr:relSizeAnchor xmlns:cdr="http://schemas.openxmlformats.org/drawingml/2006/chartDrawing">
    <cdr:from>
      <cdr:x>0.0315</cdr:x>
      <cdr:y>0.77522</cdr:y>
    </cdr:from>
    <cdr:to>
      <cdr:x>0.96446</cdr:x>
      <cdr:y>0.98311</cdr:y>
    </cdr:to>
    <cdr:sp macro="" textlink="">
      <cdr:nvSpPr>
        <cdr:cNvPr id="18433" name="Text Box 1"/>
        <cdr:cNvSpPr txBox="1">
          <a:spLocks xmlns:a="http://schemas.openxmlformats.org/drawingml/2006/main" noChangeArrowheads="1"/>
        </cdr:cNvSpPr>
      </cdr:nvSpPr>
      <cdr:spPr bwMode="auto">
        <a:xfrm xmlns:a="http://schemas.openxmlformats.org/drawingml/2006/main">
          <a:off x="151502" y="2232634"/>
          <a:ext cx="4487173" cy="59872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2.xml><?xml version="1.0" encoding="utf-8"?>
<c:userShapes xmlns:c="http://schemas.openxmlformats.org/drawingml/2006/chart">
  <cdr:relSizeAnchor xmlns:cdr="http://schemas.openxmlformats.org/drawingml/2006/chartDrawing">
    <cdr:from>
      <cdr:x>0.03744</cdr:x>
      <cdr:y>0.76199</cdr:y>
    </cdr:from>
    <cdr:to>
      <cdr:x>0.97241</cdr:x>
      <cdr:y>0.96988</cdr:y>
    </cdr:to>
    <cdr:sp macro="" textlink="">
      <cdr:nvSpPr>
        <cdr:cNvPr id="18433" name="Text Box 1"/>
        <cdr:cNvSpPr txBox="1">
          <a:spLocks xmlns:a="http://schemas.openxmlformats.org/drawingml/2006/main" noChangeArrowheads="1"/>
        </cdr:cNvSpPr>
      </cdr:nvSpPr>
      <cdr:spPr bwMode="auto">
        <a:xfrm xmlns:a="http://schemas.openxmlformats.org/drawingml/2006/main">
          <a:off x="180074" y="2194320"/>
          <a:ext cx="4496701" cy="5986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3.xml><?xml version="1.0" encoding="utf-8"?>
<c:userShapes xmlns:c="http://schemas.openxmlformats.org/drawingml/2006/chart">
  <cdr:relSizeAnchor xmlns:cdr="http://schemas.openxmlformats.org/drawingml/2006/chartDrawing">
    <cdr:from>
      <cdr:x>0.0315</cdr:x>
      <cdr:y>0.75744</cdr:y>
    </cdr:from>
    <cdr:to>
      <cdr:x>0.96446</cdr:x>
      <cdr:y>0.97244</cdr:y>
    </cdr:to>
    <cdr:sp macro="" textlink="">
      <cdr:nvSpPr>
        <cdr:cNvPr id="18433" name="Text Box 1"/>
        <cdr:cNvSpPr txBox="1">
          <a:spLocks xmlns:a="http://schemas.openxmlformats.org/drawingml/2006/main" noChangeArrowheads="1"/>
        </cdr:cNvSpPr>
      </cdr:nvSpPr>
      <cdr:spPr bwMode="auto">
        <a:xfrm xmlns:a="http://schemas.openxmlformats.org/drawingml/2006/main">
          <a:off x="151499" y="2181225"/>
          <a:ext cx="4487062" cy="6191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4.xml><?xml version="1.0" encoding="utf-8"?>
<c:userShapes xmlns:c="http://schemas.openxmlformats.org/drawingml/2006/chart">
  <cdr:relSizeAnchor xmlns:cdr="http://schemas.openxmlformats.org/drawingml/2006/chartDrawing">
    <cdr:from>
      <cdr:x>0.0315</cdr:x>
      <cdr:y>0.77522</cdr:y>
    </cdr:from>
    <cdr:to>
      <cdr:x>0.98024</cdr:x>
      <cdr:y>0.98311</cdr:y>
    </cdr:to>
    <cdr:sp macro="" textlink="">
      <cdr:nvSpPr>
        <cdr:cNvPr id="18433" name="Text Box 1"/>
        <cdr:cNvSpPr txBox="1">
          <a:spLocks xmlns:a="http://schemas.openxmlformats.org/drawingml/2006/main" noChangeArrowheads="1"/>
        </cdr:cNvSpPr>
      </cdr:nvSpPr>
      <cdr:spPr bwMode="auto">
        <a:xfrm xmlns:a="http://schemas.openxmlformats.org/drawingml/2006/main">
          <a:off x="150319" y="2371725"/>
          <a:ext cx="4527411" cy="6360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5.xml><?xml version="1.0" encoding="utf-8"?>
<c:userShapes xmlns:c="http://schemas.openxmlformats.org/drawingml/2006/chart">
  <cdr:relSizeAnchor xmlns:cdr="http://schemas.openxmlformats.org/drawingml/2006/chartDrawing">
    <cdr:from>
      <cdr:x>0.0315</cdr:x>
      <cdr:y>0.77522</cdr:y>
    </cdr:from>
    <cdr:to>
      <cdr:x>0.96446</cdr:x>
      <cdr:y>0.98311</cdr:y>
    </cdr:to>
    <cdr:sp macro="" textlink="">
      <cdr:nvSpPr>
        <cdr:cNvPr id="18433" name="Text Box 1"/>
        <cdr:cNvSpPr txBox="1">
          <a:spLocks xmlns:a="http://schemas.openxmlformats.org/drawingml/2006/main" noChangeArrowheads="1"/>
        </cdr:cNvSpPr>
      </cdr:nvSpPr>
      <cdr:spPr bwMode="auto">
        <a:xfrm xmlns:a="http://schemas.openxmlformats.org/drawingml/2006/main">
          <a:off x="151502" y="2232634"/>
          <a:ext cx="4487173" cy="59872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6.xml><?xml version="1.0" encoding="utf-8"?>
<c:userShapes xmlns:c="http://schemas.openxmlformats.org/drawingml/2006/chart">
  <cdr:relSizeAnchor xmlns:cdr="http://schemas.openxmlformats.org/drawingml/2006/chartDrawing">
    <cdr:from>
      <cdr:x>0.0315</cdr:x>
      <cdr:y>0.77522</cdr:y>
    </cdr:from>
    <cdr:to>
      <cdr:x>0.98024</cdr:x>
      <cdr:y>0.98311</cdr:y>
    </cdr:to>
    <cdr:sp macro="" textlink="">
      <cdr:nvSpPr>
        <cdr:cNvPr id="18433" name="Text Box 1"/>
        <cdr:cNvSpPr txBox="1">
          <a:spLocks xmlns:a="http://schemas.openxmlformats.org/drawingml/2006/main" noChangeArrowheads="1"/>
        </cdr:cNvSpPr>
      </cdr:nvSpPr>
      <cdr:spPr bwMode="auto">
        <a:xfrm xmlns:a="http://schemas.openxmlformats.org/drawingml/2006/main">
          <a:off x="150319" y="2371725"/>
          <a:ext cx="4527411" cy="6360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7.xml><?xml version="1.0" encoding="utf-8"?>
<c:userShapes xmlns:c="http://schemas.openxmlformats.org/drawingml/2006/chart">
  <cdr:relSizeAnchor xmlns:cdr="http://schemas.openxmlformats.org/drawingml/2006/chartDrawing">
    <cdr:from>
      <cdr:x>0.0315</cdr:x>
      <cdr:y>0.77522</cdr:y>
    </cdr:from>
    <cdr:to>
      <cdr:x>0.96446</cdr:x>
      <cdr:y>0.98311</cdr:y>
    </cdr:to>
    <cdr:sp macro="" textlink="">
      <cdr:nvSpPr>
        <cdr:cNvPr id="18433" name="Text Box 1"/>
        <cdr:cNvSpPr txBox="1">
          <a:spLocks xmlns:a="http://schemas.openxmlformats.org/drawingml/2006/main" noChangeArrowheads="1"/>
        </cdr:cNvSpPr>
      </cdr:nvSpPr>
      <cdr:spPr bwMode="auto">
        <a:xfrm xmlns:a="http://schemas.openxmlformats.org/drawingml/2006/main">
          <a:off x="151502" y="2232634"/>
          <a:ext cx="4487173" cy="59872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iUserTracker.</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rPr>
            <a:t>（不含公共上网地点）样本网络行为的长期监测数据获得。</a:t>
          </a:r>
          <a:endParaRPr lang="en-US" altLang="zh-CN" sz="800" b="0" i="0">
            <a:solidFill>
              <a:schemeClr val="tx1">
                <a:lumMod val="50000"/>
                <a:lumOff val="50000"/>
              </a:schemeClr>
            </a:solidFill>
            <a:effectLst/>
            <a:latin typeface="微软雅黑" panose="020B0503020204020204" pitchFamily="34" charset="-122"/>
            <a:ea typeface="微软雅黑" panose="020B0503020204020204" pitchFamily="34" charset="-122"/>
            <a:cs typeface="+mn-cs"/>
          </a:endParaRPr>
        </a:p>
        <a:p xmlns:a="http://schemas.openxmlformats.org/drawingml/2006/main">
          <a:pPr marL="0" marR="0" indent="0" algn="l" defTabSz="914400" rtl="0" eaLnBrk="1" fontAlgn="auto" latinLnBrk="0" hangingPunct="1">
            <a:lnSpc>
              <a:spcPts val="1100"/>
            </a:lnSpc>
            <a:spcBef>
              <a:spcPts val="0"/>
            </a:spcBef>
            <a:spcAft>
              <a:spcPts val="0"/>
            </a:spcAft>
            <a:buClrTx/>
            <a:buSzTx/>
            <a:buFontTx/>
            <a:buNone/>
            <a:tabLst/>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8.xml><?xml version="1.0" encoding="utf-8"?>
<c:userShapes xmlns:c="http://schemas.openxmlformats.org/drawingml/2006/chart">
  <cdr:relSizeAnchor xmlns:cdr="http://schemas.openxmlformats.org/drawingml/2006/chartDrawing">
    <cdr:from>
      <cdr:x>0.03085</cdr:x>
      <cdr:y>0.79816</cdr:y>
    </cdr:from>
    <cdr:to>
      <cdr:x>0.97822</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48354" y="2298700"/>
          <a:ext cx="4556471" cy="5008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49.xml><?xml version="1.0" encoding="utf-8"?>
<c:userShapes xmlns:c="http://schemas.openxmlformats.org/drawingml/2006/chart">
  <cdr:relSizeAnchor xmlns:cdr="http://schemas.openxmlformats.org/drawingml/2006/chartDrawing">
    <cdr:from>
      <cdr:x>0.02688</cdr:x>
      <cdr:y>0.79816</cdr:y>
    </cdr:from>
    <cdr:to>
      <cdr:x>0.97425</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29304" y="2298700"/>
          <a:ext cx="4556471" cy="50083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5.xml><?xml version="1.0" encoding="utf-8"?>
<c:userShapes xmlns:c="http://schemas.openxmlformats.org/drawingml/2006/chart">
  <cdr:relSizeAnchor xmlns:cdr="http://schemas.openxmlformats.org/drawingml/2006/chartDrawing">
    <cdr:from>
      <cdr:x>0.02705</cdr:x>
      <cdr:y>0.81993</cdr:y>
    </cdr:from>
    <cdr:to>
      <cdr:x>0.98224</cdr:x>
      <cdr:y>0.97143</cdr:y>
    </cdr:to>
    <cdr:sp macro="" textlink="">
      <cdr:nvSpPr>
        <cdr:cNvPr id="2" name="Text Box 1"/>
        <cdr:cNvSpPr txBox="1">
          <a:spLocks xmlns:a="http://schemas.openxmlformats.org/drawingml/2006/main" noChangeArrowheads="1"/>
        </cdr:cNvSpPr>
      </cdr:nvSpPr>
      <cdr:spPr bwMode="auto">
        <a:xfrm xmlns:a="http://schemas.openxmlformats.org/drawingml/2006/main">
          <a:off x="130097" y="2524125"/>
          <a:ext cx="4593976" cy="46641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来源：艾瑞智云新媒体</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OneMedia</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150.xml><?xml version="1.0" encoding="utf-8"?>
<c:userShapes xmlns:c="http://schemas.openxmlformats.org/drawingml/2006/chart">
  <cdr:relSizeAnchor xmlns:cdr="http://schemas.openxmlformats.org/drawingml/2006/chartDrawing">
    <cdr:from>
      <cdr:x>0.03085</cdr:x>
      <cdr:y>0.79816</cdr:y>
    </cdr:from>
    <cdr:to>
      <cdr:x>0.97822</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48354" y="2298700"/>
          <a:ext cx="4556471" cy="5008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51.xml><?xml version="1.0" encoding="utf-8"?>
<c:userShapes xmlns:c="http://schemas.openxmlformats.org/drawingml/2006/chart">
  <cdr:relSizeAnchor xmlns:cdr="http://schemas.openxmlformats.org/drawingml/2006/chartDrawing">
    <cdr:from>
      <cdr:x>0.02688</cdr:x>
      <cdr:y>0.79816</cdr:y>
    </cdr:from>
    <cdr:to>
      <cdr:x>0.97425</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29304" y="2298700"/>
          <a:ext cx="4556471" cy="50083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52.xml><?xml version="1.0" encoding="utf-8"?>
<c:userShapes xmlns:c="http://schemas.openxmlformats.org/drawingml/2006/chart">
  <cdr:relSizeAnchor xmlns:cdr="http://schemas.openxmlformats.org/drawingml/2006/chartDrawing">
    <cdr:from>
      <cdr:x>0.03085</cdr:x>
      <cdr:y>0.79816</cdr:y>
    </cdr:from>
    <cdr:to>
      <cdr:x>0.97822</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48354" y="2298700"/>
          <a:ext cx="4556471" cy="5008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53.xml><?xml version="1.0" encoding="utf-8"?>
<c:userShapes xmlns:c="http://schemas.openxmlformats.org/drawingml/2006/chart">
  <cdr:relSizeAnchor xmlns:cdr="http://schemas.openxmlformats.org/drawingml/2006/chartDrawing">
    <cdr:from>
      <cdr:x>0.02688</cdr:x>
      <cdr:y>0.79816</cdr:y>
    </cdr:from>
    <cdr:to>
      <cdr:x>0.97425</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29304" y="2298700"/>
          <a:ext cx="4556471" cy="50083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54.xml><?xml version="1.0" encoding="utf-8"?>
<c:userShapes xmlns:c="http://schemas.openxmlformats.org/drawingml/2006/chart">
  <cdr:relSizeAnchor xmlns:cdr="http://schemas.openxmlformats.org/drawingml/2006/chartDrawing">
    <cdr:from>
      <cdr:x>0.03085</cdr:x>
      <cdr:y>0.79816</cdr:y>
    </cdr:from>
    <cdr:to>
      <cdr:x>0.97822</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48354" y="2298700"/>
          <a:ext cx="4556471" cy="50082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55.xml><?xml version="1.0" encoding="utf-8"?>
<c:userShapes xmlns:c="http://schemas.openxmlformats.org/drawingml/2006/chart">
  <cdr:relSizeAnchor xmlns:cdr="http://schemas.openxmlformats.org/drawingml/2006/chartDrawing">
    <cdr:from>
      <cdr:x>0.02688</cdr:x>
      <cdr:y>0.79816</cdr:y>
    </cdr:from>
    <cdr:to>
      <cdr:x>0.97425</cdr:x>
      <cdr:y>0.97206</cdr:y>
    </cdr:to>
    <cdr:sp macro="" textlink="">
      <cdr:nvSpPr>
        <cdr:cNvPr id="3" name="Text Box 1"/>
        <cdr:cNvSpPr txBox="1">
          <a:spLocks xmlns:a="http://schemas.openxmlformats.org/drawingml/2006/main" noChangeArrowheads="1"/>
        </cdr:cNvSpPr>
      </cdr:nvSpPr>
      <cdr:spPr bwMode="auto">
        <a:xfrm xmlns:a="http://schemas.openxmlformats.org/drawingml/2006/main">
          <a:off x="129304" y="2298700"/>
          <a:ext cx="4556471" cy="50083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56.xml><?xml version="1.0" encoding="utf-8"?>
<c:userShapes xmlns:c="http://schemas.openxmlformats.org/drawingml/2006/chart">
  <cdr:relSizeAnchor xmlns:cdr="http://schemas.openxmlformats.org/drawingml/2006/chartDrawing">
    <cdr:from>
      <cdr:x>0.01782</cdr:x>
      <cdr:y>0.80698</cdr:y>
    </cdr:from>
    <cdr:to>
      <cdr:x>0.97484</cdr:x>
      <cdr:y>0.97489</cdr:y>
    </cdr:to>
    <cdr:sp macro="" textlink="">
      <cdr:nvSpPr>
        <cdr:cNvPr id="2" name="矩形 1"/>
        <cdr:cNvSpPr/>
      </cdr:nvSpPr>
      <cdr:spPr>
        <a:xfrm xmlns:a="http://schemas.openxmlformats.org/drawingml/2006/main">
          <a:off x="85726" y="2324101"/>
          <a:ext cx="4602862" cy="483596"/>
        </a:xfrm>
        <a:prstGeom xmlns:a="http://schemas.openxmlformats.org/drawingml/2006/main" prst="rect">
          <a:avLst/>
        </a:prstGeom>
        <a:solidFill xmlns:a="http://schemas.openxmlformats.org/drawingml/2006/main">
          <a:srgbClr val="FFFFFF"/>
        </a:solidFill>
        <a:ln xmlns:a="http://schemas.openxmlformats.org/drawingml/2006/main" w="9525">
          <a:noFill/>
          <a:miter lim="800000"/>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来源：陕西省通信管理局。</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16.xml><?xml version="1.0" encoding="utf-8"?>
<c:userShapes xmlns:c="http://schemas.openxmlformats.org/drawingml/2006/chart">
  <cdr:relSizeAnchor xmlns:cdr="http://schemas.openxmlformats.org/drawingml/2006/chartDrawing">
    <cdr:from>
      <cdr:x>0.02839</cdr:x>
      <cdr:y>0.8029</cdr:y>
    </cdr:from>
    <cdr:to>
      <cdr:x>0.98355</cdr:x>
      <cdr:y>0.95693</cdr:y>
    </cdr:to>
    <cdr:sp macro="" textlink="">
      <cdr:nvSpPr>
        <cdr:cNvPr id="2" name="Text Box 1"/>
        <cdr:cNvSpPr txBox="1">
          <a:spLocks xmlns:a="http://schemas.openxmlformats.org/drawingml/2006/main" noChangeArrowheads="1"/>
        </cdr:cNvSpPr>
      </cdr:nvSpPr>
      <cdr:spPr bwMode="auto">
        <a:xfrm xmlns:a="http://schemas.openxmlformats.org/drawingml/2006/main">
          <a:off x="136549" y="2333626"/>
          <a:ext cx="4593937" cy="44767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来源：艾瑞智云新媒体</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OneMedia</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17.xml><?xml version="1.0" encoding="utf-8"?>
<c:userShapes xmlns:c="http://schemas.openxmlformats.org/drawingml/2006/chart">
  <cdr:relSizeAnchor xmlns:cdr="http://schemas.openxmlformats.org/drawingml/2006/chartDrawing">
    <cdr:from>
      <cdr:x>0.02641</cdr:x>
      <cdr:y>0.81139</cdr:y>
    </cdr:from>
    <cdr:to>
      <cdr:x>0.98157</cdr:x>
      <cdr:y>0.96683</cdr:y>
    </cdr:to>
    <cdr:sp macro="" textlink="">
      <cdr:nvSpPr>
        <cdr:cNvPr id="2" name="Text Box 1"/>
        <cdr:cNvSpPr txBox="1">
          <a:spLocks xmlns:a="http://schemas.openxmlformats.org/drawingml/2006/main" noChangeArrowheads="1"/>
        </cdr:cNvSpPr>
      </cdr:nvSpPr>
      <cdr:spPr bwMode="auto">
        <a:xfrm xmlns:a="http://schemas.openxmlformats.org/drawingml/2006/main">
          <a:off x="127022" y="2336803"/>
          <a:ext cx="4593937" cy="44766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来源：艾瑞智云新媒体</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OneMedia</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18.xml><?xml version="1.0" encoding="utf-8"?>
<c:userShapes xmlns:c="http://schemas.openxmlformats.org/drawingml/2006/chart">
  <cdr:relSizeAnchor xmlns:cdr="http://schemas.openxmlformats.org/drawingml/2006/chartDrawing">
    <cdr:from>
      <cdr:x>0.02641</cdr:x>
      <cdr:y>0.81139</cdr:y>
    </cdr:from>
    <cdr:to>
      <cdr:x>0.98157</cdr:x>
      <cdr:y>0.96683</cdr:y>
    </cdr:to>
    <cdr:sp macro="" textlink="">
      <cdr:nvSpPr>
        <cdr:cNvPr id="2" name="Text Box 1"/>
        <cdr:cNvSpPr txBox="1">
          <a:spLocks xmlns:a="http://schemas.openxmlformats.org/drawingml/2006/main" noChangeArrowheads="1"/>
        </cdr:cNvSpPr>
      </cdr:nvSpPr>
      <cdr:spPr bwMode="auto">
        <a:xfrm xmlns:a="http://schemas.openxmlformats.org/drawingml/2006/main">
          <a:off x="127022" y="2336803"/>
          <a:ext cx="4593937" cy="44766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来源：艾瑞智云新媒体</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OneMedia</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19.xml><?xml version="1.0" encoding="utf-8"?>
<c:userShapes xmlns:c="http://schemas.openxmlformats.org/drawingml/2006/chart">
  <cdr:relSizeAnchor xmlns:cdr="http://schemas.openxmlformats.org/drawingml/2006/chartDrawing">
    <cdr:from>
      <cdr:x>0.02943</cdr:x>
      <cdr:y>0.79064</cdr:y>
    </cdr:from>
    <cdr:to>
      <cdr:x>0.97432</cdr:x>
      <cdr:y>0.9691</cdr:y>
    </cdr:to>
    <cdr:sp macro="" textlink="">
      <cdr:nvSpPr>
        <cdr:cNvPr id="3" name="Text Box 1"/>
        <cdr:cNvSpPr txBox="1">
          <a:spLocks xmlns:a="http://schemas.openxmlformats.org/drawingml/2006/main" noChangeArrowheads="1"/>
        </cdr:cNvSpPr>
      </cdr:nvSpPr>
      <cdr:spPr bwMode="auto">
        <a:xfrm xmlns:a="http://schemas.openxmlformats.org/drawingml/2006/main">
          <a:off x="141547" y="2419350"/>
          <a:ext cx="4544542" cy="54609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xml><?xml version="1.0" encoding="utf-8"?>
<c:userShapes xmlns:c="http://schemas.openxmlformats.org/drawingml/2006/chart">
  <cdr:relSizeAnchor xmlns:cdr="http://schemas.openxmlformats.org/drawingml/2006/chartDrawing">
    <cdr:from>
      <cdr:x>0.0275</cdr:x>
      <cdr:y>0.7721</cdr:y>
    </cdr:from>
    <cdr:to>
      <cdr:x>0.97624</cdr:x>
      <cdr:y>0.97136</cdr:y>
    </cdr:to>
    <cdr:sp macro="" textlink="">
      <cdr:nvSpPr>
        <cdr:cNvPr id="18433" name="Text Box 1"/>
        <cdr:cNvSpPr txBox="1">
          <a:spLocks xmlns:a="http://schemas.openxmlformats.org/drawingml/2006/main" noChangeArrowheads="1"/>
        </cdr:cNvSpPr>
      </cdr:nvSpPr>
      <cdr:spPr bwMode="auto">
        <a:xfrm xmlns:a="http://schemas.openxmlformats.org/drawingml/2006/main">
          <a:off x="132278" y="2362200"/>
          <a:ext cx="4563558" cy="6096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iUserTracker.</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家庭办公版，基于</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0.xml><?xml version="1.0" encoding="utf-8"?>
<c:userShapes xmlns:c="http://schemas.openxmlformats.org/drawingml/2006/chart">
  <cdr:relSizeAnchor xmlns:cdr="http://schemas.openxmlformats.org/drawingml/2006/chartDrawing">
    <cdr:from>
      <cdr:x>0.03037</cdr:x>
      <cdr:y>0.78501</cdr:y>
    </cdr:from>
    <cdr:to>
      <cdr:x>0.97776</cdr:x>
      <cdr:y>0.97328</cdr:y>
    </cdr:to>
    <cdr:sp macro="" textlink="">
      <cdr:nvSpPr>
        <cdr:cNvPr id="3" name="Text Box 1"/>
        <cdr:cNvSpPr txBox="1">
          <a:spLocks xmlns:a="http://schemas.openxmlformats.org/drawingml/2006/main" noChangeArrowheads="1"/>
        </cdr:cNvSpPr>
      </cdr:nvSpPr>
      <cdr:spPr bwMode="auto">
        <a:xfrm xmlns:a="http://schemas.openxmlformats.org/drawingml/2006/main">
          <a:off x="146050" y="226060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1.xml><?xml version="1.0" encoding="utf-8"?>
<c:userShapes xmlns:c="http://schemas.openxmlformats.org/drawingml/2006/chart">
  <cdr:relSizeAnchor xmlns:cdr="http://schemas.openxmlformats.org/drawingml/2006/chartDrawing">
    <cdr:from>
      <cdr:x>0.03037</cdr:x>
      <cdr:y>0.78501</cdr:y>
    </cdr:from>
    <cdr:to>
      <cdr:x>0.97776</cdr:x>
      <cdr:y>0.97328</cdr:y>
    </cdr:to>
    <cdr:sp macro="" textlink="">
      <cdr:nvSpPr>
        <cdr:cNvPr id="3" name="Text Box 1"/>
        <cdr:cNvSpPr txBox="1">
          <a:spLocks xmlns:a="http://schemas.openxmlformats.org/drawingml/2006/main" noChangeArrowheads="1"/>
        </cdr:cNvSpPr>
      </cdr:nvSpPr>
      <cdr:spPr bwMode="auto">
        <a:xfrm xmlns:a="http://schemas.openxmlformats.org/drawingml/2006/main">
          <a:off x="146050" y="226060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2.xml><?xml version="1.0" encoding="utf-8"?>
<c:userShapes xmlns:c="http://schemas.openxmlformats.org/drawingml/2006/chart">
  <cdr:relSizeAnchor xmlns:cdr="http://schemas.openxmlformats.org/drawingml/2006/chartDrawing">
    <cdr:from>
      <cdr:x>0.02443</cdr:x>
      <cdr:y>0.78547</cdr:y>
    </cdr:from>
    <cdr:to>
      <cdr:x>0.97182</cdr:x>
      <cdr:y>0.97627</cdr:y>
    </cdr:to>
    <cdr:sp macro="" textlink="">
      <cdr:nvSpPr>
        <cdr:cNvPr id="3" name="Text Box 1"/>
        <cdr:cNvSpPr txBox="1">
          <a:spLocks xmlns:a="http://schemas.openxmlformats.org/drawingml/2006/main" noChangeArrowheads="1"/>
        </cdr:cNvSpPr>
      </cdr:nvSpPr>
      <cdr:spPr bwMode="auto">
        <a:xfrm xmlns:a="http://schemas.openxmlformats.org/drawingml/2006/main">
          <a:off x="117475" y="2232025"/>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3.xml><?xml version="1.0" encoding="utf-8"?>
<c:userShapes xmlns:c="http://schemas.openxmlformats.org/drawingml/2006/chart">
  <cdr:relSizeAnchor xmlns:cdr="http://schemas.openxmlformats.org/drawingml/2006/chartDrawing">
    <cdr:from>
      <cdr:x>0.03037</cdr:x>
      <cdr:y>0.78501</cdr:y>
    </cdr:from>
    <cdr:to>
      <cdr:x>0.97776</cdr:x>
      <cdr:y>0.97328</cdr:y>
    </cdr:to>
    <cdr:sp macro="" textlink="">
      <cdr:nvSpPr>
        <cdr:cNvPr id="3" name="Text Box 1"/>
        <cdr:cNvSpPr txBox="1">
          <a:spLocks xmlns:a="http://schemas.openxmlformats.org/drawingml/2006/main" noChangeArrowheads="1"/>
        </cdr:cNvSpPr>
      </cdr:nvSpPr>
      <cdr:spPr bwMode="auto">
        <a:xfrm xmlns:a="http://schemas.openxmlformats.org/drawingml/2006/main">
          <a:off x="146050" y="226060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4.xml><?xml version="1.0" encoding="utf-8"?>
<c:userShapes xmlns:c="http://schemas.openxmlformats.org/drawingml/2006/chart">
  <cdr:relSizeAnchor xmlns:cdr="http://schemas.openxmlformats.org/drawingml/2006/chartDrawing">
    <cdr:from>
      <cdr:x>0.03159</cdr:x>
      <cdr:y>0.78857</cdr:y>
    </cdr:from>
    <cdr:to>
      <cdr:x>0.97823</cdr:x>
      <cdr:y>0.97685</cdr:y>
    </cdr:to>
    <cdr:sp macro="" textlink="">
      <cdr:nvSpPr>
        <cdr:cNvPr id="3" name="Text Box 1"/>
        <cdr:cNvSpPr txBox="1">
          <a:spLocks xmlns:a="http://schemas.openxmlformats.org/drawingml/2006/main" noChangeArrowheads="1"/>
        </cdr:cNvSpPr>
      </cdr:nvSpPr>
      <cdr:spPr bwMode="auto">
        <a:xfrm xmlns:a="http://schemas.openxmlformats.org/drawingml/2006/main">
          <a:off x="152054" y="2270873"/>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©2018.5 iResearch Inc.                                                                            www.iresearch.com.cn</a:t>
          </a:r>
        </a:p>
      </cdr:txBody>
    </cdr:sp>
  </cdr:relSizeAnchor>
</c:userShapes>
</file>

<file path=word/drawings/drawing25.xml><?xml version="1.0" encoding="utf-8"?>
<c:userShapes xmlns:c="http://schemas.openxmlformats.org/drawingml/2006/chart">
  <cdr:relSizeAnchor xmlns:cdr="http://schemas.openxmlformats.org/drawingml/2006/chartDrawing">
    <cdr:from>
      <cdr:x>0.03037</cdr:x>
      <cdr:y>0.78501</cdr:y>
    </cdr:from>
    <cdr:to>
      <cdr:x>0.97776</cdr:x>
      <cdr:y>0.97328</cdr:y>
    </cdr:to>
    <cdr:sp macro="" textlink="">
      <cdr:nvSpPr>
        <cdr:cNvPr id="3" name="Text Box 1"/>
        <cdr:cNvSpPr txBox="1">
          <a:spLocks xmlns:a="http://schemas.openxmlformats.org/drawingml/2006/main" noChangeArrowheads="1"/>
        </cdr:cNvSpPr>
      </cdr:nvSpPr>
      <cdr:spPr bwMode="auto">
        <a:xfrm xmlns:a="http://schemas.openxmlformats.org/drawingml/2006/main">
          <a:off x="146050" y="226060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6.xml><?xml version="1.0" encoding="utf-8"?>
<c:userShapes xmlns:c="http://schemas.openxmlformats.org/drawingml/2006/chart">
  <cdr:relSizeAnchor xmlns:cdr="http://schemas.openxmlformats.org/drawingml/2006/chartDrawing">
    <cdr:from>
      <cdr:x>0.02884</cdr:x>
      <cdr:y>0.78212</cdr:y>
    </cdr:from>
    <cdr:to>
      <cdr:x>0.97623</cdr:x>
      <cdr:y>0.97292</cdr:y>
    </cdr:to>
    <cdr:sp macro="" textlink="">
      <cdr:nvSpPr>
        <cdr:cNvPr id="3" name="Text Box 1"/>
        <cdr:cNvSpPr txBox="1">
          <a:spLocks xmlns:a="http://schemas.openxmlformats.org/drawingml/2006/main" noChangeArrowheads="1"/>
        </cdr:cNvSpPr>
      </cdr:nvSpPr>
      <cdr:spPr bwMode="auto">
        <a:xfrm xmlns:a="http://schemas.openxmlformats.org/drawingml/2006/main">
          <a:off x="138719" y="222250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©2018.5 iResearch Inc.                                                                            www.iresearch.com.cn</a:t>
          </a:r>
        </a:p>
      </cdr:txBody>
    </cdr:sp>
  </cdr:relSizeAnchor>
</c:userShapes>
</file>

<file path=word/drawings/drawing27.xml><?xml version="1.0" encoding="utf-8"?>
<c:userShapes xmlns:c="http://schemas.openxmlformats.org/drawingml/2006/chart">
  <cdr:relSizeAnchor xmlns:cdr="http://schemas.openxmlformats.org/drawingml/2006/chartDrawing">
    <cdr:from>
      <cdr:x>0.03037</cdr:x>
      <cdr:y>0.78501</cdr:y>
    </cdr:from>
    <cdr:to>
      <cdr:x>0.97776</cdr:x>
      <cdr:y>0.97328</cdr:y>
    </cdr:to>
    <cdr:sp macro="" textlink="">
      <cdr:nvSpPr>
        <cdr:cNvPr id="3" name="Text Box 1"/>
        <cdr:cNvSpPr txBox="1">
          <a:spLocks xmlns:a="http://schemas.openxmlformats.org/drawingml/2006/main" noChangeArrowheads="1"/>
        </cdr:cNvSpPr>
      </cdr:nvSpPr>
      <cdr:spPr bwMode="auto">
        <a:xfrm xmlns:a="http://schemas.openxmlformats.org/drawingml/2006/main">
          <a:off x="146050" y="226060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8.xml><?xml version="1.0" encoding="utf-8"?>
<c:userShapes xmlns:c="http://schemas.openxmlformats.org/drawingml/2006/chart">
  <cdr:relSizeAnchor xmlns:cdr="http://schemas.openxmlformats.org/drawingml/2006/chartDrawing">
    <cdr:from>
      <cdr:x>0.02448</cdr:x>
      <cdr:y>0.77534</cdr:y>
    </cdr:from>
    <cdr:to>
      <cdr:x>0.97398</cdr:x>
      <cdr:y>0.96612</cdr:y>
    </cdr:to>
    <cdr:sp macro="" textlink="">
      <cdr:nvSpPr>
        <cdr:cNvPr id="3" name="Text Box 1"/>
        <cdr:cNvSpPr txBox="1">
          <a:spLocks xmlns:a="http://schemas.openxmlformats.org/drawingml/2006/main" noChangeArrowheads="1"/>
        </cdr:cNvSpPr>
      </cdr:nvSpPr>
      <cdr:spPr bwMode="auto">
        <a:xfrm xmlns:a="http://schemas.openxmlformats.org/drawingml/2006/main">
          <a:off x="117475" y="220345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29.xml><?xml version="1.0" encoding="utf-8"?>
<c:userShapes xmlns:c="http://schemas.openxmlformats.org/drawingml/2006/chart">
  <cdr:relSizeAnchor xmlns:cdr="http://schemas.openxmlformats.org/drawingml/2006/chartDrawing">
    <cdr:from>
      <cdr:x>0.03039</cdr:x>
      <cdr:y>0.78713</cdr:y>
    </cdr:from>
    <cdr:to>
      <cdr:x>0.97776</cdr:x>
      <cdr:y>0.97539</cdr:y>
    </cdr:to>
    <cdr:sp macro="" textlink="">
      <cdr:nvSpPr>
        <cdr:cNvPr id="4" name="Text Box 1"/>
        <cdr:cNvSpPr txBox="1">
          <a:spLocks xmlns:a="http://schemas.openxmlformats.org/drawingml/2006/main" noChangeArrowheads="1"/>
        </cdr:cNvSpPr>
      </cdr:nvSpPr>
      <cdr:spPr bwMode="auto">
        <a:xfrm xmlns:a="http://schemas.openxmlformats.org/drawingml/2006/main">
          <a:off x="145832" y="2266948"/>
          <a:ext cx="4546239"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xml><?xml version="1.0" encoding="utf-8"?>
<c:userShapes xmlns:c="http://schemas.openxmlformats.org/drawingml/2006/chart">
  <cdr:relSizeAnchor xmlns:cdr="http://schemas.openxmlformats.org/drawingml/2006/chartDrawing">
    <cdr:from>
      <cdr:x>0.02971</cdr:x>
      <cdr:y>0.76399</cdr:y>
    </cdr:from>
    <cdr:to>
      <cdr:x>0.96831</cdr:x>
      <cdr:y>0.97998</cdr:y>
    </cdr:to>
    <cdr:sp macro="" textlink="">
      <cdr:nvSpPr>
        <cdr:cNvPr id="2" name="Text Box 1"/>
        <cdr:cNvSpPr txBox="1">
          <a:spLocks xmlns:a="http://schemas.openxmlformats.org/drawingml/2006/main" noChangeArrowheads="1"/>
        </cdr:cNvSpPr>
      </cdr:nvSpPr>
      <cdr:spPr bwMode="auto">
        <a:xfrm xmlns:a="http://schemas.openxmlformats.org/drawingml/2006/main">
          <a:off x="142875" y="2200069"/>
          <a:ext cx="4514198" cy="62199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30.xml><?xml version="1.0" encoding="utf-8"?>
<c:userShapes xmlns:c="http://schemas.openxmlformats.org/drawingml/2006/chart">
  <cdr:relSizeAnchor xmlns:cdr="http://schemas.openxmlformats.org/drawingml/2006/chartDrawing">
    <cdr:from>
      <cdr:x>0.03278</cdr:x>
      <cdr:y>0.78493</cdr:y>
    </cdr:from>
    <cdr:to>
      <cdr:x>0.98015</cdr:x>
      <cdr:y>0.97319</cdr:y>
    </cdr:to>
    <cdr:sp macro="" textlink="">
      <cdr:nvSpPr>
        <cdr:cNvPr id="3" name="Text Box 1"/>
        <cdr:cNvSpPr txBox="1">
          <a:spLocks xmlns:a="http://schemas.openxmlformats.org/drawingml/2006/main" noChangeArrowheads="1"/>
        </cdr:cNvSpPr>
      </cdr:nvSpPr>
      <cdr:spPr bwMode="auto">
        <a:xfrm xmlns:a="http://schemas.openxmlformats.org/drawingml/2006/main">
          <a:off x="157311" y="2260600"/>
          <a:ext cx="4546239"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1.xml><?xml version="1.0" encoding="utf-8"?>
<c:userShapes xmlns:c="http://schemas.openxmlformats.org/drawingml/2006/chart">
  <cdr:relSizeAnchor xmlns:cdr="http://schemas.openxmlformats.org/drawingml/2006/chartDrawing">
    <cdr:from>
      <cdr:x>0.03235</cdr:x>
      <cdr:y>0.79485</cdr:y>
    </cdr:from>
    <cdr:to>
      <cdr:x>0.97972</cdr:x>
      <cdr:y>0.98311</cdr:y>
    </cdr:to>
    <cdr:sp macro="" textlink="">
      <cdr:nvSpPr>
        <cdr:cNvPr id="4" name="Text Box 1"/>
        <cdr:cNvSpPr txBox="1">
          <a:spLocks xmlns:a="http://schemas.openxmlformats.org/drawingml/2006/main" noChangeArrowheads="1"/>
        </cdr:cNvSpPr>
      </cdr:nvSpPr>
      <cdr:spPr bwMode="auto">
        <a:xfrm xmlns:a="http://schemas.openxmlformats.org/drawingml/2006/main">
          <a:off x="155575" y="2289175"/>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2.xml><?xml version="1.0" encoding="utf-8"?>
<c:userShapes xmlns:c="http://schemas.openxmlformats.org/drawingml/2006/chart">
  <cdr:relSizeAnchor xmlns:cdr="http://schemas.openxmlformats.org/drawingml/2006/chartDrawing">
    <cdr:from>
      <cdr:x>0.03065</cdr:x>
      <cdr:y>0.79485</cdr:y>
    </cdr:from>
    <cdr:to>
      <cdr:x>0.98015</cdr:x>
      <cdr:y>0.98311</cdr:y>
    </cdr:to>
    <cdr:sp macro="" textlink="">
      <cdr:nvSpPr>
        <cdr:cNvPr id="3" name="Text Box 1"/>
        <cdr:cNvSpPr txBox="1">
          <a:spLocks xmlns:a="http://schemas.openxmlformats.org/drawingml/2006/main" noChangeArrowheads="1"/>
        </cdr:cNvSpPr>
      </cdr:nvSpPr>
      <cdr:spPr bwMode="auto">
        <a:xfrm xmlns:a="http://schemas.openxmlformats.org/drawingml/2006/main">
          <a:off x="147079" y="2289175"/>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3.xml><?xml version="1.0" encoding="utf-8"?>
<c:userShapes xmlns:c="http://schemas.openxmlformats.org/drawingml/2006/chart">
  <cdr:relSizeAnchor xmlns:cdr="http://schemas.openxmlformats.org/drawingml/2006/chartDrawing">
    <cdr:from>
      <cdr:x>0.02448</cdr:x>
      <cdr:y>0.79155</cdr:y>
    </cdr:from>
    <cdr:to>
      <cdr:x>0.97398</cdr:x>
      <cdr:y>0.9798</cdr:y>
    </cdr:to>
    <cdr:sp macro="" textlink="">
      <cdr:nvSpPr>
        <cdr:cNvPr id="3" name="Text Box 1"/>
        <cdr:cNvSpPr txBox="1">
          <a:spLocks xmlns:a="http://schemas.openxmlformats.org/drawingml/2006/main" noChangeArrowheads="1"/>
        </cdr:cNvSpPr>
      </cdr:nvSpPr>
      <cdr:spPr bwMode="auto">
        <a:xfrm xmlns:a="http://schemas.openxmlformats.org/drawingml/2006/main">
          <a:off x="117475" y="227965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4.xml><?xml version="1.0" encoding="utf-8"?>
<c:userShapes xmlns:c="http://schemas.openxmlformats.org/drawingml/2006/chart">
  <cdr:relSizeAnchor xmlns:cdr="http://schemas.openxmlformats.org/drawingml/2006/chartDrawing">
    <cdr:from>
      <cdr:x>0.02382</cdr:x>
      <cdr:y>0.79155</cdr:y>
    </cdr:from>
    <cdr:to>
      <cdr:x>0.97332</cdr:x>
      <cdr:y>0.9798</cdr:y>
    </cdr:to>
    <cdr:sp macro="" textlink="">
      <cdr:nvSpPr>
        <cdr:cNvPr id="3" name="Text Box 1"/>
        <cdr:cNvSpPr txBox="1">
          <a:spLocks xmlns:a="http://schemas.openxmlformats.org/drawingml/2006/main" noChangeArrowheads="1"/>
        </cdr:cNvSpPr>
      </cdr:nvSpPr>
      <cdr:spPr bwMode="auto">
        <a:xfrm xmlns:a="http://schemas.openxmlformats.org/drawingml/2006/main">
          <a:off x="114300" y="227965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 </a:t>
          </a:r>
        </a:p>
      </cdr:txBody>
    </cdr:sp>
  </cdr:relSizeAnchor>
</c:userShapes>
</file>

<file path=word/drawings/drawing35.xml><?xml version="1.0" encoding="utf-8"?>
<c:userShapes xmlns:c="http://schemas.openxmlformats.org/drawingml/2006/chart">
  <cdr:relSizeAnchor xmlns:cdr="http://schemas.openxmlformats.org/drawingml/2006/chartDrawing">
    <cdr:from>
      <cdr:x>0.02646</cdr:x>
      <cdr:y>0.78824</cdr:y>
    </cdr:from>
    <cdr:to>
      <cdr:x>0.97597</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27000" y="2270125"/>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6.xml><?xml version="1.0" encoding="utf-8"?>
<c:userShapes xmlns:c="http://schemas.openxmlformats.org/drawingml/2006/chart">
  <cdr:relSizeAnchor xmlns:cdr="http://schemas.openxmlformats.org/drawingml/2006/chartDrawing">
    <cdr:from>
      <cdr:x>0.02839</cdr:x>
      <cdr:y>0.79155</cdr:y>
    </cdr:from>
    <cdr:to>
      <cdr:x>0.97576</cdr:x>
      <cdr:y>0.9798</cdr:y>
    </cdr:to>
    <cdr:sp macro="" textlink="">
      <cdr:nvSpPr>
        <cdr:cNvPr id="4" name="Text Box 1"/>
        <cdr:cNvSpPr txBox="1">
          <a:spLocks xmlns:a="http://schemas.openxmlformats.org/drawingml/2006/main" noChangeArrowheads="1"/>
        </cdr:cNvSpPr>
      </cdr:nvSpPr>
      <cdr:spPr bwMode="auto">
        <a:xfrm xmlns:a="http://schemas.openxmlformats.org/drawingml/2006/main">
          <a:off x="136525" y="227965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7.xml><?xml version="1.0" encoding="utf-8"?>
<c:userShapes xmlns:c="http://schemas.openxmlformats.org/drawingml/2006/chart">
  <cdr:relSizeAnchor xmlns:cdr="http://schemas.openxmlformats.org/drawingml/2006/chartDrawing">
    <cdr:from>
      <cdr:x>0.02886</cdr:x>
      <cdr:y>0.79155</cdr:y>
    </cdr:from>
    <cdr:to>
      <cdr:x>0.97624</cdr:x>
      <cdr:y>0.9798</cdr:y>
    </cdr:to>
    <cdr:sp macro="" textlink="">
      <cdr:nvSpPr>
        <cdr:cNvPr id="3" name="Text Box 1"/>
        <cdr:cNvSpPr txBox="1">
          <a:spLocks xmlns:a="http://schemas.openxmlformats.org/drawingml/2006/main" noChangeArrowheads="1"/>
        </cdr:cNvSpPr>
      </cdr:nvSpPr>
      <cdr:spPr bwMode="auto">
        <a:xfrm xmlns:a="http://schemas.openxmlformats.org/drawingml/2006/main">
          <a:off x="138829" y="227965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8.xml><?xml version="1.0" encoding="utf-8"?>
<c:userShapes xmlns:c="http://schemas.openxmlformats.org/drawingml/2006/chart">
  <cdr:relSizeAnchor xmlns:cdr="http://schemas.openxmlformats.org/drawingml/2006/chartDrawing">
    <cdr:from>
      <cdr:x>0.02845</cdr:x>
      <cdr:y>0.79485</cdr:y>
    </cdr:from>
    <cdr:to>
      <cdr:x>0.97795</cdr:x>
      <cdr:y>0.98311</cdr:y>
    </cdr:to>
    <cdr:sp macro="" textlink="">
      <cdr:nvSpPr>
        <cdr:cNvPr id="3" name="Text Box 1"/>
        <cdr:cNvSpPr txBox="1">
          <a:spLocks xmlns:a="http://schemas.openxmlformats.org/drawingml/2006/main" noChangeArrowheads="1"/>
        </cdr:cNvSpPr>
      </cdr:nvSpPr>
      <cdr:spPr bwMode="auto">
        <a:xfrm xmlns:a="http://schemas.openxmlformats.org/drawingml/2006/main">
          <a:off x="136525" y="2289175"/>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39.xml><?xml version="1.0" encoding="utf-8"?>
<c:userShapes xmlns:c="http://schemas.openxmlformats.org/drawingml/2006/chart">
  <cdr:relSizeAnchor xmlns:cdr="http://schemas.openxmlformats.org/drawingml/2006/chartDrawing">
    <cdr:from>
      <cdr:x>0.02448</cdr:x>
      <cdr:y>0.78824</cdr:y>
    </cdr:from>
    <cdr:to>
      <cdr:x>0.97398</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17739" y="2270125"/>
          <a:ext cx="4566726"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xml><?xml version="1.0" encoding="utf-8"?>
<c:userShapes xmlns:c="http://schemas.openxmlformats.org/drawingml/2006/chart">
  <cdr:relSizeAnchor xmlns:cdr="http://schemas.openxmlformats.org/drawingml/2006/chartDrawing">
    <cdr:from>
      <cdr:x>0.02552</cdr:x>
      <cdr:y>0.74083</cdr:y>
    </cdr:from>
    <cdr:to>
      <cdr:x>0.97426</cdr:x>
      <cdr:y>0.96302</cdr:y>
    </cdr:to>
    <cdr:sp macro="" textlink="">
      <cdr:nvSpPr>
        <cdr:cNvPr id="18433" name="Text Box 1"/>
        <cdr:cNvSpPr txBox="1">
          <a:spLocks xmlns:a="http://schemas.openxmlformats.org/drawingml/2006/main" noChangeArrowheads="1"/>
        </cdr:cNvSpPr>
      </cdr:nvSpPr>
      <cdr:spPr bwMode="auto">
        <a:xfrm xmlns:a="http://schemas.openxmlformats.org/drawingml/2006/main">
          <a:off x="122753" y="2133392"/>
          <a:ext cx="4563558" cy="63984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iUserTracker.</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家庭办公版，基于</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（不含公共上网地点）样本网络</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行为的长期监测数据获得。</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0.xml><?xml version="1.0" encoding="utf-8"?>
<c:userShapes xmlns:c="http://schemas.openxmlformats.org/drawingml/2006/chart">
  <cdr:relSizeAnchor xmlns:cdr="http://schemas.openxmlformats.org/drawingml/2006/chartDrawing">
    <cdr:from>
      <cdr:x>0.02448</cdr:x>
      <cdr:y>0.79155</cdr:y>
    </cdr:from>
    <cdr:to>
      <cdr:x>0.97398</cdr:x>
      <cdr:y>0.9798</cdr:y>
    </cdr:to>
    <cdr:sp macro="" textlink="">
      <cdr:nvSpPr>
        <cdr:cNvPr id="3" name="Text Box 1"/>
        <cdr:cNvSpPr txBox="1">
          <a:spLocks xmlns:a="http://schemas.openxmlformats.org/drawingml/2006/main" noChangeArrowheads="1"/>
        </cdr:cNvSpPr>
      </cdr:nvSpPr>
      <cdr:spPr bwMode="auto">
        <a:xfrm xmlns:a="http://schemas.openxmlformats.org/drawingml/2006/main">
          <a:off x="117475" y="2279650"/>
          <a:ext cx="4556471"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1.xml><?xml version="1.0" encoding="utf-8"?>
<c:userShapes xmlns:c="http://schemas.openxmlformats.org/drawingml/2006/chart">
  <cdr:relSizeAnchor xmlns:cdr="http://schemas.openxmlformats.org/drawingml/2006/chartDrawing">
    <cdr:from>
      <cdr:x>0.02443</cdr:x>
      <cdr:y>0.79485</cdr:y>
    </cdr:from>
    <cdr:to>
      <cdr:x>0.97393</cdr:x>
      <cdr:y>0.98311</cdr:y>
    </cdr:to>
    <cdr:sp macro="" textlink="">
      <cdr:nvSpPr>
        <cdr:cNvPr id="3" name="Text Box 1"/>
        <cdr:cNvSpPr txBox="1">
          <a:spLocks xmlns:a="http://schemas.openxmlformats.org/drawingml/2006/main" noChangeArrowheads="1"/>
        </cdr:cNvSpPr>
      </cdr:nvSpPr>
      <cdr:spPr bwMode="auto">
        <a:xfrm xmlns:a="http://schemas.openxmlformats.org/drawingml/2006/main">
          <a:off x="117475" y="228917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2.xml><?xml version="1.0" encoding="utf-8"?>
<c:userShapes xmlns:c="http://schemas.openxmlformats.org/drawingml/2006/chart">
  <cdr:relSizeAnchor xmlns:cdr="http://schemas.openxmlformats.org/drawingml/2006/chartDrawing">
    <cdr:from>
      <cdr:x>0.02653</cdr:x>
      <cdr:y>0.78824</cdr:y>
    </cdr:from>
    <cdr:to>
      <cdr:x>0.97817</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27300" y="227012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3.xml><?xml version="1.0" encoding="utf-8"?>
<c:userShapes xmlns:c="http://schemas.openxmlformats.org/drawingml/2006/chart">
  <cdr:relSizeAnchor xmlns:cdr="http://schemas.openxmlformats.org/drawingml/2006/chartDrawing">
    <cdr:from>
      <cdr:x>0.02443</cdr:x>
      <cdr:y>0.78824</cdr:y>
    </cdr:from>
    <cdr:to>
      <cdr:x>0.97606</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17475" y="2270125"/>
          <a:ext cx="4577003"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iUserTracker.</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（不含公共上网地点）样本网络</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4.xml><?xml version="1.0" encoding="utf-8"?>
<c:userShapes xmlns:c="http://schemas.openxmlformats.org/drawingml/2006/chart">
  <cdr:relSizeAnchor xmlns:cdr="http://schemas.openxmlformats.org/drawingml/2006/chartDrawing">
    <cdr:from>
      <cdr:x>0.02064</cdr:x>
      <cdr:y>0.78824</cdr:y>
    </cdr:from>
    <cdr:to>
      <cdr:x>0.97227</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99247" y="2270125"/>
          <a:ext cx="4577003"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5.xml><?xml version="1.0" encoding="utf-8"?>
<c:userShapes xmlns:c="http://schemas.openxmlformats.org/drawingml/2006/chart">
  <cdr:relSizeAnchor xmlns:cdr="http://schemas.openxmlformats.org/drawingml/2006/chartDrawing">
    <cdr:from>
      <cdr:x>0.02046</cdr:x>
      <cdr:y>0.79155</cdr:y>
    </cdr:from>
    <cdr:to>
      <cdr:x>0.9721</cdr:x>
      <cdr:y>0.9798</cdr:y>
    </cdr:to>
    <cdr:sp macro="" textlink="">
      <cdr:nvSpPr>
        <cdr:cNvPr id="3" name="Text Box 1"/>
        <cdr:cNvSpPr txBox="1">
          <a:spLocks xmlns:a="http://schemas.openxmlformats.org/drawingml/2006/main" noChangeArrowheads="1"/>
        </cdr:cNvSpPr>
      </cdr:nvSpPr>
      <cdr:spPr bwMode="auto">
        <a:xfrm xmlns:a="http://schemas.openxmlformats.org/drawingml/2006/main">
          <a:off x="98425" y="2279650"/>
          <a:ext cx="4577003"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6.xml><?xml version="1.0" encoding="utf-8"?>
<c:userShapes xmlns:c="http://schemas.openxmlformats.org/drawingml/2006/chart">
  <cdr:relSizeAnchor xmlns:cdr="http://schemas.openxmlformats.org/drawingml/2006/chartDrawing">
    <cdr:from>
      <cdr:x>0.02637</cdr:x>
      <cdr:y>0.78824</cdr:y>
    </cdr:from>
    <cdr:to>
      <cdr:x>0.98015</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26547" y="2270125"/>
          <a:ext cx="4577003"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iUserTracker.</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家庭办公版，</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（不含公共上网地点）样本网络</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7.xml><?xml version="1.0" encoding="utf-8"?>
<c:userShapes xmlns:c="http://schemas.openxmlformats.org/drawingml/2006/chart">
  <cdr:relSizeAnchor xmlns:cdr="http://schemas.openxmlformats.org/drawingml/2006/chartDrawing">
    <cdr:from>
      <cdr:x>0.02641</cdr:x>
      <cdr:y>0.78493</cdr:y>
    </cdr:from>
    <cdr:to>
      <cdr:x>0.97591</cdr:x>
      <cdr:y>0.97319</cdr:y>
    </cdr:to>
    <cdr:sp macro="" textlink="">
      <cdr:nvSpPr>
        <cdr:cNvPr id="3" name="Text Box 1"/>
        <cdr:cNvSpPr txBox="1">
          <a:spLocks xmlns:a="http://schemas.openxmlformats.org/drawingml/2006/main" noChangeArrowheads="1"/>
        </cdr:cNvSpPr>
      </cdr:nvSpPr>
      <cdr:spPr bwMode="auto">
        <a:xfrm xmlns:a="http://schemas.openxmlformats.org/drawingml/2006/main">
          <a:off x="127000" y="2260600"/>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8.xml><?xml version="1.0" encoding="utf-8"?>
<c:userShapes xmlns:c="http://schemas.openxmlformats.org/drawingml/2006/chart">
  <cdr:relSizeAnchor xmlns:cdr="http://schemas.openxmlformats.org/drawingml/2006/chartDrawing">
    <cdr:from>
      <cdr:x>0.02244</cdr:x>
      <cdr:y>0.78162</cdr:y>
    </cdr:from>
    <cdr:to>
      <cdr:x>0.97195</cdr:x>
      <cdr:y>0.96988</cdr:y>
    </cdr:to>
    <cdr:sp macro="" textlink="">
      <cdr:nvSpPr>
        <cdr:cNvPr id="3" name="Text Box 1"/>
        <cdr:cNvSpPr txBox="1">
          <a:spLocks xmlns:a="http://schemas.openxmlformats.org/drawingml/2006/main" noChangeArrowheads="1"/>
        </cdr:cNvSpPr>
      </cdr:nvSpPr>
      <cdr:spPr bwMode="auto">
        <a:xfrm xmlns:a="http://schemas.openxmlformats.org/drawingml/2006/main">
          <a:off x="107950" y="225107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49.xml><?xml version="1.0" encoding="utf-8"?>
<c:userShapes xmlns:c="http://schemas.openxmlformats.org/drawingml/2006/chart">
  <cdr:relSizeAnchor xmlns:cdr="http://schemas.openxmlformats.org/drawingml/2006/chartDrawing">
    <cdr:from>
      <cdr:x>0.02641</cdr:x>
      <cdr:y>0.78824</cdr:y>
    </cdr:from>
    <cdr:to>
      <cdr:x>0.97591</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27000" y="227012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xml><?xml version="1.0" encoding="utf-8"?>
<c:userShapes xmlns:c="http://schemas.openxmlformats.org/drawingml/2006/chart">
  <cdr:relSizeAnchor xmlns:cdr="http://schemas.openxmlformats.org/drawingml/2006/chartDrawing">
    <cdr:from>
      <cdr:x>0.02664</cdr:x>
      <cdr:y>0.75406</cdr:y>
    </cdr:from>
    <cdr:to>
      <cdr:x>0.97425</cdr:x>
      <cdr:y>0.96013</cdr:y>
    </cdr:to>
    <cdr:sp macro="" textlink="">
      <cdr:nvSpPr>
        <cdr:cNvPr id="2" name="Text Box 1"/>
        <cdr:cNvSpPr txBox="1">
          <a:spLocks xmlns:a="http://schemas.openxmlformats.org/drawingml/2006/main" noChangeArrowheads="1"/>
        </cdr:cNvSpPr>
      </cdr:nvSpPr>
      <cdr:spPr bwMode="auto">
        <a:xfrm xmlns:a="http://schemas.openxmlformats.org/drawingml/2006/main">
          <a:off x="128125" y="2171491"/>
          <a:ext cx="4557521" cy="5934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50.xml><?xml version="1.0" encoding="utf-8"?>
<c:userShapes xmlns:c="http://schemas.openxmlformats.org/drawingml/2006/chart">
  <cdr:relSizeAnchor xmlns:cdr="http://schemas.openxmlformats.org/drawingml/2006/chartDrawing">
    <cdr:from>
      <cdr:x>0.02641</cdr:x>
      <cdr:y>0.78493</cdr:y>
    </cdr:from>
    <cdr:to>
      <cdr:x>0.97591</cdr:x>
      <cdr:y>0.97319</cdr:y>
    </cdr:to>
    <cdr:sp macro="" textlink="">
      <cdr:nvSpPr>
        <cdr:cNvPr id="3" name="Text Box 1"/>
        <cdr:cNvSpPr txBox="1">
          <a:spLocks xmlns:a="http://schemas.openxmlformats.org/drawingml/2006/main" noChangeArrowheads="1"/>
        </cdr:cNvSpPr>
      </cdr:nvSpPr>
      <cdr:spPr bwMode="auto">
        <a:xfrm xmlns:a="http://schemas.openxmlformats.org/drawingml/2006/main">
          <a:off x="127000" y="2260600"/>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1.xml><?xml version="1.0" encoding="utf-8"?>
<c:userShapes xmlns:c="http://schemas.openxmlformats.org/drawingml/2006/chart">
  <cdr:relSizeAnchor xmlns:cdr="http://schemas.openxmlformats.org/drawingml/2006/chartDrawing">
    <cdr:from>
      <cdr:x>0.02839</cdr:x>
      <cdr:y>0.78824</cdr:y>
    </cdr:from>
    <cdr:to>
      <cdr:x>0.97789</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36525" y="227012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2.xml><?xml version="1.0" encoding="utf-8"?>
<c:userShapes xmlns:c="http://schemas.openxmlformats.org/drawingml/2006/chart">
  <cdr:relSizeAnchor xmlns:cdr="http://schemas.openxmlformats.org/drawingml/2006/chartDrawing">
    <cdr:from>
      <cdr:x>0.0258</cdr:x>
      <cdr:y>0.79485</cdr:y>
    </cdr:from>
    <cdr:to>
      <cdr:x>0.97215</cdr:x>
      <cdr:y>0.98311</cdr:y>
    </cdr:to>
    <cdr:sp macro="" textlink="">
      <cdr:nvSpPr>
        <cdr:cNvPr id="3" name="Text Box 1"/>
        <cdr:cNvSpPr txBox="1">
          <a:spLocks xmlns:a="http://schemas.openxmlformats.org/drawingml/2006/main" noChangeArrowheads="1"/>
        </cdr:cNvSpPr>
      </cdr:nvSpPr>
      <cdr:spPr bwMode="auto">
        <a:xfrm xmlns:a="http://schemas.openxmlformats.org/drawingml/2006/main">
          <a:off x="123825" y="2289175"/>
          <a:ext cx="45413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3.xml><?xml version="1.0" encoding="utf-8"?>
<c:userShapes xmlns:c="http://schemas.openxmlformats.org/drawingml/2006/chart">
  <cdr:relSizeAnchor xmlns:cdr="http://schemas.openxmlformats.org/drawingml/2006/chartDrawing">
    <cdr:from>
      <cdr:x>0.0225</cdr:x>
      <cdr:y>0.78824</cdr:y>
    </cdr:from>
    <cdr:to>
      <cdr:x>0.97413</cdr:x>
      <cdr:y>0.97649</cdr:y>
    </cdr:to>
    <cdr:sp macro="" textlink="">
      <cdr:nvSpPr>
        <cdr:cNvPr id="3" name="Text Box 1"/>
        <cdr:cNvSpPr txBox="1">
          <a:spLocks xmlns:a="http://schemas.openxmlformats.org/drawingml/2006/main" noChangeArrowheads="1"/>
        </cdr:cNvSpPr>
      </cdr:nvSpPr>
      <cdr:spPr bwMode="auto">
        <a:xfrm xmlns:a="http://schemas.openxmlformats.org/drawingml/2006/main">
          <a:off x="107950" y="227012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4.xml><?xml version="1.0" encoding="utf-8"?>
<c:userShapes xmlns:c="http://schemas.openxmlformats.org/drawingml/2006/chart">
  <cdr:relSizeAnchor xmlns:cdr="http://schemas.openxmlformats.org/drawingml/2006/chartDrawing">
    <cdr:from>
      <cdr:x>0.02244</cdr:x>
      <cdr:y>0.79155</cdr:y>
    </cdr:from>
    <cdr:to>
      <cdr:x>0.97195</cdr:x>
      <cdr:y>0.9798</cdr:y>
    </cdr:to>
    <cdr:sp macro="" textlink="">
      <cdr:nvSpPr>
        <cdr:cNvPr id="3" name="Text Box 1"/>
        <cdr:cNvSpPr txBox="1">
          <a:spLocks xmlns:a="http://schemas.openxmlformats.org/drawingml/2006/main" noChangeArrowheads="1"/>
        </cdr:cNvSpPr>
      </cdr:nvSpPr>
      <cdr:spPr bwMode="auto">
        <a:xfrm xmlns:a="http://schemas.openxmlformats.org/drawingml/2006/main">
          <a:off x="107950" y="2279650"/>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5.xml><?xml version="1.0" encoding="utf-8"?>
<c:userShapes xmlns:c="http://schemas.openxmlformats.org/drawingml/2006/chart">
  <cdr:relSizeAnchor xmlns:cdr="http://schemas.openxmlformats.org/drawingml/2006/chartDrawing">
    <cdr:from>
      <cdr:x>0.02443</cdr:x>
      <cdr:y>0.79155</cdr:y>
    </cdr:from>
    <cdr:to>
      <cdr:x>0.97393</cdr:x>
      <cdr:y>0.9798</cdr:y>
    </cdr:to>
    <cdr:sp macro="" textlink="">
      <cdr:nvSpPr>
        <cdr:cNvPr id="3" name="Text Box 1"/>
        <cdr:cNvSpPr txBox="1">
          <a:spLocks xmlns:a="http://schemas.openxmlformats.org/drawingml/2006/main" noChangeArrowheads="1"/>
        </cdr:cNvSpPr>
      </cdr:nvSpPr>
      <cdr:spPr bwMode="auto">
        <a:xfrm xmlns:a="http://schemas.openxmlformats.org/drawingml/2006/main">
          <a:off x="117475" y="2279650"/>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6.xml><?xml version="1.0" encoding="utf-8"?>
<c:userShapes xmlns:c="http://schemas.openxmlformats.org/drawingml/2006/chart">
  <cdr:relSizeAnchor xmlns:cdr="http://schemas.openxmlformats.org/drawingml/2006/chartDrawing">
    <cdr:from>
      <cdr:x>0.03235</cdr:x>
      <cdr:y>0.79485</cdr:y>
    </cdr:from>
    <cdr:to>
      <cdr:x>0.98185</cdr:x>
      <cdr:y>0.98311</cdr:y>
    </cdr:to>
    <cdr:sp macro="" textlink="">
      <cdr:nvSpPr>
        <cdr:cNvPr id="3" name="Text Box 1"/>
        <cdr:cNvSpPr txBox="1">
          <a:spLocks xmlns:a="http://schemas.openxmlformats.org/drawingml/2006/main" noChangeArrowheads="1"/>
        </cdr:cNvSpPr>
      </cdr:nvSpPr>
      <cdr:spPr bwMode="auto">
        <a:xfrm xmlns:a="http://schemas.openxmlformats.org/drawingml/2006/main">
          <a:off x="155575" y="228917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7.xml><?xml version="1.0" encoding="utf-8"?>
<c:userShapes xmlns:c="http://schemas.openxmlformats.org/drawingml/2006/chart">
  <cdr:relSizeAnchor xmlns:cdr="http://schemas.openxmlformats.org/drawingml/2006/chartDrawing">
    <cdr:from>
      <cdr:x>0.02641</cdr:x>
      <cdr:y>0.79816</cdr:y>
    </cdr:from>
    <cdr:to>
      <cdr:x>0.97591</cdr:x>
      <cdr:y>0.98642</cdr:y>
    </cdr:to>
    <cdr:sp macro="" textlink="">
      <cdr:nvSpPr>
        <cdr:cNvPr id="3" name="Text Box 1"/>
        <cdr:cNvSpPr txBox="1">
          <a:spLocks xmlns:a="http://schemas.openxmlformats.org/drawingml/2006/main" noChangeArrowheads="1"/>
        </cdr:cNvSpPr>
      </cdr:nvSpPr>
      <cdr:spPr bwMode="auto">
        <a:xfrm xmlns:a="http://schemas.openxmlformats.org/drawingml/2006/main">
          <a:off x="127000" y="2298700"/>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8.xml><?xml version="1.0" encoding="utf-8"?>
<c:userShapes xmlns:c="http://schemas.openxmlformats.org/drawingml/2006/chart">
  <cdr:relSizeAnchor xmlns:cdr="http://schemas.openxmlformats.org/drawingml/2006/chartDrawing">
    <cdr:from>
      <cdr:x>0.0225</cdr:x>
      <cdr:y>0.79485</cdr:y>
    </cdr:from>
    <cdr:to>
      <cdr:x>0.97413</cdr:x>
      <cdr:y>0.98311</cdr:y>
    </cdr:to>
    <cdr:sp macro="" textlink="">
      <cdr:nvSpPr>
        <cdr:cNvPr id="3" name="Text Box 1"/>
        <cdr:cNvSpPr txBox="1">
          <a:spLocks xmlns:a="http://schemas.openxmlformats.org/drawingml/2006/main" noChangeArrowheads="1"/>
        </cdr:cNvSpPr>
      </cdr:nvSpPr>
      <cdr:spPr bwMode="auto">
        <a:xfrm xmlns:a="http://schemas.openxmlformats.org/drawingml/2006/main">
          <a:off x="107950" y="2289175"/>
          <a:ext cx="4566725" cy="54217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0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59.xml><?xml version="1.0" encoding="utf-8"?>
<c:userShapes xmlns:c="http://schemas.openxmlformats.org/drawingml/2006/chart">
  <cdr:relSizeAnchor xmlns:cdr="http://schemas.openxmlformats.org/drawingml/2006/chartDrawing">
    <cdr:from>
      <cdr:x>0.02547</cdr:x>
      <cdr:y>0.8147</cdr:y>
    </cdr:from>
    <cdr:to>
      <cdr:x>0.98625</cdr:x>
      <cdr:y>0.97203</cdr:y>
    </cdr:to>
    <cdr:sp macro="" textlink="">
      <cdr:nvSpPr>
        <cdr:cNvPr id="3" name="Text Box 1"/>
        <cdr:cNvSpPr txBox="1">
          <a:spLocks xmlns:a="http://schemas.openxmlformats.org/drawingml/2006/main" noChangeArrowheads="1"/>
        </cdr:cNvSpPr>
      </cdr:nvSpPr>
      <cdr:spPr bwMode="auto">
        <a:xfrm xmlns:a="http://schemas.openxmlformats.org/drawingml/2006/main">
          <a:off x="122488" y="2346325"/>
          <a:ext cx="4620962" cy="453132"/>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xml><?xml version="1.0" encoding="utf-8"?>
<c:userShapes xmlns:c="http://schemas.openxmlformats.org/drawingml/2006/chart">
  <cdr:relSizeAnchor xmlns:cdr="http://schemas.openxmlformats.org/drawingml/2006/chartDrawing">
    <cdr:from>
      <cdr:x>0.0198</cdr:x>
      <cdr:y>0.80257</cdr:y>
    </cdr:from>
    <cdr:to>
      <cdr:x>0.97821</cdr:x>
      <cdr:y>0.97826</cdr:y>
    </cdr:to>
    <cdr:sp macro="" textlink="">
      <cdr:nvSpPr>
        <cdr:cNvPr id="2" name="Text Box 1"/>
        <cdr:cNvSpPr txBox="1">
          <a:spLocks xmlns:a="http://schemas.openxmlformats.org/drawingml/2006/main" noChangeArrowheads="1"/>
        </cdr:cNvSpPr>
      </cdr:nvSpPr>
      <cdr:spPr bwMode="auto">
        <a:xfrm xmlns:a="http://schemas.openxmlformats.org/drawingml/2006/main">
          <a:off x="95250" y="2889250"/>
          <a:ext cx="4609543" cy="6324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60.xml><?xml version="1.0" encoding="utf-8"?>
<c:userShapes xmlns:c="http://schemas.openxmlformats.org/drawingml/2006/chart">
  <cdr:relSizeAnchor xmlns:cdr="http://schemas.openxmlformats.org/drawingml/2006/chartDrawing">
    <cdr:from>
      <cdr:x>0.02533</cdr:x>
      <cdr:y>0.82139</cdr:y>
    </cdr:from>
    <cdr:to>
      <cdr:x>0.98614</cdr:x>
      <cdr:y>0.97873</cdr:y>
    </cdr:to>
    <cdr:sp macro="" textlink="">
      <cdr:nvSpPr>
        <cdr:cNvPr id="4" name="Text Box 1"/>
        <cdr:cNvSpPr txBox="1">
          <a:spLocks xmlns:a="http://schemas.openxmlformats.org/drawingml/2006/main" noChangeArrowheads="1"/>
        </cdr:cNvSpPr>
      </cdr:nvSpPr>
      <cdr:spPr bwMode="auto">
        <a:xfrm xmlns:a="http://schemas.openxmlformats.org/drawingml/2006/main">
          <a:off x="121848" y="2365375"/>
          <a:ext cx="4620967" cy="45311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1.xml><?xml version="1.0" encoding="utf-8"?>
<c:userShapes xmlns:c="http://schemas.openxmlformats.org/drawingml/2006/chart">
  <cdr:relSizeAnchor xmlns:cdr="http://schemas.openxmlformats.org/drawingml/2006/chartDrawing">
    <cdr:from>
      <cdr:x>0.02353</cdr:x>
      <cdr:y>0.80367</cdr:y>
    </cdr:from>
    <cdr:to>
      <cdr:x>0.9709</cdr:x>
      <cdr:y>0.9686</cdr:y>
    </cdr:to>
    <cdr:sp macro="" textlink="">
      <cdr:nvSpPr>
        <cdr:cNvPr id="18433" name="Text Box 1"/>
        <cdr:cNvSpPr txBox="1">
          <a:spLocks xmlns:a="http://schemas.openxmlformats.org/drawingml/2006/main" noChangeArrowheads="1"/>
        </cdr:cNvSpPr>
      </cdr:nvSpPr>
      <cdr:spPr bwMode="auto">
        <a:xfrm xmlns:a="http://schemas.openxmlformats.org/drawingml/2006/main">
          <a:off x="113162" y="2314575"/>
          <a:ext cx="4556471" cy="47499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2.xml><?xml version="1.0" encoding="utf-8"?>
<c:userShapes xmlns:c="http://schemas.openxmlformats.org/drawingml/2006/chart">
  <cdr:relSizeAnchor xmlns:cdr="http://schemas.openxmlformats.org/drawingml/2006/chartDrawing">
    <cdr:from>
      <cdr:x>0.02533</cdr:x>
      <cdr:y>0.82139</cdr:y>
    </cdr:from>
    <cdr:to>
      <cdr:x>0.98614</cdr:x>
      <cdr:y>0.97873</cdr:y>
    </cdr:to>
    <cdr:sp macro="" textlink="">
      <cdr:nvSpPr>
        <cdr:cNvPr id="4" name="Text Box 1"/>
        <cdr:cNvSpPr txBox="1">
          <a:spLocks xmlns:a="http://schemas.openxmlformats.org/drawingml/2006/main" noChangeArrowheads="1"/>
        </cdr:cNvSpPr>
      </cdr:nvSpPr>
      <cdr:spPr bwMode="auto">
        <a:xfrm xmlns:a="http://schemas.openxmlformats.org/drawingml/2006/main">
          <a:off x="121848" y="2365375"/>
          <a:ext cx="4620967" cy="45311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3.xml><?xml version="1.0" encoding="utf-8"?>
<c:userShapes xmlns:c="http://schemas.openxmlformats.org/drawingml/2006/chart">
  <cdr:relSizeAnchor xmlns:cdr="http://schemas.openxmlformats.org/drawingml/2006/chartDrawing">
    <cdr:from>
      <cdr:x>0.02754</cdr:x>
      <cdr:y>0.80036</cdr:y>
    </cdr:from>
    <cdr:to>
      <cdr:x>0.97491</cdr:x>
      <cdr:y>0.97033</cdr:y>
    </cdr:to>
    <cdr:sp macro="" textlink="">
      <cdr:nvSpPr>
        <cdr:cNvPr id="18433" name="Text Box 1"/>
        <cdr:cNvSpPr txBox="1">
          <a:spLocks xmlns:a="http://schemas.openxmlformats.org/drawingml/2006/main" noChangeArrowheads="1"/>
        </cdr:cNvSpPr>
      </cdr:nvSpPr>
      <cdr:spPr bwMode="auto">
        <a:xfrm xmlns:a="http://schemas.openxmlformats.org/drawingml/2006/main">
          <a:off x="132456" y="2305051"/>
          <a:ext cx="4556471" cy="4895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4.xml><?xml version="1.0" encoding="utf-8"?>
<c:userShapes xmlns:c="http://schemas.openxmlformats.org/drawingml/2006/chart">
  <cdr:relSizeAnchor xmlns:cdr="http://schemas.openxmlformats.org/drawingml/2006/chartDrawing">
    <cdr:from>
      <cdr:x>0.02533</cdr:x>
      <cdr:y>0.82139</cdr:y>
    </cdr:from>
    <cdr:to>
      <cdr:x>0.98614</cdr:x>
      <cdr:y>0.97873</cdr:y>
    </cdr:to>
    <cdr:sp macro="" textlink="">
      <cdr:nvSpPr>
        <cdr:cNvPr id="4" name="Text Box 1"/>
        <cdr:cNvSpPr txBox="1">
          <a:spLocks xmlns:a="http://schemas.openxmlformats.org/drawingml/2006/main" noChangeArrowheads="1"/>
        </cdr:cNvSpPr>
      </cdr:nvSpPr>
      <cdr:spPr bwMode="auto">
        <a:xfrm xmlns:a="http://schemas.openxmlformats.org/drawingml/2006/main">
          <a:off x="121848" y="2365375"/>
          <a:ext cx="4620967" cy="45311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5.xml><?xml version="1.0" encoding="utf-8"?>
<c:userShapes xmlns:c="http://schemas.openxmlformats.org/drawingml/2006/chart">
  <cdr:relSizeAnchor xmlns:cdr="http://schemas.openxmlformats.org/drawingml/2006/chartDrawing">
    <cdr:from>
      <cdr:x>0.02689</cdr:x>
      <cdr:y>0.81036</cdr:y>
    </cdr:from>
    <cdr:to>
      <cdr:x>0.97426</cdr:x>
      <cdr:y>0.98015</cdr:y>
    </cdr:to>
    <cdr:sp macro="" textlink="">
      <cdr:nvSpPr>
        <cdr:cNvPr id="2" name="Text Box 1"/>
        <cdr:cNvSpPr txBox="1">
          <a:spLocks xmlns:a="http://schemas.openxmlformats.org/drawingml/2006/main" noChangeArrowheads="1"/>
        </cdr:cNvSpPr>
      </cdr:nvSpPr>
      <cdr:spPr bwMode="auto">
        <a:xfrm xmlns:a="http://schemas.openxmlformats.org/drawingml/2006/main">
          <a:off x="129344" y="2333837"/>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6.xml><?xml version="1.0" encoding="utf-8"?>
<c:userShapes xmlns:c="http://schemas.openxmlformats.org/drawingml/2006/chart">
  <cdr:relSizeAnchor xmlns:cdr="http://schemas.openxmlformats.org/drawingml/2006/chartDrawing">
    <cdr:from>
      <cdr:x>0.01958</cdr:x>
      <cdr:y>0.83497</cdr:y>
    </cdr:from>
    <cdr:to>
      <cdr:x>0.96695</cdr:x>
      <cdr:y>0.97905</cdr:y>
    </cdr:to>
    <cdr:sp macro="" textlink="">
      <cdr:nvSpPr>
        <cdr:cNvPr id="2" name="Text Box 1"/>
        <cdr:cNvSpPr txBox="1">
          <a:spLocks xmlns:a="http://schemas.openxmlformats.org/drawingml/2006/main" noChangeArrowheads="1"/>
        </cdr:cNvSpPr>
      </cdr:nvSpPr>
      <cdr:spPr bwMode="auto">
        <a:xfrm xmlns:a="http://schemas.openxmlformats.org/drawingml/2006/main">
          <a:off x="94182" y="2705100"/>
          <a:ext cx="4556968" cy="4667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vertOverflow="clip" wrap="square" lIns="27432" tIns="32004" rIns="0" bIns="0" anchor="t" upright="1"/>
        <a:lstStyle xmlns:a="http://schemas.openxmlformats.org/drawingml/2006/main"/>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7.xml><?xml version="1.0" encoding="utf-8"?>
<c:userShapes xmlns:c="http://schemas.openxmlformats.org/drawingml/2006/chart">
  <cdr:relSizeAnchor xmlns:cdr="http://schemas.openxmlformats.org/drawingml/2006/chartDrawing">
    <cdr:from>
      <cdr:x>0.02443</cdr:x>
      <cdr:y>0.80808</cdr:y>
    </cdr:from>
    <cdr:to>
      <cdr:x>0.9719</cdr:x>
      <cdr:y>0.97787</cdr:y>
    </cdr:to>
    <cdr:sp macro="" textlink="">
      <cdr:nvSpPr>
        <cdr:cNvPr id="2" name="Text Box 1"/>
        <cdr:cNvSpPr txBox="1">
          <a:spLocks xmlns:a="http://schemas.openxmlformats.org/drawingml/2006/main" noChangeArrowheads="1"/>
        </cdr:cNvSpPr>
      </cdr:nvSpPr>
      <cdr:spPr bwMode="auto">
        <a:xfrm xmlns:a="http://schemas.openxmlformats.org/drawingml/2006/main">
          <a:off x="117475" y="23272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8.xml><?xml version="1.0" encoding="utf-8"?>
<c:userShapes xmlns:c="http://schemas.openxmlformats.org/drawingml/2006/chart">
  <cdr:relSizeAnchor xmlns:cdr="http://schemas.openxmlformats.org/drawingml/2006/chartDrawing">
    <cdr:from>
      <cdr:x>0.02641</cdr:x>
      <cdr:y>0.80808</cdr:y>
    </cdr:from>
    <cdr:to>
      <cdr:x>0.97388</cdr:x>
      <cdr:y>0.97787</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272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69.xml><?xml version="1.0" encoding="utf-8"?>
<c:userShapes xmlns:c="http://schemas.openxmlformats.org/drawingml/2006/chart">
  <cdr:relSizeAnchor xmlns:cdr="http://schemas.openxmlformats.org/drawingml/2006/chartDrawing">
    <cdr:from>
      <cdr:x>0.02839</cdr:x>
      <cdr:y>0.80375</cdr:y>
    </cdr:from>
    <cdr:to>
      <cdr:x>0.97586</cdr:x>
      <cdr:y>0.97354</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1480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xml><?xml version="1.0" encoding="utf-8"?>
<c:userShapes xmlns:c="http://schemas.openxmlformats.org/drawingml/2006/chart">
  <cdr:relSizeAnchor xmlns:cdr="http://schemas.openxmlformats.org/drawingml/2006/chartDrawing">
    <cdr:from>
      <cdr:x>0.02244</cdr:x>
      <cdr:y>0.74855</cdr:y>
    </cdr:from>
    <cdr:to>
      <cdr:x>0.98085</cdr:x>
      <cdr:y>0.96816</cdr:y>
    </cdr:to>
    <cdr:sp macro="" textlink="">
      <cdr:nvSpPr>
        <cdr:cNvPr id="2" name="Text Box 1"/>
        <cdr:cNvSpPr txBox="1">
          <a:spLocks xmlns:a="http://schemas.openxmlformats.org/drawingml/2006/main" noChangeArrowheads="1"/>
        </cdr:cNvSpPr>
      </cdr:nvSpPr>
      <cdr:spPr bwMode="auto">
        <a:xfrm xmlns:a="http://schemas.openxmlformats.org/drawingml/2006/main">
          <a:off x="107950" y="2155825"/>
          <a:ext cx="4609543" cy="6324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70.xml><?xml version="1.0" encoding="utf-8"?>
<c:userShapes xmlns:c="http://schemas.openxmlformats.org/drawingml/2006/chart">
  <cdr:relSizeAnchor xmlns:cdr="http://schemas.openxmlformats.org/drawingml/2006/chartDrawing">
    <cdr:from>
      <cdr:x>0.02839</cdr:x>
      <cdr:y>0.80147</cdr:y>
    </cdr:from>
    <cdr:to>
      <cdr:x>0.97586</cdr:x>
      <cdr:y>0.97126</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082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1.xml><?xml version="1.0" encoding="utf-8"?>
<c:userShapes xmlns:c="http://schemas.openxmlformats.org/drawingml/2006/chart">
  <cdr:relSizeAnchor xmlns:cdr="http://schemas.openxmlformats.org/drawingml/2006/chartDrawing">
    <cdr:from>
      <cdr:x>0.02384</cdr:x>
      <cdr:y>0.77635</cdr:y>
    </cdr:from>
    <cdr:to>
      <cdr:x>0.97498</cdr:x>
      <cdr:y>0.97534</cdr:y>
    </cdr:to>
    <cdr:sp macro="" textlink="">
      <cdr:nvSpPr>
        <cdr:cNvPr id="2" name="Text Box 1"/>
        <cdr:cNvSpPr txBox="1">
          <a:spLocks xmlns:a="http://schemas.openxmlformats.org/drawingml/2006/main" noChangeArrowheads="1"/>
        </cdr:cNvSpPr>
      </cdr:nvSpPr>
      <cdr:spPr bwMode="auto">
        <a:xfrm xmlns:a="http://schemas.openxmlformats.org/drawingml/2006/main">
          <a:off x="114673" y="2876550"/>
          <a:ext cx="4575103" cy="73730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万台独立移动设备样本网络行为的长期监测数据获得；说明：按照艾瑞</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对各类应用的分类，通讯聊天类</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APP</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具体包括电子邮件、即时通讯、语音通话、短信服务、通讯辅助、头像表情、通讯录和其他子类别，本图是在大类别下进行比较。</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2.xml><?xml version="1.0" encoding="utf-8"?>
<c:userShapes xmlns:c="http://schemas.openxmlformats.org/drawingml/2006/chart">
  <cdr:relSizeAnchor xmlns:cdr="http://schemas.openxmlformats.org/drawingml/2006/chartDrawing">
    <cdr:from>
      <cdr:x>0.02641</cdr:x>
      <cdr:y>0.80477</cdr:y>
    </cdr:from>
    <cdr:to>
      <cdr:x>0.97388</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1775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3.xml><?xml version="1.0" encoding="utf-8"?>
<c:userShapes xmlns:c="http://schemas.openxmlformats.org/drawingml/2006/chart">
  <cdr:relSizeAnchor xmlns:cdr="http://schemas.openxmlformats.org/drawingml/2006/chartDrawing">
    <cdr:from>
      <cdr:x>0.03037</cdr:x>
      <cdr:y>0.79816</cdr:y>
    </cdr:from>
    <cdr:to>
      <cdr:x>0.97784</cdr:x>
      <cdr:y>0.96795</cdr:y>
    </cdr:to>
    <cdr:sp macro="" textlink="">
      <cdr:nvSpPr>
        <cdr:cNvPr id="2" name="Text Box 1"/>
        <cdr:cNvSpPr txBox="1">
          <a:spLocks xmlns:a="http://schemas.openxmlformats.org/drawingml/2006/main" noChangeArrowheads="1"/>
        </cdr:cNvSpPr>
      </cdr:nvSpPr>
      <cdr:spPr bwMode="auto">
        <a:xfrm xmlns:a="http://schemas.openxmlformats.org/drawingml/2006/main">
          <a:off x="146050" y="229870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4.xml><?xml version="1.0" encoding="utf-8"?>
<c:userShapes xmlns:c="http://schemas.openxmlformats.org/drawingml/2006/chart">
  <cdr:relSizeAnchor xmlns:cdr="http://schemas.openxmlformats.org/drawingml/2006/chartDrawing">
    <cdr:from>
      <cdr:x>0.03037</cdr:x>
      <cdr:y>0.80044</cdr:y>
    </cdr:from>
    <cdr:to>
      <cdr:x>0.97784</cdr:x>
      <cdr:y>0.97023</cdr:y>
    </cdr:to>
    <cdr:sp macro="" textlink="">
      <cdr:nvSpPr>
        <cdr:cNvPr id="2" name="Text Box 1"/>
        <cdr:cNvSpPr txBox="1">
          <a:spLocks xmlns:a="http://schemas.openxmlformats.org/drawingml/2006/main" noChangeArrowheads="1"/>
        </cdr:cNvSpPr>
      </cdr:nvSpPr>
      <cdr:spPr bwMode="auto">
        <a:xfrm xmlns:a="http://schemas.openxmlformats.org/drawingml/2006/main">
          <a:off x="146050" y="230528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5.xml><?xml version="1.0" encoding="utf-8"?>
<c:userShapes xmlns:c="http://schemas.openxmlformats.org/drawingml/2006/chart">
  <cdr:relSizeAnchor xmlns:cdr="http://schemas.openxmlformats.org/drawingml/2006/chartDrawing">
    <cdr:from>
      <cdr:x>0.02443</cdr:x>
      <cdr:y>0.80147</cdr:y>
    </cdr:from>
    <cdr:to>
      <cdr:x>0.9719</cdr:x>
      <cdr:y>0.97126</cdr:y>
    </cdr:to>
    <cdr:sp macro="" textlink="">
      <cdr:nvSpPr>
        <cdr:cNvPr id="2" name="Text Box 1"/>
        <cdr:cNvSpPr txBox="1">
          <a:spLocks xmlns:a="http://schemas.openxmlformats.org/drawingml/2006/main" noChangeArrowheads="1"/>
        </cdr:cNvSpPr>
      </cdr:nvSpPr>
      <cdr:spPr bwMode="auto">
        <a:xfrm xmlns:a="http://schemas.openxmlformats.org/drawingml/2006/main">
          <a:off x="117475" y="23082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6.xml><?xml version="1.0" encoding="utf-8"?>
<c:userShapes xmlns:c="http://schemas.openxmlformats.org/drawingml/2006/chart">
  <cdr:relSizeAnchor xmlns:cdr="http://schemas.openxmlformats.org/drawingml/2006/chartDrawing">
    <cdr:from>
      <cdr:x>0.02504</cdr:x>
      <cdr:y>0.83491</cdr:y>
    </cdr:from>
    <cdr:to>
      <cdr:x>0.97618</cdr:x>
      <cdr:y>0.97354</cdr:y>
    </cdr:to>
    <cdr:sp macro="" textlink="">
      <cdr:nvSpPr>
        <cdr:cNvPr id="3" name="Text Box 1"/>
        <cdr:cNvSpPr txBox="1">
          <a:spLocks xmlns:a="http://schemas.openxmlformats.org/drawingml/2006/main" noChangeArrowheads="1"/>
        </cdr:cNvSpPr>
      </cdr:nvSpPr>
      <cdr:spPr bwMode="auto">
        <a:xfrm xmlns:a="http://schemas.openxmlformats.org/drawingml/2006/main">
          <a:off x="120432" y="2705100"/>
          <a:ext cx="4574603" cy="44917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7.xml><?xml version="1.0" encoding="utf-8"?>
<c:userShapes xmlns:c="http://schemas.openxmlformats.org/drawingml/2006/chart">
  <cdr:relSizeAnchor xmlns:cdr="http://schemas.openxmlformats.org/drawingml/2006/chartDrawing">
    <cdr:from>
      <cdr:x>0.02641</cdr:x>
      <cdr:y>0.80367</cdr:y>
    </cdr:from>
    <cdr:to>
      <cdr:x>0.97388</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14575"/>
          <a:ext cx="4556968" cy="49217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8.xml><?xml version="1.0" encoding="utf-8"?>
<c:userShapes xmlns:c="http://schemas.openxmlformats.org/drawingml/2006/chart">
  <cdr:relSizeAnchor xmlns:cdr="http://schemas.openxmlformats.org/drawingml/2006/chartDrawing">
    <cdr:from>
      <cdr:x>0.02839</cdr:x>
      <cdr:y>0.79816</cdr:y>
    </cdr:from>
    <cdr:to>
      <cdr:x>0.97586</cdr:x>
      <cdr:y>0.96795</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29870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79.xml><?xml version="1.0" encoding="utf-8"?>
<c:userShapes xmlns:c="http://schemas.openxmlformats.org/drawingml/2006/chart">
  <cdr:relSizeAnchor xmlns:cdr="http://schemas.openxmlformats.org/drawingml/2006/chartDrawing">
    <cdr:from>
      <cdr:x>0.02244</cdr:x>
      <cdr:y>0.79485</cdr:y>
    </cdr:from>
    <cdr:to>
      <cdr:x>0.96992</cdr:x>
      <cdr:y>0.96464</cdr:y>
    </cdr:to>
    <cdr:sp macro="" textlink="">
      <cdr:nvSpPr>
        <cdr:cNvPr id="2" name="Text Box 1"/>
        <cdr:cNvSpPr txBox="1">
          <a:spLocks xmlns:a="http://schemas.openxmlformats.org/drawingml/2006/main" noChangeArrowheads="1"/>
        </cdr:cNvSpPr>
      </cdr:nvSpPr>
      <cdr:spPr bwMode="auto">
        <a:xfrm xmlns:a="http://schemas.openxmlformats.org/drawingml/2006/main">
          <a:off x="107950" y="22891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xml><?xml version="1.0" encoding="utf-8"?>
<c:userShapes xmlns:c="http://schemas.openxmlformats.org/drawingml/2006/chart">
  <cdr:relSizeAnchor xmlns:cdr="http://schemas.openxmlformats.org/drawingml/2006/chartDrawing">
    <cdr:from>
      <cdr:x>0.02664</cdr:x>
      <cdr:y>0.74744</cdr:y>
    </cdr:from>
    <cdr:to>
      <cdr:x>0.97425</cdr:x>
      <cdr:y>0.96013</cdr:y>
    </cdr:to>
    <cdr:sp macro="" textlink="">
      <cdr:nvSpPr>
        <cdr:cNvPr id="2" name="Text Box 1"/>
        <cdr:cNvSpPr txBox="1">
          <a:spLocks xmlns:a="http://schemas.openxmlformats.org/drawingml/2006/main" noChangeArrowheads="1"/>
        </cdr:cNvSpPr>
      </cdr:nvSpPr>
      <cdr:spPr bwMode="auto">
        <a:xfrm xmlns:a="http://schemas.openxmlformats.org/drawingml/2006/main">
          <a:off x="128125" y="2152427"/>
          <a:ext cx="4557521" cy="61248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80.xml><?xml version="1.0" encoding="utf-8"?>
<c:userShapes xmlns:c="http://schemas.openxmlformats.org/drawingml/2006/chart">
  <cdr:relSizeAnchor xmlns:cdr="http://schemas.openxmlformats.org/drawingml/2006/chartDrawing">
    <cdr:from>
      <cdr:x>0.02678</cdr:x>
      <cdr:y>0.80147</cdr:y>
    </cdr:from>
    <cdr:to>
      <cdr:x>0.97425</cdr:x>
      <cdr:y>0.97126</cdr:y>
    </cdr:to>
    <cdr:sp macro="" textlink="">
      <cdr:nvSpPr>
        <cdr:cNvPr id="2" name="Text Box 1"/>
        <cdr:cNvSpPr txBox="1">
          <a:spLocks xmlns:a="http://schemas.openxmlformats.org/drawingml/2006/main" noChangeArrowheads="1"/>
        </cdr:cNvSpPr>
      </cdr:nvSpPr>
      <cdr:spPr bwMode="auto">
        <a:xfrm xmlns:a="http://schemas.openxmlformats.org/drawingml/2006/main">
          <a:off x="128807" y="23082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1.xml><?xml version="1.0" encoding="utf-8"?>
<c:userShapes xmlns:c="http://schemas.openxmlformats.org/drawingml/2006/chart">
  <cdr:relSizeAnchor xmlns:cdr="http://schemas.openxmlformats.org/drawingml/2006/chartDrawing">
    <cdr:from>
      <cdr:x>0.02845</cdr:x>
      <cdr:y>0.82315</cdr:y>
    </cdr:from>
    <cdr:to>
      <cdr:x>0.97959</cdr:x>
      <cdr:y>0.97463</cdr:y>
    </cdr:to>
    <cdr:sp macro="" textlink="">
      <cdr:nvSpPr>
        <cdr:cNvPr id="3" name="Text Box 1"/>
        <cdr:cNvSpPr txBox="1">
          <a:spLocks xmlns:a="http://schemas.openxmlformats.org/drawingml/2006/main" noChangeArrowheads="1"/>
        </cdr:cNvSpPr>
      </cdr:nvSpPr>
      <cdr:spPr bwMode="auto">
        <a:xfrm xmlns:a="http://schemas.openxmlformats.org/drawingml/2006/main">
          <a:off x="136833" y="2667001"/>
          <a:ext cx="4574603" cy="490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2.xml><?xml version="1.0" encoding="utf-8"?>
<c:userShapes xmlns:c="http://schemas.openxmlformats.org/drawingml/2006/chart">
  <cdr:relSizeAnchor xmlns:cdr="http://schemas.openxmlformats.org/drawingml/2006/chartDrawing">
    <cdr:from>
      <cdr:x>0.0248</cdr:x>
      <cdr:y>0.81359</cdr:y>
    </cdr:from>
    <cdr:to>
      <cdr:x>0.97227</cdr:x>
      <cdr:y>0.97354</cdr:y>
    </cdr:to>
    <cdr:sp macro="" textlink="">
      <cdr:nvSpPr>
        <cdr:cNvPr id="2" name="Text Box 1"/>
        <cdr:cNvSpPr txBox="1">
          <a:spLocks xmlns:a="http://schemas.openxmlformats.org/drawingml/2006/main" noChangeArrowheads="1"/>
        </cdr:cNvSpPr>
      </cdr:nvSpPr>
      <cdr:spPr bwMode="auto">
        <a:xfrm xmlns:a="http://schemas.openxmlformats.org/drawingml/2006/main">
          <a:off x="119282" y="2343150"/>
          <a:ext cx="4556968" cy="46065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3.xml><?xml version="1.0" encoding="utf-8"?>
<c:userShapes xmlns:c="http://schemas.openxmlformats.org/drawingml/2006/chart">
  <cdr:relSizeAnchor xmlns:cdr="http://schemas.openxmlformats.org/drawingml/2006/chartDrawing">
    <cdr:from>
      <cdr:x>0.02443</cdr:x>
      <cdr:y>0.80808</cdr:y>
    </cdr:from>
    <cdr:to>
      <cdr:x>0.9719</cdr:x>
      <cdr:y>0.97787</cdr:y>
    </cdr:to>
    <cdr:sp macro="" textlink="">
      <cdr:nvSpPr>
        <cdr:cNvPr id="2" name="Text Box 1"/>
        <cdr:cNvSpPr txBox="1">
          <a:spLocks xmlns:a="http://schemas.openxmlformats.org/drawingml/2006/main" noChangeArrowheads="1"/>
        </cdr:cNvSpPr>
      </cdr:nvSpPr>
      <cdr:spPr bwMode="auto">
        <a:xfrm xmlns:a="http://schemas.openxmlformats.org/drawingml/2006/main">
          <a:off x="117475" y="23272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4.xml><?xml version="1.0" encoding="utf-8"?>
<c:userShapes xmlns:c="http://schemas.openxmlformats.org/drawingml/2006/chart">
  <cdr:relSizeAnchor xmlns:cdr="http://schemas.openxmlformats.org/drawingml/2006/chartDrawing">
    <cdr:from>
      <cdr:x>0.02641</cdr:x>
      <cdr:y>0.81139</cdr:y>
    </cdr:from>
    <cdr:to>
      <cdr:x>0.97388</cdr:x>
      <cdr:y>0.98118</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3680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5.xml><?xml version="1.0" encoding="utf-8"?>
<c:userShapes xmlns:c="http://schemas.openxmlformats.org/drawingml/2006/chart">
  <cdr:relSizeAnchor xmlns:cdr="http://schemas.openxmlformats.org/drawingml/2006/chartDrawing">
    <cdr:from>
      <cdr:x>0.0248</cdr:x>
      <cdr:y>0.80808</cdr:y>
    </cdr:from>
    <cdr:to>
      <cdr:x>0.97227</cdr:x>
      <cdr:y>0.97787</cdr:y>
    </cdr:to>
    <cdr:sp macro="" textlink="">
      <cdr:nvSpPr>
        <cdr:cNvPr id="2" name="Text Box 1"/>
        <cdr:cNvSpPr txBox="1">
          <a:spLocks xmlns:a="http://schemas.openxmlformats.org/drawingml/2006/main" noChangeArrowheads="1"/>
        </cdr:cNvSpPr>
      </cdr:nvSpPr>
      <cdr:spPr bwMode="auto">
        <a:xfrm xmlns:a="http://schemas.openxmlformats.org/drawingml/2006/main">
          <a:off x="119282" y="23272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6.xml><?xml version="1.0" encoding="utf-8"?>
<c:userShapes xmlns:c="http://schemas.openxmlformats.org/drawingml/2006/chart">
  <cdr:relSizeAnchor xmlns:cdr="http://schemas.openxmlformats.org/drawingml/2006/chartDrawing">
    <cdr:from>
      <cdr:x>0.02646</cdr:x>
      <cdr:y>0.83197</cdr:y>
    </cdr:from>
    <cdr:to>
      <cdr:x>0.9776</cdr:x>
      <cdr:y>0.98312</cdr:y>
    </cdr:to>
    <cdr:sp macro="" textlink="">
      <cdr:nvSpPr>
        <cdr:cNvPr id="3" name="Text Box 1"/>
        <cdr:cNvSpPr txBox="1">
          <a:spLocks xmlns:a="http://schemas.openxmlformats.org/drawingml/2006/main" noChangeArrowheads="1"/>
        </cdr:cNvSpPr>
      </cdr:nvSpPr>
      <cdr:spPr bwMode="auto">
        <a:xfrm xmlns:a="http://schemas.openxmlformats.org/drawingml/2006/main">
          <a:off x="127262" y="2695575"/>
          <a:ext cx="4574603" cy="489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7.xml><?xml version="1.0" encoding="utf-8"?>
<c:userShapes xmlns:c="http://schemas.openxmlformats.org/drawingml/2006/chart">
  <cdr:relSizeAnchor xmlns:cdr="http://schemas.openxmlformats.org/drawingml/2006/chartDrawing">
    <cdr:from>
      <cdr:x>0.02839</cdr:x>
      <cdr:y>0.80477</cdr:y>
    </cdr:from>
    <cdr:to>
      <cdr:x>0.97586</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1775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8.xml><?xml version="1.0" encoding="utf-8"?>
<c:userShapes xmlns:c="http://schemas.openxmlformats.org/drawingml/2006/chart">
  <cdr:relSizeAnchor xmlns:cdr="http://schemas.openxmlformats.org/drawingml/2006/chartDrawing">
    <cdr:from>
      <cdr:x>0.02641</cdr:x>
      <cdr:y>0.80375</cdr:y>
    </cdr:from>
    <cdr:to>
      <cdr:x>0.97388</cdr:x>
      <cdr:y>0.97354</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1480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89.xml><?xml version="1.0" encoding="utf-8"?>
<c:userShapes xmlns:c="http://schemas.openxmlformats.org/drawingml/2006/chart">
  <cdr:relSizeAnchor xmlns:cdr="http://schemas.openxmlformats.org/drawingml/2006/chartDrawing">
    <cdr:from>
      <cdr:x>0.02839</cdr:x>
      <cdr:y>0.80477</cdr:y>
    </cdr:from>
    <cdr:to>
      <cdr:x>0.97586</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1775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xml><?xml version="1.0" encoding="utf-8"?>
<c:userShapes xmlns:c="http://schemas.openxmlformats.org/drawingml/2006/chart">
  <cdr:relSizeAnchor xmlns:cdr="http://schemas.openxmlformats.org/drawingml/2006/chartDrawing">
    <cdr:from>
      <cdr:x>0.02244</cdr:x>
      <cdr:y>0.75516</cdr:y>
    </cdr:from>
    <cdr:to>
      <cdr:x>0.98085</cdr:x>
      <cdr:y>0.97478</cdr:y>
    </cdr:to>
    <cdr:sp macro="" textlink="">
      <cdr:nvSpPr>
        <cdr:cNvPr id="2" name="Text Box 1"/>
        <cdr:cNvSpPr txBox="1">
          <a:spLocks xmlns:a="http://schemas.openxmlformats.org/drawingml/2006/main" noChangeArrowheads="1"/>
        </cdr:cNvSpPr>
      </cdr:nvSpPr>
      <cdr:spPr bwMode="auto">
        <a:xfrm xmlns:a="http://schemas.openxmlformats.org/drawingml/2006/main">
          <a:off x="107950" y="2174875"/>
          <a:ext cx="4609543" cy="63248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来源：</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iUserTracker.</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家庭办公版，基于对陕西省</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1.1</a:t>
          </a: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万名家庭及办公（不含公共上网地点）样本网络</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zh-CN" altLang="en-US"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行为的长期监测数据获得。</a:t>
          </a:r>
          <a:endPar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©2018.6 iResearch Inc. </a:t>
          </a:r>
          <a:r>
            <a:rPr lang="zh-CN" altLang="en-US" sz="800" b="0" i="0" strike="noStrike" baseline="0">
              <a:solidFill>
                <a:sysClr val="windowText" lastClr="000000">
                  <a:lumMod val="50000"/>
                  <a:lumOff val="50000"/>
                </a:sysClr>
              </a:solidFill>
              <a:latin typeface="微软雅黑" panose="020B0503020204020204" pitchFamily="34" charset="-122"/>
              <a:ea typeface="微软雅黑" panose="020B0503020204020204" pitchFamily="34" charset="-122"/>
            </a:rPr>
            <a:t>                                                                            </a:t>
          </a:r>
          <a:r>
            <a:rPr lang="en-US" altLang="zh-CN" sz="800" b="0" i="0" strike="noStrike">
              <a:solidFill>
                <a:sysClr val="windowText" lastClr="000000">
                  <a:lumMod val="50000"/>
                  <a:lumOff val="50000"/>
                </a:sysClr>
              </a:solidFill>
              <a:latin typeface="微软雅黑" panose="020B0503020204020204" pitchFamily="34" charset="-122"/>
              <a:ea typeface="微软雅黑" panose="020B0503020204020204" pitchFamily="34" charset="-122"/>
            </a:rPr>
            <a:t>www.iresearch.com.cn</a:t>
          </a:r>
        </a:p>
      </cdr:txBody>
    </cdr:sp>
  </cdr:relSizeAnchor>
</c:userShapes>
</file>

<file path=word/drawings/drawing90.xml><?xml version="1.0" encoding="utf-8"?>
<c:userShapes xmlns:c="http://schemas.openxmlformats.org/drawingml/2006/chart">
  <cdr:relSizeAnchor xmlns:cdr="http://schemas.openxmlformats.org/drawingml/2006/chartDrawing">
    <cdr:from>
      <cdr:x>0.02839</cdr:x>
      <cdr:y>0.80808</cdr:y>
    </cdr:from>
    <cdr:to>
      <cdr:x>0.97586</cdr:x>
      <cdr:y>0.97787</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272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1.xml><?xml version="1.0" encoding="utf-8"?>
<c:userShapes xmlns:c="http://schemas.openxmlformats.org/drawingml/2006/chart">
  <cdr:relSizeAnchor xmlns:cdr="http://schemas.openxmlformats.org/drawingml/2006/chartDrawing">
    <cdr:from>
      <cdr:x>0.02901</cdr:x>
      <cdr:y>0.82903</cdr:y>
    </cdr:from>
    <cdr:to>
      <cdr:x>0.98015</cdr:x>
      <cdr:y>0.97478</cdr:y>
    </cdr:to>
    <cdr:sp macro="" textlink="">
      <cdr:nvSpPr>
        <cdr:cNvPr id="3" name="Text Box 1"/>
        <cdr:cNvSpPr txBox="1">
          <a:spLocks xmlns:a="http://schemas.openxmlformats.org/drawingml/2006/main" noChangeArrowheads="1"/>
        </cdr:cNvSpPr>
      </cdr:nvSpPr>
      <cdr:spPr bwMode="auto">
        <a:xfrm xmlns:a="http://schemas.openxmlformats.org/drawingml/2006/main">
          <a:off x="139526" y="2686050"/>
          <a:ext cx="4574603" cy="47223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2.xml><?xml version="1.0" encoding="utf-8"?>
<c:userShapes xmlns:c="http://schemas.openxmlformats.org/drawingml/2006/chart">
  <cdr:relSizeAnchor xmlns:cdr="http://schemas.openxmlformats.org/drawingml/2006/chartDrawing">
    <cdr:from>
      <cdr:x>0.02839</cdr:x>
      <cdr:y>0.80477</cdr:y>
    </cdr:from>
    <cdr:to>
      <cdr:x>0.97586</cdr:x>
      <cdr:y>0.97456</cdr:y>
    </cdr:to>
    <cdr:sp macro="" textlink="">
      <cdr:nvSpPr>
        <cdr:cNvPr id="2" name="Text Box 1"/>
        <cdr:cNvSpPr txBox="1">
          <a:spLocks xmlns:a="http://schemas.openxmlformats.org/drawingml/2006/main" noChangeArrowheads="1"/>
        </cdr:cNvSpPr>
      </cdr:nvSpPr>
      <cdr:spPr bwMode="auto">
        <a:xfrm xmlns:a="http://schemas.openxmlformats.org/drawingml/2006/main">
          <a:off x="136525" y="231775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3.xml><?xml version="1.0" encoding="utf-8"?>
<c:userShapes xmlns:c="http://schemas.openxmlformats.org/drawingml/2006/chart">
  <cdr:relSizeAnchor xmlns:cdr="http://schemas.openxmlformats.org/drawingml/2006/chartDrawing">
    <cdr:from>
      <cdr:x>0.02641</cdr:x>
      <cdr:y>0.80808</cdr:y>
    </cdr:from>
    <cdr:to>
      <cdr:x>0.97388</cdr:x>
      <cdr:y>0.97787</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2727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4.xml><?xml version="1.0" encoding="utf-8"?>
<c:userShapes xmlns:c="http://schemas.openxmlformats.org/drawingml/2006/chart">
  <cdr:relSizeAnchor xmlns:cdr="http://schemas.openxmlformats.org/drawingml/2006/chartDrawing">
    <cdr:from>
      <cdr:x>0.03037</cdr:x>
      <cdr:y>0.80147</cdr:y>
    </cdr:from>
    <cdr:to>
      <cdr:x>0.97784</cdr:x>
      <cdr:y>0.97126</cdr:y>
    </cdr:to>
    <cdr:sp macro="" textlink="">
      <cdr:nvSpPr>
        <cdr:cNvPr id="2" name="Text Box 1"/>
        <cdr:cNvSpPr txBox="1">
          <a:spLocks xmlns:a="http://schemas.openxmlformats.org/drawingml/2006/main" noChangeArrowheads="1"/>
        </cdr:cNvSpPr>
      </cdr:nvSpPr>
      <cdr:spPr bwMode="auto">
        <a:xfrm xmlns:a="http://schemas.openxmlformats.org/drawingml/2006/main">
          <a:off x="146050" y="23082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5.xml><?xml version="1.0" encoding="utf-8"?>
<c:userShapes xmlns:c="http://schemas.openxmlformats.org/drawingml/2006/chart">
  <cdr:relSizeAnchor xmlns:cdr="http://schemas.openxmlformats.org/drawingml/2006/chartDrawing">
    <cdr:from>
      <cdr:x>0.03037</cdr:x>
      <cdr:y>0.80044</cdr:y>
    </cdr:from>
    <cdr:to>
      <cdr:x>0.97784</cdr:x>
      <cdr:y>0.97023</cdr:y>
    </cdr:to>
    <cdr:sp macro="" textlink="">
      <cdr:nvSpPr>
        <cdr:cNvPr id="2" name="Text Box 1"/>
        <cdr:cNvSpPr txBox="1">
          <a:spLocks xmlns:a="http://schemas.openxmlformats.org/drawingml/2006/main" noChangeArrowheads="1"/>
        </cdr:cNvSpPr>
      </cdr:nvSpPr>
      <cdr:spPr bwMode="auto">
        <a:xfrm xmlns:a="http://schemas.openxmlformats.org/drawingml/2006/main">
          <a:off x="146050" y="230528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6.xml><?xml version="1.0" encoding="utf-8"?>
<c:userShapes xmlns:c="http://schemas.openxmlformats.org/drawingml/2006/chart">
  <cdr:relSizeAnchor xmlns:cdr="http://schemas.openxmlformats.org/drawingml/2006/chartDrawing">
    <cdr:from>
      <cdr:x>0.02646</cdr:x>
      <cdr:y>0.83785</cdr:y>
    </cdr:from>
    <cdr:to>
      <cdr:x>0.9776</cdr:x>
      <cdr:y>0.98412</cdr:y>
    </cdr:to>
    <cdr:sp macro="" textlink="">
      <cdr:nvSpPr>
        <cdr:cNvPr id="3" name="Text Box 1"/>
        <cdr:cNvSpPr txBox="1">
          <a:spLocks xmlns:a="http://schemas.openxmlformats.org/drawingml/2006/main" noChangeArrowheads="1"/>
        </cdr:cNvSpPr>
      </cdr:nvSpPr>
      <cdr:spPr bwMode="auto">
        <a:xfrm xmlns:a="http://schemas.openxmlformats.org/drawingml/2006/main">
          <a:off x="126976" y="2714626"/>
          <a:ext cx="4564331" cy="47392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7.xml><?xml version="1.0" encoding="utf-8"?>
<c:userShapes xmlns:c="http://schemas.openxmlformats.org/drawingml/2006/chart">
  <cdr:relSizeAnchor xmlns:cdr="http://schemas.openxmlformats.org/drawingml/2006/chartDrawing">
    <cdr:from>
      <cdr:x>0.02641</cdr:x>
      <cdr:y>0.8147</cdr:y>
    </cdr:from>
    <cdr:to>
      <cdr:x>0.97388</cdr:x>
      <cdr:y>0.98449</cdr:y>
    </cdr:to>
    <cdr:sp macro="" textlink="">
      <cdr:nvSpPr>
        <cdr:cNvPr id="2" name="Text Box 1"/>
        <cdr:cNvSpPr txBox="1">
          <a:spLocks xmlns:a="http://schemas.openxmlformats.org/drawingml/2006/main" noChangeArrowheads="1"/>
        </cdr:cNvSpPr>
      </cdr:nvSpPr>
      <cdr:spPr bwMode="auto">
        <a:xfrm xmlns:a="http://schemas.openxmlformats.org/drawingml/2006/main">
          <a:off x="127000" y="2346325"/>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8.xml><?xml version="1.0" encoding="utf-8"?>
<c:userShapes xmlns:c="http://schemas.openxmlformats.org/drawingml/2006/chart">
  <cdr:relSizeAnchor xmlns:cdr="http://schemas.openxmlformats.org/drawingml/2006/chartDrawing">
    <cdr:from>
      <cdr:x>0.02046</cdr:x>
      <cdr:y>0.81139</cdr:y>
    </cdr:from>
    <cdr:to>
      <cdr:x>0.96794</cdr:x>
      <cdr:y>0.98118</cdr:y>
    </cdr:to>
    <cdr:sp macro="" textlink="">
      <cdr:nvSpPr>
        <cdr:cNvPr id="2" name="Text Box 1"/>
        <cdr:cNvSpPr txBox="1">
          <a:spLocks xmlns:a="http://schemas.openxmlformats.org/drawingml/2006/main" noChangeArrowheads="1"/>
        </cdr:cNvSpPr>
      </cdr:nvSpPr>
      <cdr:spPr bwMode="auto">
        <a:xfrm xmlns:a="http://schemas.openxmlformats.org/drawingml/2006/main">
          <a:off x="98425" y="2336800"/>
          <a:ext cx="4556968" cy="48899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drawings/drawing99.xml><?xml version="1.0" encoding="utf-8"?>
<c:userShapes xmlns:c="http://schemas.openxmlformats.org/drawingml/2006/chart">
  <cdr:relSizeAnchor xmlns:cdr="http://schemas.openxmlformats.org/drawingml/2006/chartDrawing">
    <cdr:from>
      <cdr:x>0.03037</cdr:x>
      <cdr:y>0.81029</cdr:y>
    </cdr:from>
    <cdr:to>
      <cdr:x>0.97784</cdr:x>
      <cdr:y>0.97234</cdr:y>
    </cdr:to>
    <cdr:sp macro="" textlink="">
      <cdr:nvSpPr>
        <cdr:cNvPr id="2" name="Text Box 1"/>
        <cdr:cNvSpPr txBox="1">
          <a:spLocks xmlns:a="http://schemas.openxmlformats.org/drawingml/2006/main" noChangeArrowheads="1"/>
        </cdr:cNvSpPr>
      </cdr:nvSpPr>
      <cdr:spPr bwMode="auto">
        <a:xfrm xmlns:a="http://schemas.openxmlformats.org/drawingml/2006/main">
          <a:off x="146050" y="2333625"/>
          <a:ext cx="4556968" cy="46672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32004"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lnSpc>
              <a:spcPts val="1100"/>
            </a:lnSpc>
            <a:defRPr sz="1000"/>
          </a:pP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来源：</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mUserTracker3.0</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，基于对陕西省</a:t>
          </a: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12.4</a:t>
          </a:r>
          <a:r>
            <a:rPr lang="zh-CN" altLang="en-US" sz="800" b="0" i="0" strike="noStrike">
              <a:solidFill>
                <a:schemeClr val="tx1">
                  <a:lumMod val="50000"/>
                  <a:lumOff val="50000"/>
                </a:schemeClr>
              </a:solidFill>
              <a:latin typeface="微软雅黑" panose="020B0503020204020204" pitchFamily="34" charset="-122"/>
              <a:ea typeface="微软雅黑" panose="020B0503020204020204" pitchFamily="34" charset="-122"/>
            </a:rPr>
            <a:t>万台独立移动设备样本网络行为的长期监测数据获得。</a:t>
          </a:r>
          <a:endPar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endParaRP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a:t>
          </a:r>
        </a:p>
        <a:p xmlns:a="http://schemas.openxmlformats.org/drawingml/2006/main">
          <a:pPr algn="l" rtl="0">
            <a:lnSpc>
              <a:spcPts val="1100"/>
            </a:lnSpc>
            <a:defRPr sz="1000"/>
          </a:pPr>
          <a:r>
            <a:rPr lang="en-US" altLang="zh-CN" sz="800" b="0" i="0" strike="noStrike">
              <a:solidFill>
                <a:schemeClr val="tx1">
                  <a:lumMod val="50000"/>
                  <a:lumOff val="50000"/>
                </a:schemeClr>
              </a:solidFill>
              <a:latin typeface="微软雅黑" panose="020B0503020204020204" pitchFamily="34" charset="-122"/>
              <a:ea typeface="微软雅黑" panose="020B0503020204020204" pitchFamily="34" charset="-122"/>
            </a:rPr>
            <a:t>©2018.6 iResearch Inc.                                                                              www.iresearch.com.cn</a:t>
          </a: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9DB23-45AF-4FD1-9CE7-988DB8E50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120</Pages>
  <Words>10374</Words>
  <Characters>59138</Characters>
  <Application>Microsoft Office Word</Application>
  <DocSecurity>0</DocSecurity>
  <Lines>492</Lines>
  <Paragraphs>138</Paragraphs>
  <ScaleCrop>false</ScaleCrop>
  <Company>Microsoft</Company>
  <LinksUpToDate>false</LinksUpToDate>
  <CharactersWithSpaces>69374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诺印</dc:creator>
  <cp:lastModifiedBy>DADI</cp:lastModifiedBy>
  <cp:revision>3</cp:revision>
  <cp:lastPrinted>2018-09-12T02:57:00Z</cp:lastPrinted>
  <dcterms:created xsi:type="dcterms:W3CDTF">2018-09-12T03:18:00Z</dcterms:created>
  <dcterms:modified xsi:type="dcterms:W3CDTF">2018-09-29T06:42:00Z</dcterms:modified>
</cp:coreProperties>
</file>